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rPr>
        <w:t>2019年道县气象局部门预算公开</w:t>
      </w:r>
    </w:p>
    <w:p>
      <w:pPr>
        <w:widowControl/>
        <w:spacing w:line="600" w:lineRule="exact"/>
        <w:jc w:val="center"/>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spacing w:line="600" w:lineRule="exact"/>
        <w:ind w:firstLine="643" w:firstLineChars="200"/>
        <w:rPr>
          <w:rFonts w:hint="eastAsia" w:eastAsia="仿宋_GB2312"/>
          <w:b/>
          <w:bCs/>
          <w:kern w:val="0"/>
          <w:sz w:val="32"/>
          <w:szCs w:val="32"/>
        </w:rPr>
      </w:pPr>
      <w:r>
        <w:rPr>
          <w:rFonts w:eastAsia="仿宋_GB2312"/>
          <w:b/>
          <w:bCs/>
          <w:kern w:val="0"/>
          <w:sz w:val="32"/>
          <w:szCs w:val="32"/>
        </w:rPr>
        <w:t xml:space="preserve">第一部分 </w:t>
      </w:r>
      <w:r>
        <w:rPr>
          <w:rFonts w:hint="eastAsia" w:eastAsia="方正小标宋_GBK"/>
          <w:b/>
          <w:bCs/>
          <w:kern w:val="0"/>
          <w:sz w:val="32"/>
          <w:szCs w:val="32"/>
        </w:rPr>
        <w:t>2019</w:t>
      </w:r>
      <w:r>
        <w:rPr>
          <w:rFonts w:eastAsia="仿宋_GB2312"/>
          <w:b/>
          <w:bCs/>
          <w:kern w:val="0"/>
          <w:sz w:val="32"/>
          <w:szCs w:val="32"/>
        </w:rPr>
        <w:t>年部门预算说明</w:t>
      </w:r>
    </w:p>
    <w:p>
      <w:pPr>
        <w:widowControl/>
        <w:spacing w:line="60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rPr>
        <w:t>2019</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hint="eastAsia"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（1）负责本行政区域内气象事业发展规划的制定及气象工作的组织实施；对本行政区域内的气象活动进行指导、监督和行业管理。</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2）组织指导本行政区域内气象灾害防御工作；组织拟订和实施本行政区域的气象灾害防御规划；组织气象灾害防御应急管理工作；管理本行政区域人工影响天气工作，指导和组织人工影响天气作业；指导城乡气象工作，组织推进农村气象灾害防御体系和农业气象服务体系建设。</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（3）组织管理本行政区域内雷电灾害防御工作，负责本行政区域内全限范围内的雷电灾害防护装置的设计审核和竣工验收；负责管理本行政区域内的施放气球活动。</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（8）管理本级气象部门内部的计划财务、人事劳动、队伍建设、教育培训和业务建设；负责党的建设、精神文明和气象文化建设。</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（9）承担上级气象主管机构和本级人民政府交办的其他事项。</w:t>
      </w:r>
    </w:p>
    <w:p>
      <w:pPr>
        <w:widowControl/>
        <w:spacing w:line="600" w:lineRule="exact"/>
        <w:ind w:firstLine="630" w:firstLineChars="196"/>
        <w:jc w:val="left"/>
        <w:rPr>
          <w:rFonts w:eastAsia="楷体_GB2312"/>
          <w:b/>
          <w:sz w:val="32"/>
          <w:szCs w:val="32"/>
        </w:rPr>
      </w:pPr>
      <w:r>
        <w:rPr>
          <w:rFonts w:eastAsia="楷体_GB2312"/>
          <w:b/>
          <w:sz w:val="32"/>
          <w:szCs w:val="32"/>
        </w:rPr>
        <w:t>（二）机构设置。</w:t>
      </w:r>
    </w:p>
    <w:p>
      <w:pPr>
        <w:widowControl/>
        <w:spacing w:line="600" w:lineRule="exact"/>
        <w:ind w:firstLine="627" w:firstLineChars="196"/>
        <w:jc w:val="left"/>
        <w:rPr>
          <w:rFonts w:eastAsia="楷体_GB2312"/>
          <w:b/>
          <w:sz w:val="32"/>
          <w:szCs w:val="32"/>
        </w:rPr>
      </w:pPr>
      <w:r>
        <w:rPr>
          <w:rFonts w:hint="eastAsia" w:eastAsia="仿宋_GB2312"/>
          <w:sz w:val="32"/>
          <w:szCs w:val="32"/>
        </w:rPr>
        <w:t>道县</w:t>
      </w:r>
      <w:r>
        <w:rPr>
          <w:rFonts w:eastAsia="仿宋_GB2312"/>
          <w:sz w:val="32"/>
          <w:szCs w:val="32"/>
        </w:rPr>
        <w:t>气象局成立于19</w:t>
      </w:r>
      <w:r>
        <w:rPr>
          <w:rFonts w:hint="eastAsia" w:eastAsia="仿宋_GB2312"/>
          <w:sz w:val="32"/>
          <w:szCs w:val="32"/>
        </w:rPr>
        <w:t>59</w:t>
      </w:r>
      <w:r>
        <w:rPr>
          <w:rFonts w:eastAsia="仿宋_GB2312"/>
          <w:sz w:val="32"/>
          <w:szCs w:val="32"/>
        </w:rPr>
        <w:t>年,实行上级气象主管机构和本级人民政府双重领导管理体制</w:t>
      </w:r>
      <w:r>
        <w:rPr>
          <w:rFonts w:hint="eastAsia" w:eastAsia="仿宋_GB2312"/>
          <w:sz w:val="32"/>
          <w:szCs w:val="32"/>
        </w:rPr>
        <w:t>，</w:t>
      </w:r>
      <w:r>
        <w:rPr>
          <w:rFonts w:eastAsia="仿宋_GB2312"/>
          <w:sz w:val="32"/>
          <w:szCs w:val="32"/>
        </w:rPr>
        <w:t>局机关内设机构有</w:t>
      </w:r>
      <w:r>
        <w:rPr>
          <w:rFonts w:hint="eastAsia" w:eastAsia="仿宋_GB2312"/>
          <w:sz w:val="32"/>
          <w:szCs w:val="32"/>
        </w:rPr>
        <w:t>综合股、气象台、道县防灾减灾预警中心。</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rPr>
          <w:rFonts w:eastAsia="仿宋_GB2312"/>
          <w:sz w:val="32"/>
          <w:szCs w:val="32"/>
        </w:rPr>
      </w:pPr>
      <w:r>
        <w:rPr>
          <w:rFonts w:hint="eastAsia" w:eastAsia="仿宋_GB2312"/>
          <w:sz w:val="32"/>
          <w:szCs w:val="32"/>
        </w:rPr>
        <w:t>道县气象局</w:t>
      </w:r>
      <w:r>
        <w:rPr>
          <w:rFonts w:eastAsia="仿宋_GB2312"/>
          <w:sz w:val="32"/>
          <w:szCs w:val="32"/>
        </w:rPr>
        <w:t>部门只有本级，没有其他预算单位，因此本部门预算仅含本级预算。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0" w:firstLineChars="196"/>
        <w:rPr>
          <w:rFonts w:eastAsia="仿宋_GB2312"/>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rPr>
        <w:t>2019</w:t>
      </w:r>
      <w:r>
        <w:rPr>
          <w:rFonts w:eastAsia="仿宋_GB2312"/>
          <w:sz w:val="32"/>
          <w:szCs w:val="32"/>
        </w:rPr>
        <w:t>年本部门收入预算</w:t>
      </w:r>
      <w:r>
        <w:rPr>
          <w:rFonts w:hint="eastAsia" w:eastAsia="仿宋_GB2312"/>
          <w:sz w:val="32"/>
          <w:szCs w:val="32"/>
        </w:rPr>
        <w:t>251.72</w:t>
      </w:r>
      <w:r>
        <w:rPr>
          <w:rFonts w:eastAsia="仿宋_GB2312"/>
          <w:sz w:val="32"/>
          <w:szCs w:val="32"/>
        </w:rPr>
        <w:t>万元，其中，一般公共预算拨款</w:t>
      </w:r>
      <w:r>
        <w:rPr>
          <w:rFonts w:hint="eastAsia" w:eastAsia="仿宋_GB2312"/>
          <w:sz w:val="32"/>
          <w:szCs w:val="32"/>
        </w:rPr>
        <w:t>251.72</w:t>
      </w:r>
      <w:r>
        <w:rPr>
          <w:rFonts w:eastAsia="仿宋_GB2312"/>
          <w:sz w:val="32"/>
          <w:szCs w:val="32"/>
        </w:rPr>
        <w:t>万元，政府性基金预算拨款</w:t>
      </w:r>
      <w:r>
        <w:rPr>
          <w:rFonts w:hint="eastAsia" w:eastAsia="仿宋_GB2312"/>
          <w:sz w:val="32"/>
          <w:szCs w:val="32"/>
        </w:rPr>
        <w:t>0</w:t>
      </w:r>
      <w:r>
        <w:rPr>
          <w:rFonts w:eastAsia="仿宋_GB2312"/>
          <w:sz w:val="32"/>
          <w:szCs w:val="32"/>
        </w:rPr>
        <w:t>万元，国有资本经营预算拨款</w:t>
      </w:r>
      <w:r>
        <w:rPr>
          <w:rFonts w:hint="eastAsia" w:eastAsia="仿宋_GB2312"/>
          <w:sz w:val="32"/>
          <w:szCs w:val="32"/>
        </w:rPr>
        <w:t>0</w:t>
      </w:r>
      <w:r>
        <w:rPr>
          <w:rFonts w:eastAsia="仿宋_GB2312"/>
          <w:sz w:val="32"/>
          <w:szCs w:val="32"/>
        </w:rPr>
        <w:t>万元，纳入专户管理的非税收入</w:t>
      </w:r>
      <w:r>
        <w:rPr>
          <w:rFonts w:hint="eastAsia" w:eastAsia="仿宋_GB2312"/>
          <w:sz w:val="32"/>
          <w:szCs w:val="32"/>
        </w:rPr>
        <w:t>0</w:t>
      </w:r>
      <w:r>
        <w:rPr>
          <w:rFonts w:eastAsia="仿宋_GB2312"/>
          <w:sz w:val="32"/>
          <w:szCs w:val="32"/>
        </w:rPr>
        <w:t xml:space="preserve">   万元。收入较去年增加</w:t>
      </w:r>
      <w:r>
        <w:rPr>
          <w:rFonts w:hint="eastAsia" w:eastAsia="仿宋_GB2312"/>
          <w:sz w:val="32"/>
          <w:szCs w:val="32"/>
        </w:rPr>
        <w:t>151.72</w:t>
      </w:r>
      <w:r>
        <w:rPr>
          <w:rFonts w:eastAsia="仿宋_GB2312"/>
          <w:sz w:val="32"/>
          <w:szCs w:val="32"/>
        </w:rPr>
        <w:t>万元，主要是</w:t>
      </w:r>
      <w:r>
        <w:rPr>
          <w:rFonts w:hint="eastAsia" w:eastAsia="仿宋_GB2312"/>
          <w:sz w:val="32"/>
          <w:szCs w:val="32"/>
        </w:rPr>
        <w:t>2019年新增了“道安监管云”交通气象站建设项目、增加地方事业编制以及将绩效工资和年终绩效考核奖纳入预算。</w:t>
      </w:r>
    </w:p>
    <w:p>
      <w:pPr>
        <w:widowControl/>
        <w:spacing w:line="600" w:lineRule="exact"/>
        <w:ind w:firstLine="630" w:firstLineChars="196"/>
        <w:rPr>
          <w:rFonts w:eastAsia="仿宋_GB2312"/>
          <w:sz w:val="32"/>
          <w:szCs w:val="32"/>
        </w:rPr>
      </w:pPr>
      <w:r>
        <w:rPr>
          <w:rFonts w:eastAsia="楷体_GB2312"/>
          <w:b/>
          <w:sz w:val="32"/>
          <w:szCs w:val="32"/>
        </w:rPr>
        <w:t>（二）支出预算：</w:t>
      </w:r>
      <w:r>
        <w:rPr>
          <w:rFonts w:hint="eastAsia" w:eastAsia="仿宋_GB2312"/>
          <w:sz w:val="32"/>
          <w:szCs w:val="32"/>
        </w:rPr>
        <w:t>2019</w:t>
      </w:r>
      <w:r>
        <w:rPr>
          <w:rFonts w:eastAsia="仿宋_GB2312"/>
          <w:sz w:val="32"/>
          <w:szCs w:val="32"/>
        </w:rPr>
        <w:t>年本部门支出预算</w:t>
      </w:r>
      <w:r>
        <w:rPr>
          <w:rFonts w:hint="eastAsia" w:eastAsia="仿宋_GB2312"/>
          <w:sz w:val="32"/>
          <w:szCs w:val="32"/>
        </w:rPr>
        <w:t>251.72</w:t>
      </w:r>
      <w:r>
        <w:rPr>
          <w:rFonts w:eastAsia="仿宋_GB2312"/>
          <w:sz w:val="32"/>
          <w:szCs w:val="32"/>
        </w:rPr>
        <w:t>万元，其中，一般公共服务</w:t>
      </w:r>
      <w:r>
        <w:rPr>
          <w:rFonts w:hint="eastAsia" w:eastAsia="仿宋_GB2312"/>
          <w:sz w:val="32"/>
          <w:szCs w:val="32"/>
        </w:rPr>
        <w:t>0</w:t>
      </w:r>
      <w:r>
        <w:rPr>
          <w:rFonts w:eastAsia="仿宋_GB2312"/>
          <w:sz w:val="32"/>
          <w:szCs w:val="32"/>
        </w:rPr>
        <w:t>万元，公共安全</w:t>
      </w:r>
      <w:r>
        <w:rPr>
          <w:rFonts w:hint="eastAsia" w:eastAsia="仿宋_GB2312"/>
          <w:sz w:val="32"/>
          <w:szCs w:val="32"/>
        </w:rPr>
        <w:t>0</w:t>
      </w:r>
      <w:r>
        <w:rPr>
          <w:rFonts w:eastAsia="仿宋_GB2312"/>
          <w:sz w:val="32"/>
          <w:szCs w:val="32"/>
        </w:rPr>
        <w:t>万元，教育</w:t>
      </w:r>
      <w:r>
        <w:rPr>
          <w:rFonts w:hint="eastAsia" w:eastAsia="仿宋_GB2312"/>
          <w:sz w:val="32"/>
          <w:szCs w:val="32"/>
        </w:rPr>
        <w:t>0</w:t>
      </w:r>
      <w:r>
        <w:rPr>
          <w:rFonts w:eastAsia="仿宋_GB2312"/>
          <w:sz w:val="32"/>
          <w:szCs w:val="32"/>
        </w:rPr>
        <w:t>万元，科学技术</w:t>
      </w:r>
      <w:r>
        <w:rPr>
          <w:rFonts w:hint="eastAsia" w:eastAsia="仿宋_GB2312"/>
          <w:sz w:val="32"/>
          <w:szCs w:val="32"/>
        </w:rPr>
        <w:t>0</w:t>
      </w:r>
      <w:r>
        <w:rPr>
          <w:rFonts w:eastAsia="仿宋_GB2312"/>
          <w:sz w:val="32"/>
          <w:szCs w:val="32"/>
        </w:rPr>
        <w:t>万元，</w:t>
      </w:r>
      <w:r>
        <w:rPr>
          <w:rFonts w:hint="eastAsia" w:eastAsia="仿宋_GB2312"/>
          <w:sz w:val="32"/>
          <w:szCs w:val="32"/>
        </w:rPr>
        <w:t>自然资源海洋气象等251.72</w:t>
      </w:r>
      <w:r>
        <w:rPr>
          <w:rFonts w:eastAsia="仿宋_GB2312"/>
          <w:sz w:val="32"/>
          <w:szCs w:val="32"/>
        </w:rPr>
        <w:t>万元。支出较去年增加</w:t>
      </w:r>
      <w:r>
        <w:rPr>
          <w:rFonts w:hint="eastAsia" w:eastAsia="仿宋_GB2312"/>
          <w:sz w:val="32"/>
          <w:szCs w:val="32"/>
        </w:rPr>
        <w:t>151.72</w:t>
      </w:r>
      <w:r>
        <w:rPr>
          <w:rFonts w:eastAsia="仿宋_GB2312"/>
          <w:sz w:val="32"/>
          <w:szCs w:val="32"/>
        </w:rPr>
        <w:t>万元，主要是</w:t>
      </w:r>
      <w:r>
        <w:rPr>
          <w:rFonts w:hint="eastAsia" w:eastAsia="仿宋_GB2312"/>
          <w:sz w:val="32"/>
          <w:szCs w:val="32"/>
        </w:rPr>
        <w:t>2019年新增了“道安监管云”交通气象站建设项目、增加地方事业编制以及将绩效工资和年终绩效考核奖纳入预算。</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2019</w:t>
      </w:r>
      <w:r>
        <w:rPr>
          <w:rFonts w:eastAsia="仿宋_GB2312"/>
          <w:sz w:val="32"/>
          <w:szCs w:val="32"/>
        </w:rPr>
        <w:t>年本部门一般公共预算拨款支出预算</w:t>
      </w:r>
      <w:r>
        <w:rPr>
          <w:rFonts w:hint="eastAsia" w:eastAsia="仿宋_GB2312"/>
          <w:sz w:val="32"/>
          <w:szCs w:val="32"/>
        </w:rPr>
        <w:t>251.72</w:t>
      </w:r>
      <w:r>
        <w:rPr>
          <w:rFonts w:eastAsia="仿宋_GB2312"/>
          <w:sz w:val="32"/>
          <w:szCs w:val="32"/>
        </w:rPr>
        <w:t>万元，其中，一般公共服务</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 xml:space="preserve"> %；公共安全支出</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 xml:space="preserve"> %；</w:t>
      </w:r>
      <w:r>
        <w:rPr>
          <w:rFonts w:hint="eastAsia" w:eastAsia="仿宋_GB2312"/>
          <w:sz w:val="32"/>
          <w:szCs w:val="32"/>
        </w:rPr>
        <w:t>自然资源海洋气象等251.72</w:t>
      </w:r>
      <w:r>
        <w:rPr>
          <w:rFonts w:eastAsia="仿宋_GB2312"/>
          <w:sz w:val="32"/>
          <w:szCs w:val="32"/>
        </w:rPr>
        <w:t>万元，占</w:t>
      </w:r>
      <w:r>
        <w:rPr>
          <w:rFonts w:hint="eastAsia" w:eastAsia="仿宋_GB2312"/>
          <w:sz w:val="32"/>
          <w:szCs w:val="32"/>
        </w:rPr>
        <w:t>100</w:t>
      </w:r>
      <w:r>
        <w:rPr>
          <w:rFonts w:eastAsia="仿宋_GB2312"/>
          <w:sz w:val="32"/>
          <w:szCs w:val="32"/>
        </w:rPr>
        <w:t xml:space="preserve"> %。具体安排情况如下：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eastAsia="仿宋_GB2312"/>
          <w:sz w:val="32"/>
          <w:szCs w:val="32"/>
        </w:rPr>
        <w:t>2019</w:t>
      </w:r>
      <w:r>
        <w:rPr>
          <w:rFonts w:eastAsia="仿宋_GB2312"/>
          <w:sz w:val="32"/>
          <w:szCs w:val="32"/>
        </w:rPr>
        <w:t>年本部门基本支出预算数</w:t>
      </w:r>
      <w:r>
        <w:rPr>
          <w:rFonts w:hint="eastAsia" w:eastAsia="仿宋_GB2312"/>
          <w:sz w:val="32"/>
          <w:szCs w:val="32"/>
        </w:rPr>
        <w:t>104.92</w:t>
      </w:r>
      <w:r>
        <w:rPr>
          <w:rFonts w:eastAsia="仿宋_GB2312"/>
          <w:sz w:val="32"/>
          <w:szCs w:val="32"/>
        </w:rPr>
        <w:t>万元，主要是为保障部门正常运转、完成日常工作任务而发生的各项支出，</w:t>
      </w:r>
      <w:r>
        <w:rPr>
          <w:rFonts w:hint="eastAsia" w:eastAsia="仿宋_GB2312"/>
          <w:sz w:val="32"/>
          <w:szCs w:val="32"/>
        </w:rPr>
        <w:t>包括基本工资2.58万元，津贴补贴42.94万元，奖金18.7万元，绩效工资2.26万元，机关事业单位基本养老保险缴费1.01万元，职业年金缴费0.41万元，职工基本医疗保险缴费0.41万元，住房公积金0.61万元。一般商品和服务支出36万元。包括办公费4.03万元、印刷费1.35万元、咨询费0.27万元、水费1.17万元、电费3.60万元、邮电费2.25万元、差旅费0.90万元、维修（护）费0.45万元、培训费4.5万元、公务接待费1.96万元、委托业务费0.32万元、工会经费2.07万元、公务用车运行维护费3.83万元、其他交通费4.62万元、其他商品4.68万元等</w:t>
      </w:r>
      <w:r>
        <w:rPr>
          <w:rFonts w:eastAsia="仿宋_GB2312"/>
          <w:sz w:val="32"/>
          <w:szCs w:val="32"/>
        </w:rPr>
        <w:t>。</w:t>
      </w:r>
    </w:p>
    <w:p>
      <w:pPr>
        <w:widowControl/>
        <w:spacing w:line="600" w:lineRule="exact"/>
        <w:ind w:firstLine="660"/>
        <w:jc w:val="left"/>
        <w:rPr>
          <w:rFonts w:eastAsia="仿宋_GB2312"/>
          <w:sz w:val="32"/>
          <w:szCs w:val="32"/>
        </w:rPr>
      </w:pPr>
      <w:r>
        <w:rPr>
          <w:rFonts w:eastAsia="楷体_GB2312"/>
          <w:b/>
          <w:sz w:val="32"/>
          <w:szCs w:val="32"/>
        </w:rPr>
        <w:t>（二）项目支出：</w:t>
      </w:r>
      <w:r>
        <w:rPr>
          <w:rFonts w:hint="eastAsia" w:eastAsia="仿宋_GB2312"/>
          <w:sz w:val="32"/>
          <w:szCs w:val="32"/>
        </w:rPr>
        <w:t>2019</w:t>
      </w:r>
      <w:r>
        <w:rPr>
          <w:rFonts w:eastAsia="仿宋_GB2312"/>
          <w:sz w:val="32"/>
          <w:szCs w:val="32"/>
        </w:rPr>
        <w:t>年本部门项目支出预算</w:t>
      </w:r>
      <w:r>
        <w:rPr>
          <w:rFonts w:hint="eastAsia" w:eastAsia="仿宋_GB2312"/>
          <w:sz w:val="32"/>
          <w:szCs w:val="32"/>
        </w:rPr>
        <w:t>146.8</w:t>
      </w:r>
      <w:r>
        <w:rPr>
          <w:rFonts w:eastAsia="仿宋_GB2312"/>
          <w:sz w:val="32"/>
          <w:szCs w:val="32"/>
        </w:rPr>
        <w:t>万元，主要是部门为完成特定行政工作任务或事业发展目标而发生的支出，包括有关事业发展专项、专项业务费、基本建设支出等，其中：</w:t>
      </w:r>
      <w:r>
        <w:rPr>
          <w:rFonts w:hint="eastAsia" w:eastAsia="仿宋_GB2312"/>
          <w:sz w:val="32"/>
          <w:szCs w:val="32"/>
        </w:rPr>
        <w:t>专用设备购置</w:t>
      </w:r>
      <w:r>
        <w:rPr>
          <w:rFonts w:eastAsia="仿宋_GB2312"/>
          <w:sz w:val="32"/>
          <w:szCs w:val="32"/>
        </w:rPr>
        <w:t>支出</w:t>
      </w:r>
      <w:r>
        <w:rPr>
          <w:rFonts w:hint="eastAsia" w:eastAsia="仿宋_GB2312"/>
          <w:sz w:val="32"/>
          <w:szCs w:val="32"/>
        </w:rPr>
        <w:t>118.3</w:t>
      </w:r>
      <w:r>
        <w:rPr>
          <w:rFonts w:eastAsia="仿宋_GB2312"/>
          <w:sz w:val="32"/>
          <w:szCs w:val="32"/>
        </w:rPr>
        <w:t>万元，主要用于</w:t>
      </w:r>
      <w:r>
        <w:rPr>
          <w:rFonts w:hint="eastAsia" w:eastAsia="仿宋_GB2312"/>
          <w:sz w:val="32"/>
          <w:szCs w:val="32"/>
        </w:rPr>
        <w:t>“道安监管云”交通气象站建设（104.8万元）、骨干区域气象站升级改造（13.5万）和防雷监管经费（13.5万）方面</w:t>
      </w:r>
      <w:r>
        <w:rPr>
          <w:rFonts w:eastAsia="仿宋_GB2312"/>
          <w:sz w:val="32"/>
          <w:szCs w:val="32"/>
        </w:rPr>
        <w:t>；</w:t>
      </w:r>
      <w:r>
        <w:rPr>
          <w:rFonts w:hint="eastAsia" w:eastAsia="仿宋_GB2312"/>
          <w:sz w:val="32"/>
          <w:szCs w:val="32"/>
        </w:rPr>
        <w:t>信息网络及软件购置更新</w:t>
      </w:r>
      <w:r>
        <w:rPr>
          <w:rFonts w:eastAsia="仿宋_GB2312"/>
          <w:sz w:val="32"/>
          <w:szCs w:val="32"/>
        </w:rPr>
        <w:t>支出</w:t>
      </w:r>
      <w:r>
        <w:rPr>
          <w:rFonts w:hint="eastAsia" w:eastAsia="仿宋_GB2312"/>
          <w:sz w:val="32"/>
          <w:szCs w:val="32"/>
        </w:rPr>
        <w:t>15</w:t>
      </w:r>
      <w:r>
        <w:rPr>
          <w:rFonts w:eastAsia="仿宋_GB2312"/>
          <w:sz w:val="32"/>
          <w:szCs w:val="32"/>
        </w:rPr>
        <w:t>万元，主要用于</w:t>
      </w:r>
      <w:r>
        <w:rPr>
          <w:rFonts w:hint="eastAsia" w:eastAsia="仿宋_GB2312"/>
          <w:sz w:val="32"/>
          <w:szCs w:val="32"/>
        </w:rPr>
        <w:t>县级突发事件预警信息发布三类系统</w:t>
      </w:r>
      <w:r>
        <w:rPr>
          <w:rFonts w:eastAsia="仿宋_GB2312"/>
          <w:sz w:val="32"/>
          <w:szCs w:val="32"/>
        </w:rPr>
        <w:t>方面。</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hint="eastAsia" w:eastAsia="仿宋_GB2312"/>
          <w:sz w:val="32"/>
          <w:szCs w:val="32"/>
        </w:rPr>
      </w:pPr>
      <w:r>
        <w:rPr>
          <w:rFonts w:eastAsia="仿宋_GB2312"/>
          <w:sz w:val="32"/>
          <w:szCs w:val="32"/>
        </w:rPr>
        <w:t>本部门无政府性基金安排的支出</w:t>
      </w:r>
      <w:r>
        <w:rPr>
          <w:rFonts w:hint="eastAsia" w:eastAsia="仿宋_GB2312"/>
          <w:sz w:val="32"/>
          <w:szCs w:val="32"/>
        </w:rPr>
        <w:t>。</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仿宋_GB2312"/>
          <w:sz w:val="32"/>
          <w:szCs w:val="32"/>
        </w:rPr>
        <w:t>2019</w:t>
      </w:r>
      <w:r>
        <w:rPr>
          <w:rFonts w:eastAsia="仿宋_GB2312"/>
          <w:sz w:val="32"/>
          <w:szCs w:val="32"/>
        </w:rPr>
        <w:t>年本部门机关本级等</w:t>
      </w:r>
      <w:r>
        <w:rPr>
          <w:rFonts w:hint="eastAsia" w:eastAsia="仿宋_GB2312"/>
          <w:sz w:val="32"/>
          <w:szCs w:val="32"/>
        </w:rPr>
        <w:t>1</w:t>
      </w:r>
      <w:r>
        <w:rPr>
          <w:rFonts w:eastAsia="仿宋_GB2312"/>
          <w:sz w:val="32"/>
          <w:szCs w:val="32"/>
        </w:rPr>
        <w:t>家行政事业单位的机关运行经费</w:t>
      </w:r>
      <w:r>
        <w:rPr>
          <w:rFonts w:hint="eastAsia" w:eastAsia="仿宋_GB2312"/>
          <w:sz w:val="32"/>
          <w:szCs w:val="32"/>
        </w:rPr>
        <w:t>36</w:t>
      </w:r>
      <w:r>
        <w:rPr>
          <w:rFonts w:eastAsia="仿宋_GB2312"/>
          <w:sz w:val="32"/>
          <w:szCs w:val="32"/>
        </w:rPr>
        <w:t>万元，比上年预算减少</w:t>
      </w:r>
      <w:r>
        <w:rPr>
          <w:rFonts w:hint="eastAsia" w:eastAsia="仿宋_GB2312"/>
          <w:sz w:val="32"/>
          <w:szCs w:val="32"/>
        </w:rPr>
        <w:t>4</w:t>
      </w:r>
      <w:r>
        <w:rPr>
          <w:rFonts w:eastAsia="仿宋_GB2312"/>
          <w:sz w:val="32"/>
          <w:szCs w:val="32"/>
        </w:rPr>
        <w:t>万元，下降</w:t>
      </w:r>
      <w:r>
        <w:rPr>
          <w:rFonts w:hint="eastAsia" w:eastAsia="仿宋_GB2312"/>
          <w:sz w:val="32"/>
          <w:szCs w:val="32"/>
        </w:rPr>
        <w:t>10</w:t>
      </w:r>
      <w:r>
        <w:rPr>
          <w:rFonts w:eastAsia="仿宋_GB2312"/>
          <w:sz w:val="32"/>
          <w:szCs w:val="32"/>
        </w:rPr>
        <w:t>%，主要是</w:t>
      </w:r>
      <w:r>
        <w:rPr>
          <w:rFonts w:hint="eastAsia" w:eastAsia="仿宋_GB2312"/>
          <w:sz w:val="32"/>
          <w:szCs w:val="32"/>
        </w:rPr>
        <w:t>财政预算压缩</w:t>
      </w:r>
      <w:r>
        <w:rPr>
          <w:rFonts w:eastAsia="仿宋_GB2312"/>
          <w:sz w:val="32"/>
          <w:szCs w:val="32"/>
        </w:rPr>
        <w:t>。</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仿宋_GB2312"/>
          <w:sz w:val="32"/>
          <w:szCs w:val="32"/>
        </w:rPr>
        <w:t>2019</w:t>
      </w:r>
      <w:r>
        <w:rPr>
          <w:rFonts w:eastAsia="仿宋_GB2312"/>
          <w:sz w:val="32"/>
          <w:szCs w:val="32"/>
        </w:rPr>
        <w:t>年本部门机关本级等</w:t>
      </w:r>
      <w:r>
        <w:rPr>
          <w:rFonts w:hint="eastAsia" w:eastAsia="仿宋_GB2312"/>
          <w:sz w:val="32"/>
          <w:szCs w:val="32"/>
        </w:rPr>
        <w:t>1</w:t>
      </w:r>
      <w:r>
        <w:rPr>
          <w:rFonts w:eastAsia="仿宋_GB2312"/>
          <w:sz w:val="32"/>
          <w:szCs w:val="32"/>
        </w:rPr>
        <w:t>家行政事业单位“三公”经费预算数为</w:t>
      </w:r>
      <w:r>
        <w:rPr>
          <w:rFonts w:hint="eastAsia" w:eastAsia="仿宋_GB2312"/>
          <w:sz w:val="32"/>
          <w:szCs w:val="32"/>
        </w:rPr>
        <w:t>5.79</w:t>
      </w:r>
      <w:r>
        <w:rPr>
          <w:rFonts w:eastAsia="仿宋_GB2312"/>
          <w:sz w:val="32"/>
          <w:szCs w:val="32"/>
        </w:rPr>
        <w:t>万元，其中，公务接待费</w:t>
      </w:r>
      <w:r>
        <w:rPr>
          <w:rFonts w:hint="eastAsia" w:eastAsia="仿宋_GB2312"/>
          <w:sz w:val="32"/>
          <w:szCs w:val="32"/>
        </w:rPr>
        <w:t>1.96</w:t>
      </w:r>
      <w:r>
        <w:rPr>
          <w:rFonts w:eastAsia="仿宋_GB2312"/>
          <w:sz w:val="32"/>
          <w:szCs w:val="32"/>
        </w:rPr>
        <w:t>万元，公务用车购置及运行费</w:t>
      </w:r>
      <w:r>
        <w:rPr>
          <w:rFonts w:hint="eastAsia" w:eastAsia="仿宋_GB2312"/>
          <w:sz w:val="32"/>
          <w:szCs w:val="32"/>
        </w:rPr>
        <w:t>3.83</w:t>
      </w:r>
      <w:r>
        <w:rPr>
          <w:rFonts w:eastAsia="仿宋_GB2312"/>
          <w:sz w:val="32"/>
          <w:szCs w:val="32"/>
        </w:rPr>
        <w:t>万元（其中，公务用车购置费</w:t>
      </w:r>
      <w:r>
        <w:rPr>
          <w:rFonts w:hint="eastAsia" w:eastAsia="仿宋_GB2312"/>
          <w:sz w:val="32"/>
          <w:szCs w:val="32"/>
        </w:rPr>
        <w:t>0</w:t>
      </w:r>
      <w:r>
        <w:rPr>
          <w:rFonts w:eastAsia="仿宋_GB2312"/>
          <w:sz w:val="32"/>
          <w:szCs w:val="32"/>
        </w:rPr>
        <w:t>万元，公务用车运行费</w:t>
      </w:r>
      <w:r>
        <w:rPr>
          <w:rFonts w:hint="eastAsia" w:eastAsia="仿宋_GB2312"/>
          <w:sz w:val="32"/>
          <w:szCs w:val="32"/>
        </w:rPr>
        <w:t>3.83</w:t>
      </w:r>
      <w:r>
        <w:rPr>
          <w:rFonts w:eastAsia="仿宋_GB2312"/>
          <w:sz w:val="32"/>
          <w:szCs w:val="32"/>
        </w:rPr>
        <w:t>万元），因公出国（境）费</w:t>
      </w:r>
      <w:r>
        <w:rPr>
          <w:rFonts w:hint="eastAsia" w:eastAsia="仿宋_GB2312"/>
          <w:sz w:val="32"/>
          <w:szCs w:val="32"/>
        </w:rPr>
        <w:t>0</w:t>
      </w:r>
      <w:r>
        <w:rPr>
          <w:rFonts w:eastAsia="仿宋_GB2312"/>
          <w:sz w:val="32"/>
          <w:szCs w:val="32"/>
        </w:rPr>
        <w:t>万元。</w:t>
      </w:r>
      <w:r>
        <w:rPr>
          <w:rFonts w:hint="eastAsia" w:eastAsia="仿宋_GB2312"/>
          <w:sz w:val="32"/>
          <w:szCs w:val="32"/>
        </w:rPr>
        <w:t>2019</w:t>
      </w:r>
      <w:r>
        <w:rPr>
          <w:rFonts w:eastAsia="仿宋_GB2312"/>
          <w:sz w:val="32"/>
          <w:szCs w:val="32"/>
        </w:rPr>
        <w:t>年“三公”经费预算较</w:t>
      </w:r>
      <w:r>
        <w:rPr>
          <w:rFonts w:hint="eastAsia" w:eastAsia="仿宋_GB2312"/>
          <w:sz w:val="32"/>
          <w:szCs w:val="32"/>
        </w:rPr>
        <w:t>2018</w:t>
      </w:r>
      <w:r>
        <w:rPr>
          <w:rFonts w:eastAsia="仿宋_GB2312"/>
          <w:sz w:val="32"/>
          <w:szCs w:val="32"/>
        </w:rPr>
        <w:t>年减少</w:t>
      </w:r>
      <w:r>
        <w:rPr>
          <w:rFonts w:hint="eastAsia" w:eastAsia="仿宋_GB2312"/>
          <w:sz w:val="32"/>
          <w:szCs w:val="32"/>
        </w:rPr>
        <w:t>0.86</w:t>
      </w:r>
      <w:r>
        <w:rPr>
          <w:rFonts w:eastAsia="仿宋_GB2312"/>
          <w:sz w:val="32"/>
          <w:szCs w:val="32"/>
        </w:rPr>
        <w:t>万元，主要是</w:t>
      </w:r>
      <w:r>
        <w:rPr>
          <w:rFonts w:hint="eastAsia" w:eastAsia="仿宋_GB2312"/>
          <w:sz w:val="32"/>
          <w:szCs w:val="32"/>
        </w:rPr>
        <w:t>进行了公车改革，减少了公车用车购置及运行费，以及财政预算压缩</w:t>
      </w:r>
      <w:r>
        <w:rPr>
          <w:rFonts w:eastAsia="仿宋_GB2312"/>
          <w:sz w:val="32"/>
          <w:szCs w:val="32"/>
        </w:rPr>
        <w:t>。</w:t>
      </w:r>
    </w:p>
    <w:p>
      <w:pPr>
        <w:widowControl/>
        <w:spacing w:line="600" w:lineRule="exact"/>
        <w:ind w:firstLine="660"/>
        <w:rPr>
          <w:rFonts w:eastAsia="仿宋_GB2312"/>
          <w:kern w:val="0"/>
          <w:sz w:val="32"/>
          <w:szCs w:val="32"/>
        </w:rPr>
      </w:pPr>
      <w:r>
        <w:rPr>
          <w:rFonts w:eastAsia="楷体_GB2312"/>
          <w:b/>
          <w:sz w:val="32"/>
          <w:szCs w:val="32"/>
        </w:rPr>
        <w:t>（三）一般性支出情况：</w:t>
      </w:r>
      <w:r>
        <w:rPr>
          <w:rFonts w:hint="eastAsia" w:eastAsia="仿宋_GB2312"/>
          <w:kern w:val="0"/>
          <w:sz w:val="32"/>
          <w:szCs w:val="32"/>
        </w:rPr>
        <w:t>2019</w:t>
      </w:r>
      <w:r>
        <w:rPr>
          <w:rFonts w:eastAsia="仿宋_GB2312"/>
          <w:kern w:val="0"/>
          <w:sz w:val="32"/>
          <w:szCs w:val="32"/>
        </w:rPr>
        <w:t>年本部门会议费预算</w:t>
      </w:r>
      <w:r>
        <w:rPr>
          <w:rFonts w:hint="eastAsia" w:eastAsia="仿宋_GB2312"/>
          <w:sz w:val="32"/>
          <w:szCs w:val="32"/>
        </w:rPr>
        <w:t>0</w:t>
      </w:r>
      <w:r>
        <w:rPr>
          <w:rFonts w:eastAsia="仿宋_GB2312"/>
          <w:kern w:val="0"/>
          <w:sz w:val="32"/>
          <w:szCs w:val="32"/>
        </w:rPr>
        <w:t>万元，拟召开</w:t>
      </w:r>
      <w:r>
        <w:rPr>
          <w:rFonts w:hint="eastAsia" w:eastAsia="仿宋_GB2312"/>
          <w:sz w:val="32"/>
          <w:szCs w:val="32"/>
        </w:rPr>
        <w:t>0次</w:t>
      </w:r>
      <w:r>
        <w:rPr>
          <w:rFonts w:eastAsia="仿宋_GB2312"/>
          <w:kern w:val="0"/>
          <w:sz w:val="32"/>
          <w:szCs w:val="32"/>
        </w:rPr>
        <w:t>会议，人数</w:t>
      </w:r>
      <w:r>
        <w:rPr>
          <w:rFonts w:hint="eastAsia" w:eastAsia="仿宋_GB2312"/>
          <w:sz w:val="32"/>
          <w:szCs w:val="32"/>
        </w:rPr>
        <w:t>0</w:t>
      </w:r>
      <w:r>
        <w:rPr>
          <w:rFonts w:eastAsia="仿宋_GB2312"/>
          <w:kern w:val="0"/>
          <w:sz w:val="32"/>
          <w:szCs w:val="32"/>
        </w:rPr>
        <w:t>人，内容为</w:t>
      </w:r>
      <w:r>
        <w:rPr>
          <w:rFonts w:hint="eastAsia" w:eastAsia="仿宋_GB2312"/>
          <w:kern w:val="0"/>
          <w:sz w:val="32"/>
          <w:szCs w:val="32"/>
        </w:rPr>
        <w:t>无</w:t>
      </w:r>
      <w:r>
        <w:rPr>
          <w:rFonts w:eastAsia="仿宋_GB2312"/>
          <w:kern w:val="0"/>
          <w:sz w:val="32"/>
          <w:szCs w:val="32"/>
        </w:rPr>
        <w:t>；培训费预算</w:t>
      </w:r>
      <w:r>
        <w:rPr>
          <w:rFonts w:hint="eastAsia" w:eastAsia="仿宋_GB2312"/>
          <w:sz w:val="32"/>
          <w:szCs w:val="32"/>
        </w:rPr>
        <w:t>4.5</w:t>
      </w:r>
      <w:r>
        <w:rPr>
          <w:rFonts w:eastAsia="仿宋_GB2312"/>
          <w:kern w:val="0"/>
          <w:sz w:val="32"/>
          <w:szCs w:val="32"/>
        </w:rPr>
        <w:t>万元，拟开展</w:t>
      </w:r>
      <w:r>
        <w:rPr>
          <w:rFonts w:hint="eastAsia" w:eastAsia="仿宋_GB2312"/>
          <w:sz w:val="32"/>
          <w:szCs w:val="32"/>
        </w:rPr>
        <w:t>气象基</w:t>
      </w:r>
      <w:r>
        <w:rPr>
          <w:rFonts w:hint="eastAsia" w:eastAsia="仿宋_GB2312"/>
          <w:kern w:val="0"/>
          <w:sz w:val="32"/>
          <w:szCs w:val="32"/>
        </w:rPr>
        <w:t>础业务、为农气象服务、气象信息员</w:t>
      </w:r>
      <w:r>
        <w:rPr>
          <w:rFonts w:eastAsia="仿宋_GB2312"/>
          <w:kern w:val="0"/>
          <w:sz w:val="32"/>
          <w:szCs w:val="32"/>
        </w:rPr>
        <w:t>培训，人数</w:t>
      </w:r>
      <w:r>
        <w:rPr>
          <w:rFonts w:hint="eastAsia" w:eastAsia="仿宋_GB2312"/>
          <w:kern w:val="0"/>
          <w:sz w:val="32"/>
          <w:szCs w:val="32"/>
        </w:rPr>
        <w:t>600</w:t>
      </w:r>
      <w:r>
        <w:rPr>
          <w:rFonts w:eastAsia="仿宋_GB2312"/>
          <w:kern w:val="0"/>
          <w:sz w:val="32"/>
          <w:szCs w:val="32"/>
        </w:rPr>
        <w:t>人，内容为</w:t>
      </w:r>
      <w:r>
        <w:rPr>
          <w:rFonts w:hint="eastAsia" w:eastAsia="仿宋_GB2312"/>
          <w:kern w:val="0"/>
          <w:sz w:val="32"/>
          <w:szCs w:val="32"/>
        </w:rPr>
        <w:t>象基础业务、为农气象服务、气象信息员培训</w:t>
      </w:r>
      <w:r>
        <w:rPr>
          <w:rFonts w:eastAsia="仿宋_GB2312"/>
          <w:kern w:val="0"/>
          <w:sz w:val="32"/>
          <w:szCs w:val="32"/>
        </w:rPr>
        <w:t>；</w:t>
      </w:r>
      <w:r>
        <w:rPr>
          <w:rFonts w:hint="eastAsia" w:eastAsia="仿宋_GB2312"/>
          <w:kern w:val="0"/>
          <w:sz w:val="32"/>
          <w:szCs w:val="32"/>
        </w:rPr>
        <w:t>拟举办节庆、晚会、论坛、赛事活动，经费预算0万元。</w:t>
      </w:r>
    </w:p>
    <w:p>
      <w:pPr>
        <w:widowControl/>
        <w:spacing w:line="600" w:lineRule="exact"/>
        <w:ind w:firstLine="660"/>
        <w:rPr>
          <w:rFonts w:hint="eastAsia" w:eastAsia="仿宋_GB2312"/>
          <w:sz w:val="32"/>
          <w:szCs w:val="32"/>
        </w:rPr>
      </w:pPr>
      <w:r>
        <w:rPr>
          <w:rFonts w:eastAsia="楷体_GB2312"/>
          <w:b/>
          <w:sz w:val="32"/>
          <w:szCs w:val="32"/>
        </w:rPr>
        <w:t>（四）政府采购情况：</w:t>
      </w:r>
      <w:r>
        <w:rPr>
          <w:rFonts w:hint="eastAsia" w:eastAsia="仿宋_GB2312"/>
          <w:sz w:val="32"/>
          <w:szCs w:val="32"/>
        </w:rPr>
        <w:t>2019</w:t>
      </w:r>
      <w:r>
        <w:rPr>
          <w:rFonts w:eastAsia="仿宋_GB2312"/>
          <w:sz w:val="32"/>
          <w:szCs w:val="32"/>
        </w:rPr>
        <w:t xml:space="preserve">年本部门政府采购预算总额   </w:t>
      </w:r>
      <w:r>
        <w:rPr>
          <w:rFonts w:hint="eastAsia" w:eastAsia="仿宋_GB2312"/>
          <w:sz w:val="32"/>
          <w:szCs w:val="32"/>
        </w:rPr>
        <w:t>94.5</w:t>
      </w:r>
      <w:r>
        <w:rPr>
          <w:rFonts w:eastAsia="仿宋_GB2312"/>
          <w:sz w:val="32"/>
          <w:szCs w:val="32"/>
        </w:rPr>
        <w:t>万元，其中，货物类采购预算</w:t>
      </w:r>
      <w:r>
        <w:rPr>
          <w:rFonts w:hint="eastAsia" w:eastAsia="仿宋_GB2312"/>
          <w:sz w:val="32"/>
          <w:szCs w:val="32"/>
        </w:rPr>
        <w:t>94.5</w:t>
      </w:r>
      <w:r>
        <w:rPr>
          <w:rFonts w:eastAsia="仿宋_GB2312"/>
          <w:sz w:val="32"/>
          <w:szCs w:val="32"/>
        </w:rPr>
        <w:t>万元；工程类采购预算</w:t>
      </w:r>
      <w:r>
        <w:rPr>
          <w:rFonts w:hint="eastAsia" w:eastAsia="仿宋_GB2312"/>
          <w:sz w:val="32"/>
          <w:szCs w:val="32"/>
        </w:rPr>
        <w:t>0万</w:t>
      </w:r>
      <w:r>
        <w:rPr>
          <w:rFonts w:eastAsia="仿宋_GB2312"/>
          <w:sz w:val="32"/>
          <w:szCs w:val="32"/>
        </w:rPr>
        <w:t>元；服务类采购预算</w:t>
      </w:r>
      <w:r>
        <w:rPr>
          <w:rFonts w:hint="eastAsia" w:eastAsia="仿宋_GB2312"/>
          <w:sz w:val="32"/>
          <w:szCs w:val="32"/>
        </w:rPr>
        <w:t>0</w:t>
      </w:r>
      <w:r>
        <w:rPr>
          <w:rFonts w:eastAsia="仿宋_GB2312"/>
          <w:sz w:val="32"/>
          <w:szCs w:val="32"/>
        </w:rPr>
        <w:t>万元。</w:t>
      </w:r>
    </w:p>
    <w:p>
      <w:pPr>
        <w:widowControl/>
        <w:spacing w:line="600" w:lineRule="exact"/>
        <w:ind w:firstLine="660"/>
        <w:rPr>
          <w:rFonts w:eastAsia="仿宋_GB2312"/>
          <w:sz w:val="32"/>
          <w:szCs w:val="32"/>
        </w:rPr>
      </w:pPr>
      <w:r>
        <w:rPr>
          <w:rFonts w:eastAsia="楷体_GB2312"/>
          <w:b/>
          <w:sz w:val="32"/>
          <w:szCs w:val="32"/>
        </w:rPr>
        <w:t>（五）国有资产占用使用及新增资产配置情况</w:t>
      </w:r>
      <w:r>
        <w:rPr>
          <w:rFonts w:hint="eastAsia" w:eastAsia="楷体_GB2312"/>
          <w:b/>
          <w:sz w:val="32"/>
          <w:szCs w:val="32"/>
        </w:rPr>
        <w:t>：</w:t>
      </w:r>
      <w:r>
        <w:rPr>
          <w:rFonts w:eastAsia="仿宋_GB2312"/>
          <w:sz w:val="32"/>
          <w:szCs w:val="32"/>
        </w:rPr>
        <w:t>截至</w:t>
      </w:r>
      <w:r>
        <w:rPr>
          <w:rFonts w:hint="eastAsia" w:eastAsia="仿宋_GB2312"/>
          <w:sz w:val="32"/>
          <w:szCs w:val="32"/>
        </w:rPr>
        <w:t>2018</w:t>
      </w:r>
      <w:r>
        <w:rPr>
          <w:rFonts w:eastAsia="仿宋_GB2312"/>
          <w:sz w:val="32"/>
          <w:szCs w:val="32"/>
        </w:rPr>
        <w:t>年12月底，本部门共有公务用车</w:t>
      </w:r>
      <w:r>
        <w:rPr>
          <w:rFonts w:hint="eastAsia" w:eastAsia="仿宋_GB2312"/>
          <w:sz w:val="32"/>
          <w:szCs w:val="32"/>
        </w:rPr>
        <w:t>3</w:t>
      </w:r>
      <w:r>
        <w:rPr>
          <w:rFonts w:eastAsia="仿宋_GB2312"/>
          <w:sz w:val="32"/>
          <w:szCs w:val="32"/>
        </w:rPr>
        <w:t>辆，其中，机要通信用车</w:t>
      </w:r>
      <w:r>
        <w:rPr>
          <w:rFonts w:hint="eastAsia" w:eastAsia="仿宋_GB2312"/>
          <w:sz w:val="32"/>
          <w:szCs w:val="32"/>
        </w:rPr>
        <w:t>0</w:t>
      </w:r>
      <w:r>
        <w:rPr>
          <w:rFonts w:eastAsia="仿宋_GB2312"/>
          <w:sz w:val="32"/>
          <w:szCs w:val="32"/>
        </w:rPr>
        <w:t>辆，应急保障用车</w:t>
      </w:r>
      <w:r>
        <w:rPr>
          <w:rFonts w:hint="eastAsia" w:eastAsia="仿宋_GB2312"/>
          <w:sz w:val="32"/>
          <w:szCs w:val="32"/>
        </w:rPr>
        <w:t>1</w:t>
      </w:r>
      <w:r>
        <w:rPr>
          <w:rFonts w:eastAsia="仿宋_GB2312"/>
          <w:sz w:val="32"/>
          <w:szCs w:val="32"/>
        </w:rPr>
        <w:t>辆，执法执勤用车</w:t>
      </w:r>
      <w:r>
        <w:rPr>
          <w:rFonts w:hint="eastAsia" w:eastAsia="仿宋_GB2312"/>
          <w:sz w:val="32"/>
          <w:szCs w:val="32"/>
        </w:rPr>
        <w:t>0</w:t>
      </w:r>
      <w:r>
        <w:rPr>
          <w:rFonts w:eastAsia="仿宋_GB2312"/>
          <w:sz w:val="32"/>
          <w:szCs w:val="32"/>
        </w:rPr>
        <w:t>辆，特种专业技术用车</w:t>
      </w:r>
      <w:r>
        <w:rPr>
          <w:rFonts w:hint="eastAsia" w:eastAsia="仿宋_GB2312"/>
          <w:sz w:val="32"/>
          <w:szCs w:val="32"/>
        </w:rPr>
        <w:t>2</w:t>
      </w:r>
      <w:r>
        <w:rPr>
          <w:rFonts w:eastAsia="仿宋_GB2312"/>
          <w:sz w:val="32"/>
          <w:szCs w:val="32"/>
        </w:rPr>
        <w:t>辆，其他按照规定配备的公务用车</w:t>
      </w:r>
      <w:r>
        <w:rPr>
          <w:rFonts w:hint="eastAsia" w:eastAsia="仿宋_GB2312"/>
          <w:sz w:val="32"/>
          <w:szCs w:val="32"/>
        </w:rPr>
        <w:t>0</w:t>
      </w:r>
      <w:r>
        <w:rPr>
          <w:rFonts w:eastAsia="仿宋_GB2312"/>
          <w:sz w:val="32"/>
          <w:szCs w:val="32"/>
        </w:rPr>
        <w:t>辆；单位价值50万元以上通用设备</w:t>
      </w:r>
      <w:r>
        <w:rPr>
          <w:rFonts w:hint="eastAsia" w:eastAsia="仿宋_GB2312"/>
          <w:sz w:val="32"/>
          <w:szCs w:val="32"/>
        </w:rPr>
        <w:t>0</w:t>
      </w:r>
      <w:r>
        <w:rPr>
          <w:rFonts w:eastAsia="仿宋_GB2312"/>
          <w:sz w:val="32"/>
          <w:szCs w:val="32"/>
        </w:rPr>
        <w:t>台，单位价值100万元以上专用设备</w:t>
      </w:r>
      <w:r>
        <w:rPr>
          <w:rFonts w:hint="eastAsia" w:eastAsia="仿宋_GB2312"/>
          <w:sz w:val="32"/>
          <w:szCs w:val="32"/>
        </w:rPr>
        <w:t>0</w:t>
      </w:r>
      <w:r>
        <w:rPr>
          <w:rFonts w:eastAsia="仿宋_GB2312"/>
          <w:sz w:val="32"/>
          <w:szCs w:val="32"/>
        </w:rPr>
        <w:t>台。</w:t>
      </w:r>
      <w:r>
        <w:rPr>
          <w:rFonts w:hint="eastAsia" w:eastAsia="仿宋_GB2312"/>
          <w:sz w:val="32"/>
          <w:szCs w:val="32"/>
        </w:rPr>
        <w:t>2019</w:t>
      </w:r>
      <w:r>
        <w:rPr>
          <w:rFonts w:eastAsia="仿宋_GB2312"/>
          <w:sz w:val="32"/>
          <w:szCs w:val="32"/>
        </w:rPr>
        <w:t>年拟新增配置公务用车</w:t>
      </w:r>
      <w:r>
        <w:rPr>
          <w:rFonts w:hint="eastAsia" w:eastAsia="仿宋_GB2312"/>
          <w:sz w:val="32"/>
          <w:szCs w:val="32"/>
        </w:rPr>
        <w:t>0</w:t>
      </w:r>
      <w:r>
        <w:rPr>
          <w:rFonts w:eastAsia="仿宋_GB2312"/>
          <w:sz w:val="32"/>
          <w:szCs w:val="32"/>
        </w:rPr>
        <w:t>辆，其中，机要通信用车</w:t>
      </w:r>
      <w:r>
        <w:rPr>
          <w:rFonts w:hint="eastAsia" w:eastAsia="仿宋_GB2312"/>
          <w:sz w:val="32"/>
          <w:szCs w:val="32"/>
        </w:rPr>
        <w:t>0</w:t>
      </w:r>
      <w:r>
        <w:rPr>
          <w:rFonts w:eastAsia="仿宋_GB2312"/>
          <w:sz w:val="32"/>
          <w:szCs w:val="32"/>
        </w:rPr>
        <w:t>辆，应急保障用车</w:t>
      </w:r>
      <w:r>
        <w:rPr>
          <w:rFonts w:hint="eastAsia" w:eastAsia="仿宋_GB2312"/>
          <w:sz w:val="32"/>
          <w:szCs w:val="32"/>
        </w:rPr>
        <w:t>0</w:t>
      </w:r>
      <w:r>
        <w:rPr>
          <w:rFonts w:eastAsia="仿宋_GB2312"/>
          <w:sz w:val="32"/>
          <w:szCs w:val="32"/>
        </w:rPr>
        <w:t>辆，执法执勤用车</w:t>
      </w:r>
      <w:r>
        <w:rPr>
          <w:rFonts w:hint="eastAsia" w:eastAsia="仿宋_GB2312"/>
          <w:sz w:val="32"/>
          <w:szCs w:val="32"/>
        </w:rPr>
        <w:t>0</w:t>
      </w:r>
      <w:r>
        <w:rPr>
          <w:rFonts w:eastAsia="仿宋_GB2312"/>
          <w:sz w:val="32"/>
          <w:szCs w:val="32"/>
        </w:rPr>
        <w:t>辆，特种专业技术用车</w:t>
      </w:r>
      <w:r>
        <w:rPr>
          <w:rFonts w:hint="eastAsia" w:eastAsia="仿宋_GB2312"/>
          <w:sz w:val="32"/>
          <w:szCs w:val="32"/>
        </w:rPr>
        <w:t>0</w:t>
      </w:r>
      <w:r>
        <w:rPr>
          <w:rFonts w:eastAsia="仿宋_GB2312"/>
          <w:sz w:val="32"/>
          <w:szCs w:val="32"/>
        </w:rPr>
        <w:t>辆，其他按照规定配备的公务用车</w:t>
      </w:r>
      <w:r>
        <w:rPr>
          <w:rFonts w:hint="eastAsia" w:eastAsia="仿宋_GB2312"/>
          <w:sz w:val="32"/>
          <w:szCs w:val="32"/>
        </w:rPr>
        <w:t>0</w:t>
      </w:r>
      <w:r>
        <w:rPr>
          <w:rFonts w:eastAsia="仿宋_GB2312"/>
          <w:sz w:val="32"/>
          <w:szCs w:val="32"/>
        </w:rPr>
        <w:t>辆；新增配备单位价值50万元以上通用设备</w:t>
      </w:r>
      <w:r>
        <w:rPr>
          <w:rFonts w:hint="eastAsia" w:eastAsia="仿宋_GB2312"/>
          <w:sz w:val="32"/>
          <w:szCs w:val="32"/>
        </w:rPr>
        <w:t>0</w:t>
      </w:r>
      <w:r>
        <w:rPr>
          <w:rFonts w:eastAsia="仿宋_GB2312"/>
          <w:sz w:val="32"/>
          <w:szCs w:val="32"/>
        </w:rPr>
        <w:t>台，单位价值100万元以上专用设备</w:t>
      </w:r>
      <w:r>
        <w:rPr>
          <w:rFonts w:hint="eastAsia" w:eastAsia="仿宋_GB2312"/>
          <w:sz w:val="32"/>
          <w:szCs w:val="32"/>
        </w:rPr>
        <w:t>0</w:t>
      </w:r>
      <w:r>
        <w:rPr>
          <w:rFonts w:eastAsia="仿宋_GB2312"/>
          <w:sz w:val="32"/>
          <w:szCs w:val="32"/>
        </w:rPr>
        <w:t>台。</w:t>
      </w:r>
    </w:p>
    <w:p>
      <w:pPr>
        <w:widowControl/>
        <w:spacing w:line="600" w:lineRule="exact"/>
        <w:ind w:firstLine="643" w:firstLineChars="20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2019</w:t>
      </w:r>
      <w:r>
        <w:rPr>
          <w:rFonts w:eastAsia="仿宋_GB2312"/>
          <w:bCs/>
          <w:kern w:val="0"/>
          <w:sz w:val="32"/>
          <w:szCs w:val="32"/>
        </w:rPr>
        <w:t>年部门整体支出绩效目标的金额为</w:t>
      </w:r>
      <w:r>
        <w:rPr>
          <w:rFonts w:hint="eastAsia" w:ascii="仿宋_GB2312" w:hAnsi="仿宋" w:eastAsia="仿宋_GB2312"/>
          <w:sz w:val="32"/>
          <w:szCs w:val="32"/>
        </w:rPr>
        <w:t>251.72</w:t>
      </w:r>
      <w:r>
        <w:rPr>
          <w:rFonts w:eastAsia="仿宋_GB2312"/>
          <w:bCs/>
          <w:kern w:val="0"/>
          <w:sz w:val="32"/>
          <w:szCs w:val="32"/>
        </w:rPr>
        <w:t>万元，其中，基本支出</w:t>
      </w:r>
      <w:r>
        <w:rPr>
          <w:rFonts w:hint="eastAsia" w:eastAsia="仿宋_GB2312"/>
          <w:sz w:val="32"/>
          <w:szCs w:val="32"/>
        </w:rPr>
        <w:t>104.92</w:t>
      </w:r>
      <w:r>
        <w:rPr>
          <w:rFonts w:eastAsia="仿宋_GB2312"/>
          <w:bCs/>
          <w:kern w:val="0"/>
          <w:sz w:val="32"/>
          <w:szCs w:val="32"/>
        </w:rPr>
        <w:t>万元，项目支出</w:t>
      </w:r>
      <w:r>
        <w:rPr>
          <w:rFonts w:hint="eastAsia" w:eastAsia="仿宋_GB2312"/>
          <w:sz w:val="32"/>
          <w:szCs w:val="32"/>
        </w:rPr>
        <w:t>146.80</w:t>
      </w:r>
      <w:r>
        <w:rPr>
          <w:rFonts w:eastAsia="仿宋_GB2312"/>
          <w:bCs/>
          <w:kern w:val="0"/>
          <w:sz w:val="32"/>
          <w:szCs w:val="32"/>
        </w:rPr>
        <w:t>万元。</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numPr>
          <w:ilvl w:val="0"/>
          <w:numId w:val="1"/>
        </w:numPr>
        <w:ind w:firstLine="880" w:firstLineChars="200"/>
        <w:jc w:val="center"/>
        <w:rPr>
          <w:rFonts w:eastAsia="仿宋_GB2312"/>
          <w:b/>
          <w:bCs/>
          <w:kern w:val="0"/>
          <w:sz w:val="44"/>
          <w:szCs w:val="44"/>
        </w:rPr>
      </w:pPr>
      <w:bookmarkStart w:id="6" w:name="_GoBack"/>
      <w:bookmarkEnd w:id="6"/>
      <w:r>
        <w:rPr>
          <w:rFonts w:hint="eastAsia" w:eastAsia="仿宋_GB2312"/>
          <w:sz w:val="44"/>
          <w:szCs w:val="44"/>
        </w:rPr>
        <w:t xml:space="preserve">   </w:t>
      </w:r>
      <w:r>
        <w:rPr>
          <w:rFonts w:hint="eastAsia" w:eastAsia="仿宋_GB2312"/>
          <w:b/>
          <w:bCs/>
          <w:sz w:val="44"/>
          <w:szCs w:val="44"/>
        </w:rPr>
        <w:t>2019年</w:t>
      </w:r>
      <w:r>
        <w:rPr>
          <w:rFonts w:eastAsia="仿宋_GB2312"/>
          <w:b/>
          <w:bCs/>
          <w:kern w:val="0"/>
          <w:sz w:val="44"/>
          <w:szCs w:val="44"/>
        </w:rPr>
        <w:t>部门预算表</w:t>
      </w:r>
    </w:p>
    <w:tbl>
      <w:tblPr>
        <w:tblStyle w:val="2"/>
        <w:tblW w:w="13260" w:type="dxa"/>
        <w:tblInd w:w="93" w:type="dxa"/>
        <w:tblLayout w:type="autofit"/>
        <w:tblCellMar>
          <w:top w:w="0" w:type="dxa"/>
          <w:left w:w="108" w:type="dxa"/>
          <w:bottom w:w="0" w:type="dxa"/>
          <w:right w:w="108" w:type="dxa"/>
        </w:tblCellMar>
      </w:tblPr>
      <w:tblGrid>
        <w:gridCol w:w="4460"/>
        <w:gridCol w:w="2560"/>
        <w:gridCol w:w="4180"/>
        <w:gridCol w:w="2060"/>
      </w:tblGrid>
      <w:tr>
        <w:tblPrEx>
          <w:tblCellMar>
            <w:top w:w="0" w:type="dxa"/>
            <w:left w:w="108" w:type="dxa"/>
            <w:bottom w:w="0" w:type="dxa"/>
            <w:right w:w="108" w:type="dxa"/>
          </w:tblCellMar>
        </w:tblPrEx>
        <w:trPr>
          <w:trHeight w:val="420" w:hRule="atLeast"/>
        </w:trPr>
        <w:tc>
          <w:tcPr>
            <w:tcW w:w="446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0" w:name="RANGE!A1:D33"/>
            <w:r>
              <w:rPr>
                <w:rFonts w:hint="eastAsia" w:ascii="宋体" w:hAnsi="宋体" w:cs="宋体"/>
                <w:b/>
                <w:bCs/>
                <w:kern w:val="0"/>
                <w:sz w:val="20"/>
                <w:szCs w:val="20"/>
              </w:rPr>
              <w:t>附件3-1</w:t>
            </w:r>
            <w:bookmarkEnd w:id="0"/>
          </w:p>
        </w:tc>
        <w:tc>
          <w:tcPr>
            <w:tcW w:w="256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c>
          <w:tcPr>
            <w:tcW w:w="418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c>
          <w:tcPr>
            <w:tcW w:w="206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420" w:hRule="atLeast"/>
        </w:trPr>
        <w:tc>
          <w:tcPr>
            <w:tcW w:w="13260" w:type="dxa"/>
            <w:gridSpan w:val="4"/>
            <w:tcBorders>
              <w:top w:val="nil"/>
              <w:left w:val="nil"/>
              <w:bottom w:val="nil"/>
              <w:right w:val="nil"/>
            </w:tcBorders>
            <w:shd w:val="clear" w:color="auto" w:fill="auto"/>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部门收支总体情况表</w:t>
            </w:r>
          </w:p>
        </w:tc>
      </w:tr>
      <w:tr>
        <w:tblPrEx>
          <w:tblCellMar>
            <w:top w:w="0" w:type="dxa"/>
            <w:left w:w="108" w:type="dxa"/>
            <w:bottom w:w="0" w:type="dxa"/>
            <w:right w:w="108" w:type="dxa"/>
          </w:tblCellMar>
        </w:tblPrEx>
        <w:trPr>
          <w:trHeight w:val="420" w:hRule="atLeast"/>
        </w:trPr>
        <w:tc>
          <w:tcPr>
            <w:tcW w:w="446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256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4180"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2060" w:type="dxa"/>
            <w:tcBorders>
              <w:top w:val="nil"/>
              <w:left w:val="nil"/>
              <w:bottom w:val="nil"/>
              <w:right w:val="nil"/>
            </w:tcBorders>
            <w:shd w:val="clear" w:color="auto" w:fill="auto"/>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420" w:hRule="atLeast"/>
        </w:trPr>
        <w:tc>
          <w:tcPr>
            <w:tcW w:w="44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kern w:val="0"/>
                <w:sz w:val="20"/>
                <w:szCs w:val="20"/>
              </w:rPr>
            </w:pPr>
            <w:r>
              <w:rPr>
                <w:rFonts w:hint="eastAsia" w:ascii="宋体" w:hAnsi="宋体" w:cs="宋体"/>
                <w:bCs/>
                <w:kern w:val="0"/>
                <w:sz w:val="20"/>
                <w:szCs w:val="20"/>
              </w:rPr>
              <w:t>收                  入</w:t>
            </w:r>
          </w:p>
        </w:tc>
        <w:tc>
          <w:tcPr>
            <w:tcW w:w="25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0"/>
                <w:szCs w:val="20"/>
              </w:rPr>
            </w:pPr>
            <w:r>
              <w:rPr>
                <w:rFonts w:hint="eastAsia" w:ascii="宋体" w:hAnsi="宋体" w:cs="宋体"/>
                <w:bCs/>
                <w:kern w:val="0"/>
                <w:sz w:val="20"/>
                <w:szCs w:val="20"/>
              </w:rPr>
              <w:t>支                  出</w:t>
            </w:r>
          </w:p>
        </w:tc>
        <w:tc>
          <w:tcPr>
            <w:tcW w:w="20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项     目</w:t>
            </w:r>
          </w:p>
        </w:tc>
        <w:tc>
          <w:tcPr>
            <w:tcW w:w="2560" w:type="dxa"/>
            <w:tcBorders>
              <w:top w:val="nil"/>
              <w:left w:val="nil"/>
              <w:bottom w:val="nil"/>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预算数</w:t>
            </w:r>
          </w:p>
        </w:tc>
        <w:tc>
          <w:tcPr>
            <w:tcW w:w="4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Cs/>
                <w:kern w:val="0"/>
                <w:sz w:val="20"/>
                <w:szCs w:val="20"/>
              </w:rPr>
            </w:pPr>
            <w:r>
              <w:rPr>
                <w:rFonts w:hint="eastAsia" w:ascii="宋体" w:hAnsi="宋体" w:cs="宋体"/>
                <w:bCs/>
                <w:kern w:val="0"/>
                <w:sz w:val="20"/>
                <w:szCs w:val="20"/>
              </w:rPr>
              <w:t>项   目</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预算数</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一、一般公共预算拨款收入</w:t>
            </w:r>
          </w:p>
        </w:tc>
        <w:tc>
          <w:tcPr>
            <w:tcW w:w="2560" w:type="dxa"/>
            <w:tcBorders>
              <w:top w:val="single" w:color="auto" w:sz="4" w:space="0"/>
              <w:left w:val="single" w:color="auto" w:sz="4" w:space="0"/>
              <w:bottom w:val="nil"/>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251.72</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一、一般公共服务支出</w:t>
            </w:r>
          </w:p>
        </w:tc>
        <w:tc>
          <w:tcPr>
            <w:tcW w:w="2060" w:type="dxa"/>
            <w:tcBorders>
              <w:top w:val="nil"/>
              <w:left w:val="nil"/>
              <w:bottom w:val="nil"/>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0.00　</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二、政府性基金预算拨款收入</w:t>
            </w:r>
          </w:p>
        </w:tc>
        <w:tc>
          <w:tcPr>
            <w:tcW w:w="25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c>
          <w:tcPr>
            <w:tcW w:w="4180" w:type="dxa"/>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二、国防支出</w:t>
            </w:r>
          </w:p>
        </w:tc>
        <w:tc>
          <w:tcPr>
            <w:tcW w:w="20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三、国有资本经营预算拨款收入</w:t>
            </w:r>
          </w:p>
        </w:tc>
        <w:tc>
          <w:tcPr>
            <w:tcW w:w="2560" w:type="dxa"/>
            <w:tcBorders>
              <w:top w:val="nil"/>
              <w:left w:val="single" w:color="auto" w:sz="4" w:space="0"/>
              <w:bottom w:val="nil"/>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三、公共安全支出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四、财政专户管理资金收入</w:t>
            </w:r>
          </w:p>
        </w:tc>
        <w:tc>
          <w:tcPr>
            <w:tcW w:w="25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四、教育支出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五、事业收入</w:t>
            </w:r>
          </w:p>
        </w:tc>
        <w:tc>
          <w:tcPr>
            <w:tcW w:w="2560" w:type="dxa"/>
            <w:tcBorders>
              <w:top w:val="nil"/>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五、科学技术支出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六、事业单位经营收入</w:t>
            </w:r>
          </w:p>
        </w:tc>
        <w:tc>
          <w:tcPr>
            <w:tcW w:w="2560" w:type="dxa"/>
            <w:tcBorders>
              <w:top w:val="nil"/>
              <w:left w:val="single" w:color="auto" w:sz="4" w:space="0"/>
              <w:bottom w:val="nil"/>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六、文化旅游体育与传媒支出</w:t>
            </w:r>
          </w:p>
        </w:tc>
        <w:tc>
          <w:tcPr>
            <w:tcW w:w="2060" w:type="dxa"/>
            <w:tcBorders>
              <w:top w:val="nil"/>
              <w:left w:val="nil"/>
              <w:bottom w:val="nil"/>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七、上级补助收入</w:t>
            </w:r>
          </w:p>
        </w:tc>
        <w:tc>
          <w:tcPr>
            <w:tcW w:w="25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七、社会保障和就业支出</w:t>
            </w:r>
          </w:p>
        </w:tc>
        <w:tc>
          <w:tcPr>
            <w:tcW w:w="20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八、附属单位上缴收入</w:t>
            </w:r>
          </w:p>
        </w:tc>
        <w:tc>
          <w:tcPr>
            <w:tcW w:w="2560" w:type="dxa"/>
            <w:tcBorders>
              <w:top w:val="nil"/>
              <w:left w:val="single" w:color="auto" w:sz="4" w:space="0"/>
              <w:bottom w:val="nil"/>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八、社会保险基金支出</w:t>
            </w:r>
          </w:p>
        </w:tc>
        <w:tc>
          <w:tcPr>
            <w:tcW w:w="2060" w:type="dxa"/>
            <w:tcBorders>
              <w:top w:val="nil"/>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九、其他收入</w:t>
            </w:r>
          </w:p>
        </w:tc>
        <w:tc>
          <w:tcPr>
            <w:tcW w:w="25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18"/>
                <w:szCs w:val="18"/>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九、卫生健康支出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nil"/>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十、节能环保支出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十一、城乡社区支出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十二、农林水支出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十三、交通运输支出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十四、资源勘探信息等支出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十五、商业服务业等支出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十六、金融支出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十七、自然资源海洋气象等支出</w:t>
            </w:r>
          </w:p>
        </w:tc>
        <w:tc>
          <w:tcPr>
            <w:tcW w:w="206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251.72</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十八、住房保障支出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十九、粮油物资储备支出</w:t>
            </w:r>
          </w:p>
        </w:tc>
        <w:tc>
          <w:tcPr>
            <w:tcW w:w="2060" w:type="dxa"/>
            <w:tcBorders>
              <w:top w:val="nil"/>
              <w:left w:val="nil"/>
              <w:bottom w:val="nil"/>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二十、其他支出</w:t>
            </w:r>
          </w:p>
        </w:tc>
        <w:tc>
          <w:tcPr>
            <w:tcW w:w="20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二十一、国有资本经营预算支出</w:t>
            </w:r>
          </w:p>
        </w:tc>
        <w:tc>
          <w:tcPr>
            <w:tcW w:w="2060" w:type="dxa"/>
            <w:tcBorders>
              <w:top w:val="nil"/>
              <w:left w:val="nil"/>
              <w:bottom w:val="nil"/>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二十二、灾害防治及应急管理支出</w:t>
            </w:r>
          </w:p>
        </w:tc>
        <w:tc>
          <w:tcPr>
            <w:tcW w:w="20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二十三、债务还本支出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二十四、债务付息支出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41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二十五、债务发行费用支出</w:t>
            </w:r>
          </w:p>
        </w:tc>
        <w:tc>
          <w:tcPr>
            <w:tcW w:w="20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本年收入合计</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c>
          <w:tcPr>
            <w:tcW w:w="41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本年支出合计</w:t>
            </w:r>
          </w:p>
        </w:tc>
        <w:tc>
          <w:tcPr>
            <w:tcW w:w="206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上年结转结余</w:t>
            </w:r>
          </w:p>
        </w:tc>
        <w:tc>
          <w:tcPr>
            <w:tcW w:w="2560"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sz w:val="20"/>
                <w:szCs w:val="20"/>
              </w:rPr>
            </w:pPr>
            <w:r>
              <w:rPr>
                <w:rFonts w:hint="eastAsia" w:ascii="宋体" w:hAnsi="宋体" w:cs="宋体"/>
                <w:kern w:val="0"/>
                <w:sz w:val="18"/>
              </w:rPr>
              <w:t>0.00</w:t>
            </w:r>
          </w:p>
        </w:tc>
        <w:tc>
          <w:tcPr>
            <w:tcW w:w="418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年终结转结余</w:t>
            </w:r>
          </w:p>
        </w:tc>
        <w:tc>
          <w:tcPr>
            <w:tcW w:w="2060"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460"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xml:space="preserve"> 收    入    总    计</w:t>
            </w:r>
          </w:p>
        </w:tc>
        <w:tc>
          <w:tcPr>
            <w:tcW w:w="256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c>
          <w:tcPr>
            <w:tcW w:w="41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    总    计</w:t>
            </w:r>
          </w:p>
        </w:tc>
        <w:tc>
          <w:tcPr>
            <w:tcW w:w="206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r>
      <w:tr>
        <w:tblPrEx>
          <w:tblCellMar>
            <w:top w:w="0" w:type="dxa"/>
            <w:left w:w="108" w:type="dxa"/>
            <w:bottom w:w="0" w:type="dxa"/>
            <w:right w:w="108" w:type="dxa"/>
          </w:tblCellMar>
        </w:tblPrEx>
        <w:trPr>
          <w:trHeight w:val="420" w:hRule="atLeast"/>
        </w:trPr>
        <w:tc>
          <w:tcPr>
            <w:tcW w:w="4460" w:type="dxa"/>
            <w:tcBorders>
              <w:top w:val="nil"/>
              <w:left w:val="nil"/>
              <w:bottom w:val="nil"/>
              <w:right w:val="nil"/>
            </w:tcBorders>
            <w:shd w:val="clear" w:color="auto" w:fill="auto"/>
            <w:noWrap/>
            <w:vAlign w:val="bottom"/>
          </w:tcPr>
          <w:p>
            <w:pPr>
              <w:widowControl/>
              <w:jc w:val="left"/>
              <w:rPr>
                <w:rFonts w:ascii="宋体" w:hAnsi="宋体" w:cs="宋体"/>
                <w:b/>
                <w:bCs/>
                <w:kern w:val="0"/>
                <w:sz w:val="18"/>
                <w:szCs w:val="18"/>
              </w:rPr>
            </w:pPr>
          </w:p>
        </w:tc>
        <w:tc>
          <w:tcPr>
            <w:tcW w:w="2560" w:type="dxa"/>
            <w:tcBorders>
              <w:top w:val="nil"/>
              <w:left w:val="nil"/>
              <w:bottom w:val="nil"/>
              <w:right w:val="nil"/>
            </w:tcBorders>
            <w:shd w:val="clear" w:color="auto" w:fill="auto"/>
            <w:noWrap/>
            <w:vAlign w:val="bottom"/>
          </w:tcPr>
          <w:p>
            <w:pPr>
              <w:widowControl/>
              <w:jc w:val="left"/>
              <w:rPr>
                <w:rFonts w:ascii="宋体" w:hAnsi="宋体" w:cs="宋体"/>
                <w:b/>
                <w:bCs/>
                <w:kern w:val="0"/>
                <w:sz w:val="18"/>
                <w:szCs w:val="18"/>
              </w:rPr>
            </w:pPr>
          </w:p>
        </w:tc>
        <w:tc>
          <w:tcPr>
            <w:tcW w:w="4180" w:type="dxa"/>
            <w:tcBorders>
              <w:top w:val="nil"/>
              <w:left w:val="nil"/>
              <w:bottom w:val="nil"/>
              <w:right w:val="nil"/>
            </w:tcBorders>
            <w:shd w:val="clear" w:color="auto" w:fill="auto"/>
            <w:noWrap/>
            <w:vAlign w:val="bottom"/>
          </w:tcPr>
          <w:p>
            <w:pPr>
              <w:widowControl/>
              <w:jc w:val="left"/>
              <w:rPr>
                <w:rFonts w:ascii="宋体" w:hAnsi="宋体" w:cs="宋体"/>
                <w:b/>
                <w:bCs/>
                <w:kern w:val="0"/>
                <w:sz w:val="18"/>
                <w:szCs w:val="18"/>
              </w:rPr>
            </w:pPr>
          </w:p>
        </w:tc>
        <w:tc>
          <w:tcPr>
            <w:tcW w:w="2060" w:type="dxa"/>
            <w:tcBorders>
              <w:top w:val="nil"/>
              <w:left w:val="nil"/>
              <w:bottom w:val="nil"/>
              <w:right w:val="nil"/>
            </w:tcBorders>
            <w:shd w:val="clear" w:color="auto" w:fill="auto"/>
            <w:noWrap/>
            <w:vAlign w:val="bottom"/>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420" w:hRule="atLeast"/>
        </w:trPr>
        <w:tc>
          <w:tcPr>
            <w:tcW w:w="11200" w:type="dxa"/>
            <w:gridSpan w:val="3"/>
            <w:tcBorders>
              <w:top w:val="nil"/>
              <w:left w:val="nil"/>
              <w:bottom w:val="nil"/>
              <w:right w:val="nil"/>
            </w:tcBorders>
            <w:shd w:val="clear" w:color="auto" w:fill="auto"/>
            <w:noWrap/>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备注：财政专户管理资金收入是指教育收费收入；事业收入不含教育收费收入，下同。</w:t>
            </w:r>
          </w:p>
        </w:tc>
        <w:tc>
          <w:tcPr>
            <w:tcW w:w="2060" w:type="dxa"/>
            <w:tcBorders>
              <w:top w:val="nil"/>
              <w:left w:val="nil"/>
              <w:bottom w:val="nil"/>
              <w:right w:val="nil"/>
            </w:tcBorders>
            <w:shd w:val="clear" w:color="auto" w:fill="auto"/>
            <w:noWrap/>
            <w:vAlign w:val="bottom"/>
          </w:tcPr>
          <w:p>
            <w:pPr>
              <w:widowControl/>
              <w:jc w:val="left"/>
              <w:rPr>
                <w:rFonts w:ascii="宋体" w:hAnsi="宋体" w:cs="宋体"/>
                <w:b/>
                <w:bCs/>
                <w:kern w:val="0"/>
                <w:sz w:val="18"/>
                <w:szCs w:val="18"/>
              </w:rPr>
            </w:pP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7223" w:type="pct"/>
        <w:tblInd w:w="0" w:type="dxa"/>
        <w:tblLayout w:type="fixed"/>
        <w:tblCellMar>
          <w:top w:w="0" w:type="dxa"/>
          <w:left w:w="108" w:type="dxa"/>
          <w:bottom w:w="0" w:type="dxa"/>
          <w:right w:w="108" w:type="dxa"/>
        </w:tblCellMar>
      </w:tblPr>
      <w:tblGrid>
        <w:gridCol w:w="95"/>
        <w:gridCol w:w="1471"/>
        <w:gridCol w:w="554"/>
        <w:gridCol w:w="451"/>
        <w:gridCol w:w="1414"/>
        <w:gridCol w:w="745"/>
        <w:gridCol w:w="172"/>
        <w:gridCol w:w="573"/>
        <w:gridCol w:w="725"/>
        <w:gridCol w:w="20"/>
        <w:gridCol w:w="565"/>
        <w:gridCol w:w="532"/>
        <w:gridCol w:w="33"/>
        <w:gridCol w:w="565"/>
        <w:gridCol w:w="463"/>
        <w:gridCol w:w="102"/>
        <w:gridCol w:w="565"/>
        <w:gridCol w:w="291"/>
        <w:gridCol w:w="274"/>
        <w:gridCol w:w="545"/>
        <w:gridCol w:w="20"/>
        <w:gridCol w:w="606"/>
        <w:gridCol w:w="192"/>
        <w:gridCol w:w="373"/>
        <w:gridCol w:w="446"/>
        <w:gridCol w:w="123"/>
        <w:gridCol w:w="569"/>
        <w:gridCol w:w="127"/>
        <w:gridCol w:w="442"/>
        <w:gridCol w:w="377"/>
        <w:gridCol w:w="192"/>
        <w:gridCol w:w="594"/>
        <w:gridCol w:w="33"/>
        <w:gridCol w:w="827"/>
        <w:gridCol w:w="819"/>
        <w:gridCol w:w="921"/>
        <w:gridCol w:w="921"/>
        <w:gridCol w:w="921"/>
        <w:gridCol w:w="921"/>
        <w:gridCol w:w="897"/>
      </w:tblGrid>
      <w:tr>
        <w:tblPrEx>
          <w:tblCellMar>
            <w:top w:w="0" w:type="dxa"/>
            <w:left w:w="108" w:type="dxa"/>
            <w:bottom w:w="0" w:type="dxa"/>
            <w:right w:w="108" w:type="dxa"/>
          </w:tblCellMar>
        </w:tblPrEx>
        <w:trPr>
          <w:gridAfter w:val="8"/>
          <w:wAfter w:w="1530" w:type="pct"/>
          <w:trHeight w:val="360" w:hRule="atLeast"/>
        </w:trPr>
        <w:tc>
          <w:tcPr>
            <w:tcW w:w="627" w:type="pct"/>
            <w:gridSpan w:val="4"/>
            <w:tcBorders>
              <w:top w:val="nil"/>
              <w:left w:val="nil"/>
              <w:bottom w:val="nil"/>
              <w:right w:val="nil"/>
            </w:tcBorders>
            <w:shd w:val="clear" w:color="auto" w:fill="auto"/>
            <w:vAlign w:val="center"/>
          </w:tcPr>
          <w:p>
            <w:pPr>
              <w:widowControl/>
              <w:jc w:val="left"/>
              <w:textAlignment w:val="center"/>
              <w:rPr>
                <w:color w:val="000000"/>
                <w:sz w:val="22"/>
                <w:szCs w:val="22"/>
              </w:rPr>
            </w:pPr>
            <w:r>
              <w:rPr>
                <w:rStyle w:val="4"/>
                <w:rFonts w:hint="default"/>
              </w:rPr>
              <w:t>附件</w:t>
            </w:r>
            <w:r>
              <w:rPr>
                <w:rStyle w:val="5"/>
              </w:rPr>
              <w:t>3-2</w:t>
            </w:r>
          </w:p>
        </w:tc>
        <w:tc>
          <w:tcPr>
            <w:tcW w:w="345" w:type="pct"/>
            <w:tcBorders>
              <w:top w:val="nil"/>
              <w:left w:val="nil"/>
              <w:bottom w:val="nil"/>
              <w:right w:val="nil"/>
            </w:tcBorders>
            <w:shd w:val="clear" w:color="auto" w:fill="auto"/>
            <w:vAlign w:val="center"/>
          </w:tcPr>
          <w:p>
            <w:pPr>
              <w:rPr>
                <w:color w:val="000000"/>
                <w:sz w:val="22"/>
                <w:szCs w:val="22"/>
              </w:rPr>
            </w:pPr>
          </w:p>
        </w:tc>
        <w:tc>
          <w:tcPr>
            <w:tcW w:w="182" w:type="pct"/>
            <w:tcBorders>
              <w:top w:val="nil"/>
              <w:left w:val="nil"/>
              <w:bottom w:val="nil"/>
              <w:right w:val="nil"/>
            </w:tcBorders>
            <w:shd w:val="clear" w:color="auto" w:fill="auto"/>
            <w:vAlign w:val="center"/>
          </w:tcPr>
          <w:p>
            <w:pPr>
              <w:rPr>
                <w:color w:val="000000"/>
                <w:sz w:val="22"/>
                <w:szCs w:val="22"/>
              </w:rPr>
            </w:pPr>
          </w:p>
        </w:tc>
        <w:tc>
          <w:tcPr>
            <w:tcW w:w="182" w:type="pct"/>
            <w:gridSpan w:val="2"/>
            <w:tcBorders>
              <w:top w:val="nil"/>
              <w:left w:val="nil"/>
              <w:bottom w:val="nil"/>
              <w:right w:val="nil"/>
            </w:tcBorders>
            <w:shd w:val="clear" w:color="auto" w:fill="auto"/>
            <w:vAlign w:val="center"/>
          </w:tcPr>
          <w:p>
            <w:pPr>
              <w:rPr>
                <w:color w:val="000000"/>
                <w:sz w:val="22"/>
                <w:szCs w:val="22"/>
              </w:rPr>
            </w:pPr>
          </w:p>
        </w:tc>
        <w:tc>
          <w:tcPr>
            <w:tcW w:w="182" w:type="pct"/>
            <w:gridSpan w:val="2"/>
            <w:tcBorders>
              <w:top w:val="nil"/>
              <w:left w:val="nil"/>
              <w:bottom w:val="nil"/>
              <w:right w:val="nil"/>
            </w:tcBorders>
            <w:shd w:val="clear" w:color="auto" w:fill="auto"/>
            <w:vAlign w:val="center"/>
          </w:tcPr>
          <w:p>
            <w:pPr>
              <w:rPr>
                <w:color w:val="000000"/>
                <w:sz w:val="22"/>
                <w:szCs w:val="22"/>
              </w:rPr>
            </w:pPr>
          </w:p>
        </w:tc>
        <w:tc>
          <w:tcPr>
            <w:tcW w:w="138" w:type="pct"/>
            <w:tcBorders>
              <w:top w:val="nil"/>
              <w:left w:val="nil"/>
              <w:bottom w:val="nil"/>
              <w:right w:val="nil"/>
            </w:tcBorders>
            <w:shd w:val="clear" w:color="auto" w:fill="auto"/>
            <w:vAlign w:val="center"/>
          </w:tcPr>
          <w:p>
            <w:pPr>
              <w:rPr>
                <w:color w:val="000000"/>
                <w:sz w:val="22"/>
                <w:szCs w:val="22"/>
              </w:rPr>
            </w:pPr>
          </w:p>
        </w:tc>
        <w:tc>
          <w:tcPr>
            <w:tcW w:w="138" w:type="pct"/>
            <w:gridSpan w:val="2"/>
            <w:tcBorders>
              <w:top w:val="nil"/>
              <w:left w:val="nil"/>
              <w:bottom w:val="nil"/>
              <w:right w:val="nil"/>
            </w:tcBorders>
            <w:shd w:val="clear" w:color="auto" w:fill="auto"/>
            <w:vAlign w:val="center"/>
          </w:tcPr>
          <w:p>
            <w:pPr>
              <w:rPr>
                <w:color w:val="000000"/>
                <w:sz w:val="22"/>
                <w:szCs w:val="22"/>
              </w:rPr>
            </w:pPr>
          </w:p>
        </w:tc>
        <w:tc>
          <w:tcPr>
            <w:tcW w:w="138" w:type="pct"/>
            <w:tcBorders>
              <w:top w:val="nil"/>
              <w:left w:val="nil"/>
              <w:bottom w:val="nil"/>
              <w:right w:val="nil"/>
            </w:tcBorders>
            <w:shd w:val="clear" w:color="auto" w:fill="auto"/>
            <w:vAlign w:val="center"/>
          </w:tcPr>
          <w:p>
            <w:pPr>
              <w:rPr>
                <w:color w:val="000000"/>
                <w:sz w:val="22"/>
                <w:szCs w:val="22"/>
              </w:rPr>
            </w:pPr>
          </w:p>
        </w:tc>
        <w:tc>
          <w:tcPr>
            <w:tcW w:w="138" w:type="pct"/>
            <w:gridSpan w:val="2"/>
            <w:tcBorders>
              <w:top w:val="nil"/>
              <w:left w:val="nil"/>
              <w:bottom w:val="nil"/>
              <w:right w:val="nil"/>
            </w:tcBorders>
            <w:shd w:val="clear" w:color="auto" w:fill="auto"/>
            <w:vAlign w:val="center"/>
          </w:tcPr>
          <w:p>
            <w:pPr>
              <w:rPr>
                <w:color w:val="000000"/>
                <w:sz w:val="22"/>
                <w:szCs w:val="22"/>
              </w:rPr>
            </w:pPr>
          </w:p>
        </w:tc>
        <w:tc>
          <w:tcPr>
            <w:tcW w:w="138" w:type="pct"/>
            <w:tcBorders>
              <w:top w:val="nil"/>
              <w:left w:val="nil"/>
              <w:bottom w:val="nil"/>
              <w:right w:val="nil"/>
            </w:tcBorders>
            <w:shd w:val="clear" w:color="auto" w:fill="auto"/>
            <w:vAlign w:val="center"/>
          </w:tcPr>
          <w:p>
            <w:pPr>
              <w:rPr>
                <w:color w:val="000000"/>
                <w:sz w:val="22"/>
                <w:szCs w:val="22"/>
              </w:rPr>
            </w:pPr>
          </w:p>
        </w:tc>
        <w:tc>
          <w:tcPr>
            <w:tcW w:w="138" w:type="pct"/>
            <w:gridSpan w:val="2"/>
            <w:tcBorders>
              <w:top w:val="nil"/>
              <w:left w:val="nil"/>
              <w:bottom w:val="nil"/>
              <w:right w:val="nil"/>
            </w:tcBorders>
            <w:shd w:val="clear" w:color="auto" w:fill="auto"/>
            <w:vAlign w:val="center"/>
          </w:tcPr>
          <w:p>
            <w:pPr>
              <w:rPr>
                <w:color w:val="000000"/>
                <w:sz w:val="22"/>
                <w:szCs w:val="22"/>
              </w:rPr>
            </w:pPr>
          </w:p>
        </w:tc>
        <w:tc>
          <w:tcPr>
            <w:tcW w:w="138" w:type="pct"/>
            <w:gridSpan w:val="2"/>
            <w:tcBorders>
              <w:top w:val="nil"/>
              <w:left w:val="nil"/>
              <w:bottom w:val="nil"/>
              <w:right w:val="nil"/>
            </w:tcBorders>
            <w:shd w:val="clear" w:color="auto" w:fill="auto"/>
            <w:vAlign w:val="center"/>
          </w:tcPr>
          <w:p>
            <w:pPr>
              <w:rPr>
                <w:color w:val="000000"/>
                <w:sz w:val="22"/>
                <w:szCs w:val="22"/>
              </w:rPr>
            </w:pPr>
          </w:p>
        </w:tc>
        <w:tc>
          <w:tcPr>
            <w:tcW w:w="148" w:type="pct"/>
            <w:tcBorders>
              <w:top w:val="nil"/>
              <w:left w:val="nil"/>
              <w:bottom w:val="nil"/>
              <w:right w:val="nil"/>
            </w:tcBorders>
            <w:shd w:val="clear" w:color="auto" w:fill="auto"/>
            <w:vAlign w:val="center"/>
          </w:tcPr>
          <w:p>
            <w:pPr>
              <w:rPr>
                <w:color w:val="000000"/>
                <w:sz w:val="22"/>
                <w:szCs w:val="22"/>
              </w:rPr>
            </w:pPr>
          </w:p>
        </w:tc>
        <w:tc>
          <w:tcPr>
            <w:tcW w:w="138" w:type="pct"/>
            <w:gridSpan w:val="2"/>
            <w:tcBorders>
              <w:top w:val="nil"/>
              <w:left w:val="nil"/>
              <w:bottom w:val="nil"/>
              <w:right w:val="nil"/>
            </w:tcBorders>
            <w:shd w:val="clear" w:color="auto" w:fill="auto"/>
            <w:vAlign w:val="center"/>
          </w:tcPr>
          <w:p>
            <w:pPr>
              <w:rPr>
                <w:color w:val="000000"/>
                <w:sz w:val="22"/>
                <w:szCs w:val="22"/>
              </w:rPr>
            </w:pPr>
          </w:p>
        </w:tc>
        <w:tc>
          <w:tcPr>
            <w:tcW w:w="139" w:type="pct"/>
            <w:gridSpan w:val="2"/>
            <w:tcBorders>
              <w:top w:val="nil"/>
              <w:left w:val="nil"/>
              <w:bottom w:val="nil"/>
              <w:right w:val="nil"/>
            </w:tcBorders>
            <w:shd w:val="clear" w:color="auto" w:fill="auto"/>
            <w:vAlign w:val="center"/>
          </w:tcPr>
          <w:p>
            <w:pPr>
              <w:rPr>
                <w:color w:val="000000"/>
                <w:sz w:val="22"/>
                <w:szCs w:val="22"/>
              </w:rPr>
            </w:pPr>
          </w:p>
        </w:tc>
        <w:tc>
          <w:tcPr>
            <w:tcW w:w="139" w:type="pct"/>
            <w:tcBorders>
              <w:top w:val="nil"/>
              <w:left w:val="nil"/>
              <w:bottom w:val="nil"/>
              <w:right w:val="nil"/>
            </w:tcBorders>
            <w:shd w:val="clear" w:color="auto" w:fill="auto"/>
            <w:vAlign w:val="center"/>
          </w:tcPr>
          <w:p>
            <w:pPr>
              <w:rPr>
                <w:color w:val="000000"/>
                <w:sz w:val="22"/>
                <w:szCs w:val="22"/>
              </w:rPr>
            </w:pPr>
          </w:p>
        </w:tc>
        <w:tc>
          <w:tcPr>
            <w:tcW w:w="139" w:type="pct"/>
            <w:gridSpan w:val="2"/>
            <w:tcBorders>
              <w:top w:val="nil"/>
              <w:left w:val="nil"/>
              <w:bottom w:val="nil"/>
              <w:right w:val="nil"/>
            </w:tcBorders>
            <w:shd w:val="clear" w:color="auto" w:fill="auto"/>
            <w:vAlign w:val="center"/>
          </w:tcPr>
          <w:p>
            <w:pPr>
              <w:rPr>
                <w:color w:val="000000"/>
                <w:sz w:val="22"/>
                <w:szCs w:val="22"/>
              </w:rPr>
            </w:pPr>
          </w:p>
        </w:tc>
        <w:tc>
          <w:tcPr>
            <w:tcW w:w="139" w:type="pct"/>
            <w:gridSpan w:val="2"/>
            <w:tcBorders>
              <w:top w:val="nil"/>
              <w:left w:val="nil"/>
              <w:bottom w:val="nil"/>
              <w:right w:val="nil"/>
            </w:tcBorders>
            <w:shd w:val="clear" w:color="auto" w:fill="auto"/>
            <w:vAlign w:val="center"/>
          </w:tcPr>
          <w:p>
            <w:pPr>
              <w:rPr>
                <w:color w:val="000000"/>
                <w:sz w:val="22"/>
                <w:szCs w:val="22"/>
              </w:rPr>
            </w:pPr>
          </w:p>
        </w:tc>
        <w:tc>
          <w:tcPr>
            <w:tcW w:w="145" w:type="pct"/>
            <w:tcBorders>
              <w:top w:val="nil"/>
              <w:left w:val="nil"/>
              <w:bottom w:val="nil"/>
              <w:right w:val="nil"/>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gridAfter w:val="8"/>
          <w:wAfter w:w="1530" w:type="pct"/>
          <w:trHeight w:val="495" w:hRule="atLeast"/>
        </w:trPr>
        <w:tc>
          <w:tcPr>
            <w:tcW w:w="3470" w:type="pct"/>
            <w:gridSpan w:val="32"/>
            <w:tcBorders>
              <w:top w:val="nil"/>
              <w:left w:val="nil"/>
              <w:bottom w:val="nil"/>
              <w:right w:val="nil"/>
            </w:tcBorders>
            <w:shd w:val="clear" w:color="auto" w:fill="auto"/>
            <w:vAlign w:val="center"/>
          </w:tcPr>
          <w:p>
            <w:pPr>
              <w:widowControl/>
              <w:jc w:val="center"/>
              <w:textAlignment w:val="center"/>
              <w:rPr>
                <w:color w:val="000000"/>
                <w:sz w:val="32"/>
                <w:szCs w:val="32"/>
              </w:rPr>
            </w:pPr>
            <w:r>
              <w:rPr>
                <w:rStyle w:val="6"/>
              </w:rPr>
              <w:t>部门收入总体情况表</w:t>
            </w:r>
          </w:p>
        </w:tc>
      </w:tr>
      <w:tr>
        <w:tblPrEx>
          <w:tblCellMar>
            <w:top w:w="0" w:type="dxa"/>
            <w:left w:w="108" w:type="dxa"/>
            <w:bottom w:w="0" w:type="dxa"/>
            <w:right w:w="108" w:type="dxa"/>
          </w:tblCellMar>
        </w:tblPrEx>
        <w:trPr>
          <w:gridAfter w:val="8"/>
          <w:wAfter w:w="1530" w:type="pct"/>
          <w:trHeight w:val="420" w:hRule="atLeast"/>
        </w:trPr>
        <w:tc>
          <w:tcPr>
            <w:tcW w:w="517" w:type="pct"/>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Style w:val="7"/>
                <w:rFonts w:hint="default"/>
              </w:rPr>
              <w:t>：道县气象局</w:t>
            </w:r>
          </w:p>
        </w:tc>
        <w:tc>
          <w:tcPr>
            <w:tcW w:w="455" w:type="pct"/>
            <w:gridSpan w:val="2"/>
            <w:tcBorders>
              <w:top w:val="nil"/>
              <w:left w:val="nil"/>
              <w:bottom w:val="nil"/>
              <w:right w:val="nil"/>
            </w:tcBorders>
            <w:shd w:val="clear" w:color="auto" w:fill="auto"/>
            <w:vAlign w:val="center"/>
          </w:tcPr>
          <w:p>
            <w:pPr>
              <w:rPr>
                <w:color w:val="000000"/>
                <w:sz w:val="22"/>
                <w:szCs w:val="22"/>
              </w:rPr>
            </w:pPr>
          </w:p>
        </w:tc>
        <w:tc>
          <w:tcPr>
            <w:tcW w:w="182" w:type="pct"/>
            <w:tcBorders>
              <w:top w:val="nil"/>
              <w:left w:val="nil"/>
              <w:bottom w:val="single" w:color="000000" w:sz="4" w:space="0"/>
              <w:right w:val="nil"/>
            </w:tcBorders>
            <w:shd w:val="clear" w:color="auto" w:fill="auto"/>
            <w:vAlign w:val="center"/>
          </w:tcPr>
          <w:p>
            <w:pPr>
              <w:rPr>
                <w:color w:val="000000"/>
                <w:sz w:val="22"/>
                <w:szCs w:val="22"/>
              </w:rPr>
            </w:pPr>
          </w:p>
        </w:tc>
        <w:tc>
          <w:tcPr>
            <w:tcW w:w="182"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82"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8" w:type="pct"/>
            <w:tcBorders>
              <w:top w:val="nil"/>
              <w:left w:val="nil"/>
              <w:bottom w:val="single" w:color="000000" w:sz="4" w:space="0"/>
              <w:right w:val="nil"/>
            </w:tcBorders>
            <w:shd w:val="clear" w:color="auto" w:fill="auto"/>
            <w:vAlign w:val="center"/>
          </w:tcPr>
          <w:p>
            <w:pPr>
              <w:rPr>
                <w:color w:val="000000"/>
                <w:sz w:val="22"/>
                <w:szCs w:val="22"/>
              </w:rPr>
            </w:pPr>
          </w:p>
        </w:tc>
        <w:tc>
          <w:tcPr>
            <w:tcW w:w="138"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8" w:type="pct"/>
            <w:tcBorders>
              <w:top w:val="nil"/>
              <w:left w:val="nil"/>
              <w:bottom w:val="single" w:color="000000" w:sz="4" w:space="0"/>
              <w:right w:val="nil"/>
            </w:tcBorders>
            <w:shd w:val="clear" w:color="auto" w:fill="auto"/>
            <w:vAlign w:val="center"/>
          </w:tcPr>
          <w:p>
            <w:pPr>
              <w:rPr>
                <w:color w:val="000000"/>
                <w:sz w:val="22"/>
                <w:szCs w:val="22"/>
              </w:rPr>
            </w:pPr>
          </w:p>
        </w:tc>
        <w:tc>
          <w:tcPr>
            <w:tcW w:w="138"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8" w:type="pct"/>
            <w:tcBorders>
              <w:top w:val="nil"/>
              <w:left w:val="nil"/>
              <w:bottom w:val="single" w:color="000000" w:sz="4" w:space="0"/>
              <w:right w:val="nil"/>
            </w:tcBorders>
            <w:shd w:val="clear" w:color="auto" w:fill="auto"/>
            <w:vAlign w:val="center"/>
          </w:tcPr>
          <w:p>
            <w:pPr>
              <w:rPr>
                <w:color w:val="000000"/>
                <w:sz w:val="22"/>
                <w:szCs w:val="22"/>
              </w:rPr>
            </w:pPr>
          </w:p>
        </w:tc>
        <w:tc>
          <w:tcPr>
            <w:tcW w:w="138"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8"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48" w:type="pct"/>
            <w:tcBorders>
              <w:top w:val="nil"/>
              <w:left w:val="nil"/>
              <w:bottom w:val="single" w:color="000000" w:sz="4" w:space="0"/>
              <w:right w:val="nil"/>
            </w:tcBorders>
            <w:shd w:val="clear" w:color="auto" w:fill="auto"/>
            <w:vAlign w:val="center"/>
          </w:tcPr>
          <w:p>
            <w:pPr>
              <w:rPr>
                <w:color w:val="000000"/>
                <w:sz w:val="22"/>
                <w:szCs w:val="22"/>
              </w:rPr>
            </w:pPr>
          </w:p>
        </w:tc>
        <w:tc>
          <w:tcPr>
            <w:tcW w:w="138"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9" w:type="pct"/>
            <w:gridSpan w:val="2"/>
            <w:tcBorders>
              <w:top w:val="nil"/>
              <w:left w:val="nil"/>
              <w:bottom w:val="single" w:color="000000" w:sz="4" w:space="0"/>
              <w:right w:val="nil"/>
            </w:tcBorders>
            <w:shd w:val="clear" w:color="auto" w:fill="auto"/>
            <w:vAlign w:val="center"/>
          </w:tcPr>
          <w:p>
            <w:pPr>
              <w:rPr>
                <w:color w:val="000000"/>
                <w:sz w:val="22"/>
                <w:szCs w:val="22"/>
              </w:rPr>
            </w:pPr>
          </w:p>
        </w:tc>
        <w:tc>
          <w:tcPr>
            <w:tcW w:w="139" w:type="pct"/>
            <w:tcBorders>
              <w:top w:val="nil"/>
              <w:left w:val="nil"/>
              <w:bottom w:val="single" w:color="000000" w:sz="4" w:space="0"/>
              <w:right w:val="nil"/>
            </w:tcBorders>
            <w:shd w:val="clear" w:color="auto" w:fill="auto"/>
            <w:vAlign w:val="center"/>
          </w:tcPr>
          <w:p>
            <w:pPr>
              <w:rPr>
                <w:color w:val="000000"/>
                <w:sz w:val="22"/>
                <w:szCs w:val="22"/>
              </w:rPr>
            </w:pPr>
          </w:p>
        </w:tc>
        <w:tc>
          <w:tcPr>
            <w:tcW w:w="423" w:type="pct"/>
            <w:gridSpan w:val="5"/>
            <w:tcBorders>
              <w:top w:val="nil"/>
              <w:left w:val="nil"/>
              <w:bottom w:val="single" w:color="000000" w:sz="4" w:space="0"/>
              <w:right w:val="nil"/>
            </w:tcBorders>
            <w:shd w:val="clear" w:color="auto" w:fill="auto"/>
            <w:vAlign w:val="center"/>
          </w:tcPr>
          <w:p>
            <w:pPr>
              <w:widowControl/>
              <w:jc w:val="center"/>
              <w:textAlignment w:val="center"/>
              <w:rPr>
                <w:color w:val="000000"/>
                <w:sz w:val="22"/>
                <w:szCs w:val="22"/>
              </w:rPr>
            </w:pPr>
            <w:r>
              <w:rPr>
                <w:rStyle w:val="4"/>
                <w:rFonts w:hint="default"/>
              </w:rPr>
              <w:t>单位：万元</w:t>
            </w:r>
          </w:p>
        </w:tc>
      </w:tr>
      <w:tr>
        <w:tblPrEx>
          <w:tblCellMar>
            <w:top w:w="0" w:type="dxa"/>
            <w:left w:w="108" w:type="dxa"/>
            <w:bottom w:w="0" w:type="dxa"/>
            <w:right w:w="108" w:type="dxa"/>
          </w:tblCellMar>
        </w:tblPrEx>
        <w:trPr>
          <w:gridAfter w:val="8"/>
          <w:wAfter w:w="1530" w:type="pct"/>
          <w:trHeight w:val="585" w:hRule="atLeast"/>
        </w:trPr>
        <w:tc>
          <w:tcPr>
            <w:tcW w:w="51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部门（单位）代码</w:t>
            </w:r>
          </w:p>
        </w:tc>
        <w:tc>
          <w:tcPr>
            <w:tcW w:w="45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部门（单位）名称</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合计</w:t>
            </w:r>
          </w:p>
        </w:tc>
        <w:tc>
          <w:tcPr>
            <w:tcW w:w="1478"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本年收入</w:t>
            </w:r>
          </w:p>
        </w:tc>
        <w:tc>
          <w:tcPr>
            <w:tcW w:w="83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上年结转结余</w:t>
            </w:r>
          </w:p>
        </w:tc>
      </w:tr>
      <w:tr>
        <w:tblPrEx>
          <w:tblCellMar>
            <w:top w:w="0" w:type="dxa"/>
            <w:left w:w="108" w:type="dxa"/>
            <w:bottom w:w="0" w:type="dxa"/>
            <w:right w:w="108" w:type="dxa"/>
          </w:tblCellMar>
        </w:tblPrEx>
        <w:trPr>
          <w:gridAfter w:val="8"/>
          <w:wAfter w:w="1530" w:type="pct"/>
          <w:trHeight w:val="975" w:hRule="atLeast"/>
        </w:trPr>
        <w:tc>
          <w:tcPr>
            <w:tcW w:w="51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2"/>
                <w:szCs w:val="22"/>
              </w:rPr>
            </w:pPr>
          </w:p>
        </w:tc>
        <w:tc>
          <w:tcPr>
            <w:tcW w:w="45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2"/>
                <w:szCs w:val="22"/>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2"/>
                <w:szCs w:val="22"/>
              </w:rPr>
            </w:pPr>
          </w:p>
        </w:tc>
        <w:tc>
          <w:tcPr>
            <w:tcW w:w="182" w:type="pct"/>
            <w:gridSpan w:val="2"/>
            <w:tcBorders>
              <w:top w:val="nil"/>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小计</w:t>
            </w:r>
          </w:p>
        </w:tc>
        <w:tc>
          <w:tcPr>
            <w:tcW w:w="182" w:type="pct"/>
            <w:gridSpan w:val="2"/>
            <w:tcBorders>
              <w:top w:val="nil"/>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一般公共预算</w:t>
            </w:r>
          </w:p>
        </w:tc>
        <w:tc>
          <w:tcPr>
            <w:tcW w:w="138" w:type="pct"/>
            <w:tcBorders>
              <w:top w:val="nil"/>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政府性基金预算</w:t>
            </w:r>
          </w:p>
        </w:tc>
        <w:tc>
          <w:tcPr>
            <w:tcW w:w="13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国有资本经营预算</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财政专户管理资金</w:t>
            </w:r>
          </w:p>
        </w:tc>
        <w:tc>
          <w:tcPr>
            <w:tcW w:w="1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事业收入</w:t>
            </w:r>
          </w:p>
        </w:tc>
        <w:tc>
          <w:tcPr>
            <w:tcW w:w="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事业单位经营收入</w:t>
            </w:r>
          </w:p>
        </w:tc>
        <w:tc>
          <w:tcPr>
            <w:tcW w:w="138"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上级补助收入</w:t>
            </w:r>
          </w:p>
        </w:tc>
        <w:tc>
          <w:tcPr>
            <w:tcW w:w="138"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附属单位上缴收入</w:t>
            </w:r>
          </w:p>
        </w:tc>
        <w:tc>
          <w:tcPr>
            <w:tcW w:w="14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其他收入</w:t>
            </w:r>
          </w:p>
        </w:tc>
        <w:tc>
          <w:tcPr>
            <w:tcW w:w="138"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小计</w:t>
            </w:r>
          </w:p>
        </w:tc>
        <w:tc>
          <w:tcPr>
            <w:tcW w:w="139"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一般公共预算</w:t>
            </w:r>
          </w:p>
        </w:tc>
        <w:tc>
          <w:tcPr>
            <w:tcW w:w="139"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政府性基金预算</w:t>
            </w:r>
          </w:p>
        </w:tc>
        <w:tc>
          <w:tcPr>
            <w:tcW w:w="139"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国有资本经营预算</w:t>
            </w:r>
          </w:p>
        </w:tc>
        <w:tc>
          <w:tcPr>
            <w:tcW w:w="139" w:type="pct"/>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财政专户管理资金</w:t>
            </w:r>
          </w:p>
        </w:tc>
        <w:tc>
          <w:tcPr>
            <w:tcW w:w="145"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b/>
                <w:bCs/>
                <w:color w:val="000000"/>
                <w:sz w:val="22"/>
                <w:szCs w:val="22"/>
              </w:rPr>
            </w:pPr>
            <w:r>
              <w:rPr>
                <w:rStyle w:val="8"/>
                <w:rFonts w:hint="default"/>
              </w:rPr>
              <w:t>单位资金</w:t>
            </w:r>
          </w:p>
        </w:tc>
      </w:tr>
      <w:tr>
        <w:tblPrEx>
          <w:tblCellMar>
            <w:top w:w="0" w:type="dxa"/>
            <w:left w:w="108" w:type="dxa"/>
            <w:bottom w:w="0" w:type="dxa"/>
            <w:right w:w="108" w:type="dxa"/>
          </w:tblCellMar>
        </w:tblPrEx>
        <w:trPr>
          <w:gridAfter w:val="8"/>
          <w:wAfter w:w="1530" w:type="pct"/>
          <w:trHeight w:val="480" w:hRule="atLeast"/>
        </w:trPr>
        <w:tc>
          <w:tcPr>
            <w:tcW w:w="51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30601</w:t>
            </w:r>
          </w:p>
        </w:tc>
        <w:tc>
          <w:tcPr>
            <w:tcW w:w="455" w:type="pct"/>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道县气象局本级</w:t>
            </w:r>
          </w:p>
        </w:tc>
        <w:tc>
          <w:tcPr>
            <w:tcW w:w="182"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bCs/>
                <w:sz w:val="18"/>
                <w:szCs w:val="18"/>
              </w:rPr>
            </w:pPr>
            <w:r>
              <w:rPr>
                <w:rFonts w:hint="eastAsia"/>
                <w:bCs/>
                <w:sz w:val="18"/>
                <w:szCs w:val="18"/>
              </w:rPr>
              <w:t>251.72</w:t>
            </w:r>
          </w:p>
        </w:tc>
        <w:tc>
          <w:tcPr>
            <w:tcW w:w="182"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bCs/>
                <w:sz w:val="18"/>
                <w:szCs w:val="18"/>
              </w:rPr>
            </w:pPr>
            <w:r>
              <w:rPr>
                <w:rFonts w:hint="eastAsia"/>
                <w:bCs/>
                <w:sz w:val="18"/>
                <w:szCs w:val="18"/>
              </w:rPr>
              <w:t>251.72</w:t>
            </w:r>
          </w:p>
        </w:tc>
        <w:tc>
          <w:tcPr>
            <w:tcW w:w="182" w:type="pct"/>
            <w:gridSpan w:val="2"/>
            <w:tcBorders>
              <w:top w:val="single" w:color="000000" w:sz="4" w:space="0"/>
              <w:left w:val="nil"/>
              <w:bottom w:val="single" w:color="000000" w:sz="4" w:space="0"/>
              <w:right w:val="nil"/>
            </w:tcBorders>
            <w:shd w:val="clear" w:color="auto" w:fill="FFFFFF"/>
            <w:vAlign w:val="center"/>
          </w:tcPr>
          <w:p>
            <w:pPr>
              <w:jc w:val="right"/>
              <w:rPr>
                <w:rFonts w:ascii="宋体" w:hAnsi="宋体" w:cs="宋体"/>
                <w:bCs/>
                <w:sz w:val="18"/>
                <w:szCs w:val="18"/>
              </w:rPr>
            </w:pPr>
            <w:r>
              <w:rPr>
                <w:rFonts w:hint="eastAsia"/>
                <w:bCs/>
                <w:sz w:val="18"/>
                <w:szCs w:val="18"/>
              </w:rPr>
              <w:t>251.72</w:t>
            </w:r>
          </w:p>
        </w:tc>
        <w:tc>
          <w:tcPr>
            <w:tcW w:w="138"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8" w:type="pct"/>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48" w:type="pct"/>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gridAfter w:val="8"/>
          <w:wAfter w:w="1530" w:type="pct"/>
          <w:trHeight w:val="480" w:hRule="atLeast"/>
        </w:trPr>
        <w:tc>
          <w:tcPr>
            <w:tcW w:w="51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18"/>
                <w:szCs w:val="18"/>
              </w:rPr>
            </w:pPr>
          </w:p>
        </w:tc>
        <w:tc>
          <w:tcPr>
            <w:tcW w:w="455" w:type="pct"/>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合计</w:t>
            </w:r>
          </w:p>
        </w:tc>
        <w:tc>
          <w:tcPr>
            <w:tcW w:w="182"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b/>
                <w:bCs/>
                <w:sz w:val="18"/>
                <w:szCs w:val="18"/>
              </w:rPr>
            </w:pPr>
            <w:r>
              <w:rPr>
                <w:rFonts w:hint="eastAsia"/>
                <w:b/>
                <w:bCs/>
                <w:sz w:val="18"/>
                <w:szCs w:val="18"/>
              </w:rPr>
              <w:t>251.72</w:t>
            </w:r>
          </w:p>
        </w:tc>
        <w:tc>
          <w:tcPr>
            <w:tcW w:w="182"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b/>
                <w:bCs/>
                <w:sz w:val="18"/>
                <w:szCs w:val="18"/>
              </w:rPr>
            </w:pPr>
            <w:r>
              <w:rPr>
                <w:rFonts w:hint="eastAsia"/>
                <w:b/>
                <w:bCs/>
                <w:sz w:val="18"/>
                <w:szCs w:val="18"/>
              </w:rPr>
              <w:t>251.72</w:t>
            </w:r>
          </w:p>
        </w:tc>
        <w:tc>
          <w:tcPr>
            <w:tcW w:w="182" w:type="pct"/>
            <w:gridSpan w:val="2"/>
            <w:tcBorders>
              <w:top w:val="single" w:color="000000" w:sz="4" w:space="0"/>
              <w:left w:val="nil"/>
              <w:bottom w:val="single" w:color="000000" w:sz="4" w:space="0"/>
              <w:right w:val="nil"/>
            </w:tcBorders>
            <w:shd w:val="clear" w:color="auto" w:fill="FFFFFF"/>
            <w:vAlign w:val="center"/>
          </w:tcPr>
          <w:p>
            <w:pPr>
              <w:jc w:val="right"/>
              <w:rPr>
                <w:rFonts w:ascii="宋体" w:hAnsi="宋体" w:cs="宋体"/>
                <w:b/>
                <w:bCs/>
                <w:sz w:val="18"/>
                <w:szCs w:val="18"/>
              </w:rPr>
            </w:pPr>
            <w:r>
              <w:rPr>
                <w:rFonts w:hint="eastAsia"/>
                <w:b/>
                <w:bCs/>
                <w:sz w:val="18"/>
                <w:szCs w:val="18"/>
              </w:rPr>
              <w:t>251.72</w:t>
            </w:r>
          </w:p>
        </w:tc>
        <w:tc>
          <w:tcPr>
            <w:tcW w:w="138"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8" w:type="pct"/>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c>
          <w:tcPr>
            <w:tcW w:w="148" w:type="pct"/>
            <w:tcBorders>
              <w:top w:val="single" w:color="000000" w:sz="4" w:space="0"/>
              <w:left w:val="nil"/>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8"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39" w:type="pct"/>
            <w:gridSpan w:val="2"/>
            <w:tcBorders>
              <w:top w:val="single" w:color="000000" w:sz="4" w:space="0"/>
              <w:left w:val="single" w:color="000000" w:sz="4" w:space="0"/>
              <w:bottom w:val="single" w:color="000000" w:sz="4" w:space="0"/>
              <w:right w:val="nil"/>
            </w:tcBorders>
            <w:shd w:val="clear" w:color="auto" w:fill="FFFFFF"/>
            <w:vAlign w:val="center"/>
          </w:tcPr>
          <w:p>
            <w:pPr>
              <w:jc w:val="right"/>
              <w:rPr>
                <w:rFonts w:ascii="宋体" w:hAnsi="宋体" w:cs="宋体"/>
                <w:color w:val="000000"/>
                <w:sz w:val="18"/>
                <w:szCs w:val="18"/>
              </w:rPr>
            </w:pPr>
          </w:p>
        </w:tc>
        <w:tc>
          <w:tcPr>
            <w:tcW w:w="1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gridBefore w:val="1"/>
          <w:wBefore w:w="23" w:type="pct"/>
          <w:trHeight w:val="360" w:hRule="atLeast"/>
        </w:trPr>
        <w:tc>
          <w:tcPr>
            <w:tcW w:w="359" w:type="pct"/>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c>
          <w:tcPr>
            <w:tcW w:w="814" w:type="pct"/>
            <w:gridSpan w:val="5"/>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317"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73"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59"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34"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2"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0"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gridBefore w:val="1"/>
          <w:wBefore w:w="23" w:type="pct"/>
          <w:trHeight w:val="495" w:hRule="atLeast"/>
        </w:trPr>
        <w:tc>
          <w:tcPr>
            <w:tcW w:w="4977" w:type="pct"/>
            <w:gridSpan w:val="39"/>
            <w:tcBorders>
              <w:top w:val="nil"/>
              <w:left w:val="nil"/>
              <w:bottom w:val="nil"/>
              <w:right w:val="nil"/>
            </w:tcBorders>
            <w:shd w:val="clear" w:color="000000" w:fill="FFFFFF"/>
            <w:noWrap/>
            <w:vAlign w:val="center"/>
          </w:tcPr>
          <w:p>
            <w:pPr>
              <w:widowControl/>
              <w:jc w:val="center"/>
              <w:rPr>
                <w:rFonts w:ascii="宋体" w:hAnsi="宋体" w:cs="宋体"/>
                <w:b/>
                <w:bCs/>
                <w:kern w:val="0"/>
                <w:sz w:val="36"/>
                <w:szCs w:val="36"/>
              </w:rPr>
            </w:pPr>
          </w:p>
        </w:tc>
      </w:tr>
      <w:tr>
        <w:tblPrEx>
          <w:tblCellMar>
            <w:top w:w="0" w:type="dxa"/>
            <w:left w:w="108" w:type="dxa"/>
            <w:bottom w:w="0" w:type="dxa"/>
            <w:right w:w="108" w:type="dxa"/>
          </w:tblCellMar>
        </w:tblPrEx>
        <w:trPr>
          <w:gridBefore w:val="1"/>
          <w:wBefore w:w="23" w:type="pct"/>
          <w:trHeight w:val="420" w:hRule="atLeast"/>
        </w:trPr>
        <w:tc>
          <w:tcPr>
            <w:tcW w:w="359" w:type="pct"/>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814" w:type="pct"/>
            <w:gridSpan w:val="5"/>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317"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73"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59"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34"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2"/>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gridSpan w:val="3"/>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2"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00"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5" w:type="pct"/>
            <w:tcBorders>
              <w:top w:val="nil"/>
              <w:left w:val="nil"/>
              <w:bottom w:val="nil"/>
              <w:right w:val="nil"/>
            </w:tcBorders>
            <w:shd w:val="clear" w:color="000000" w:fill="FFFFFF"/>
            <w:noWrap/>
            <w:vAlign w:val="center"/>
          </w:tcPr>
          <w:p>
            <w:pPr>
              <w:widowControl/>
              <w:jc w:val="center"/>
              <w:rPr>
                <w:rFonts w:ascii="宋体" w:hAnsi="宋体" w:cs="宋体"/>
                <w:b/>
                <w:bCs/>
                <w:kern w:val="0"/>
                <w:sz w:val="18"/>
                <w:szCs w:val="18"/>
              </w:rPr>
            </w:pPr>
          </w:p>
        </w:tc>
        <w:tc>
          <w:tcPr>
            <w:tcW w:w="220" w:type="pct"/>
            <w:tcBorders>
              <w:top w:val="nil"/>
              <w:left w:val="nil"/>
              <w:bottom w:val="nil"/>
              <w:right w:val="nil"/>
            </w:tcBorders>
            <w:shd w:val="clear" w:color="000000" w:fill="FFFFFF"/>
            <w:noWrap/>
            <w:vAlign w:val="bottom"/>
          </w:tcPr>
          <w:p>
            <w:pPr>
              <w:widowControl/>
              <w:jc w:val="right"/>
              <w:rPr>
                <w:rFonts w:ascii="宋体" w:hAnsi="宋体" w:cs="宋体"/>
                <w:b/>
                <w:bCs/>
                <w:kern w:val="0"/>
                <w:sz w:val="18"/>
                <w:szCs w:val="18"/>
              </w:rPr>
            </w:pP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4001" w:type="dxa"/>
        <w:tblInd w:w="93" w:type="dxa"/>
        <w:tblLayout w:type="autofit"/>
        <w:tblCellMar>
          <w:top w:w="0" w:type="dxa"/>
          <w:left w:w="108" w:type="dxa"/>
          <w:bottom w:w="0" w:type="dxa"/>
          <w:right w:w="108" w:type="dxa"/>
        </w:tblCellMar>
      </w:tblPr>
      <w:tblGrid>
        <w:gridCol w:w="1497"/>
        <w:gridCol w:w="3694"/>
        <w:gridCol w:w="1970"/>
        <w:gridCol w:w="1970"/>
        <w:gridCol w:w="1402"/>
        <w:gridCol w:w="1156"/>
        <w:gridCol w:w="1156"/>
        <w:gridCol w:w="1156"/>
      </w:tblGrid>
      <w:tr>
        <w:tblPrEx>
          <w:tblCellMar>
            <w:top w:w="0" w:type="dxa"/>
            <w:left w:w="108" w:type="dxa"/>
            <w:bottom w:w="0" w:type="dxa"/>
            <w:right w:w="108" w:type="dxa"/>
          </w:tblCellMar>
        </w:tblPrEx>
        <w:trPr>
          <w:trHeight w:val="510" w:hRule="atLeast"/>
        </w:trPr>
        <w:tc>
          <w:tcPr>
            <w:tcW w:w="1497"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1" w:name="RANGE!A1:H8"/>
            <w:r>
              <w:rPr>
                <w:rFonts w:hint="eastAsia" w:ascii="宋体" w:hAnsi="宋体" w:cs="宋体"/>
                <w:b/>
                <w:bCs/>
                <w:kern w:val="0"/>
                <w:sz w:val="20"/>
                <w:szCs w:val="20"/>
              </w:rPr>
              <w:t>附件3-3</w:t>
            </w:r>
            <w:bookmarkEnd w:id="1"/>
          </w:p>
        </w:tc>
        <w:tc>
          <w:tcPr>
            <w:tcW w:w="3694"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97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97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40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10532" w:type="dxa"/>
            <w:gridSpan w:val="5"/>
            <w:tcBorders>
              <w:top w:val="nil"/>
              <w:left w:val="nil"/>
              <w:bottom w:val="nil"/>
              <w:right w:val="nil"/>
            </w:tcBorders>
            <w:shd w:val="clear" w:color="000000" w:fill="FFFFFF"/>
            <w:noWrap/>
            <w:vAlign w:val="bottom"/>
          </w:tcPr>
          <w:p>
            <w:pPr>
              <w:widowControl/>
              <w:jc w:val="center"/>
              <w:rPr>
                <w:rFonts w:ascii="宋体" w:hAnsi="宋体" w:cs="宋体"/>
                <w:b/>
                <w:bCs/>
                <w:kern w:val="0"/>
                <w:sz w:val="36"/>
                <w:szCs w:val="36"/>
              </w:rPr>
            </w:pPr>
            <w:r>
              <w:rPr>
                <w:rStyle w:val="9"/>
                <w:rFonts w:hint="eastAsia"/>
              </w:rPr>
              <w:t xml:space="preserve">                 </w:t>
            </w:r>
            <w:r>
              <w:rPr>
                <w:rStyle w:val="9"/>
              </w:rPr>
              <w:t>部门支出总体情况表</w:t>
            </w: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10" w:hRule="atLeast"/>
        </w:trPr>
        <w:tc>
          <w:tcPr>
            <w:tcW w:w="1497"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3694"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18"/>
                <w:szCs w:val="18"/>
              </w:rPr>
            </w:pPr>
          </w:p>
        </w:tc>
        <w:tc>
          <w:tcPr>
            <w:tcW w:w="1970"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18"/>
                <w:szCs w:val="18"/>
              </w:rPr>
            </w:pPr>
          </w:p>
        </w:tc>
        <w:tc>
          <w:tcPr>
            <w:tcW w:w="1970"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18"/>
                <w:szCs w:val="18"/>
              </w:rPr>
            </w:pPr>
          </w:p>
        </w:tc>
        <w:tc>
          <w:tcPr>
            <w:tcW w:w="1402" w:type="dxa"/>
            <w:tcBorders>
              <w:top w:val="nil"/>
              <w:left w:val="nil"/>
              <w:bottom w:val="single" w:color="auto" w:sz="4" w:space="0"/>
              <w:right w:val="nil"/>
            </w:tcBorders>
            <w:shd w:val="clear" w:color="000000" w:fill="FFFFFF"/>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1156"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18"/>
                <w:szCs w:val="18"/>
              </w:rPr>
            </w:pPr>
          </w:p>
        </w:tc>
        <w:tc>
          <w:tcPr>
            <w:tcW w:w="1156" w:type="dxa"/>
            <w:tcBorders>
              <w:top w:val="nil"/>
              <w:left w:val="nil"/>
              <w:bottom w:val="single" w:color="auto" w:sz="4" w:space="0"/>
              <w:right w:val="nil"/>
            </w:tcBorders>
            <w:shd w:val="clear" w:color="000000" w:fill="FFFFFF"/>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795" w:hRule="atLeast"/>
        </w:trPr>
        <w:tc>
          <w:tcPr>
            <w:tcW w:w="149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3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总  计</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4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事业单位经营支出</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上缴上级支出</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对附属单位补助支出</w:t>
            </w:r>
          </w:p>
        </w:tc>
      </w:tr>
      <w:tr>
        <w:tblPrEx>
          <w:tblCellMar>
            <w:top w:w="0" w:type="dxa"/>
            <w:left w:w="108" w:type="dxa"/>
            <w:bottom w:w="0" w:type="dxa"/>
            <w:right w:w="108" w:type="dxa"/>
          </w:tblCellMar>
        </w:tblPrEx>
        <w:trPr>
          <w:trHeight w:val="582" w:hRule="atLeast"/>
        </w:trPr>
        <w:tc>
          <w:tcPr>
            <w:tcW w:w="14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2200504</w:t>
            </w:r>
          </w:p>
        </w:tc>
        <w:tc>
          <w:tcPr>
            <w:tcW w:w="3694"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气象事业机构</w:t>
            </w:r>
          </w:p>
        </w:tc>
        <w:tc>
          <w:tcPr>
            <w:tcW w:w="1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104.92</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104.92</w:t>
            </w:r>
          </w:p>
        </w:tc>
        <w:tc>
          <w:tcPr>
            <w:tcW w:w="1402" w:type="dxa"/>
            <w:tcBorders>
              <w:top w:val="single" w:color="auto" w:sz="4" w:space="0"/>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r>
      <w:tr>
        <w:tblPrEx>
          <w:tblCellMar>
            <w:top w:w="0" w:type="dxa"/>
            <w:left w:w="108" w:type="dxa"/>
            <w:bottom w:w="0" w:type="dxa"/>
            <w:right w:w="108" w:type="dxa"/>
          </w:tblCellMar>
        </w:tblPrEx>
        <w:trPr>
          <w:trHeight w:val="582" w:hRule="atLeast"/>
        </w:trPr>
        <w:tc>
          <w:tcPr>
            <w:tcW w:w="14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2200507</w:t>
            </w:r>
          </w:p>
        </w:tc>
        <w:tc>
          <w:tcPr>
            <w:tcW w:w="3694"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气象信息传输及管理</w:t>
            </w:r>
          </w:p>
        </w:tc>
        <w:tc>
          <w:tcPr>
            <w:tcW w:w="1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15.00</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402" w:type="dxa"/>
            <w:tcBorders>
              <w:top w:val="single" w:color="auto" w:sz="4" w:space="0"/>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15.00</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r>
      <w:tr>
        <w:tblPrEx>
          <w:tblCellMar>
            <w:top w:w="0" w:type="dxa"/>
            <w:left w:w="108" w:type="dxa"/>
            <w:bottom w:w="0" w:type="dxa"/>
            <w:right w:w="108" w:type="dxa"/>
          </w:tblCellMar>
        </w:tblPrEx>
        <w:trPr>
          <w:trHeight w:val="582" w:hRule="atLeast"/>
        </w:trPr>
        <w:tc>
          <w:tcPr>
            <w:tcW w:w="14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2200599</w:t>
            </w:r>
          </w:p>
        </w:tc>
        <w:tc>
          <w:tcPr>
            <w:tcW w:w="3694"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其他气象事务支出</w:t>
            </w:r>
          </w:p>
        </w:tc>
        <w:tc>
          <w:tcPr>
            <w:tcW w:w="1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131.80</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402" w:type="dxa"/>
            <w:tcBorders>
              <w:top w:val="single" w:color="auto" w:sz="4" w:space="0"/>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131.80</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p>
        </w:tc>
        <w:tc>
          <w:tcPr>
            <w:tcW w:w="1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p>
        </w:tc>
      </w:tr>
      <w:tr>
        <w:trPr>
          <w:trHeight w:val="582" w:hRule="atLeast"/>
        </w:trPr>
        <w:tc>
          <w:tcPr>
            <w:tcW w:w="14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p>
        </w:tc>
        <w:tc>
          <w:tcPr>
            <w:tcW w:w="3694"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合计</w:t>
            </w:r>
          </w:p>
        </w:tc>
        <w:tc>
          <w:tcPr>
            <w:tcW w:w="1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c>
          <w:tcPr>
            <w:tcW w:w="1970"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104.92</w:t>
            </w:r>
          </w:p>
        </w:tc>
        <w:tc>
          <w:tcPr>
            <w:tcW w:w="1402" w:type="dxa"/>
            <w:tcBorders>
              <w:top w:val="single" w:color="auto" w:sz="4" w:space="0"/>
              <w:left w:val="nil"/>
              <w:bottom w:val="single" w:color="auto" w:sz="4" w:space="0"/>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146.80</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3907" w:type="dxa"/>
        <w:tblInd w:w="93" w:type="dxa"/>
        <w:tblLayout w:type="autofit"/>
        <w:tblCellMar>
          <w:top w:w="0" w:type="dxa"/>
          <w:left w:w="108" w:type="dxa"/>
          <w:bottom w:w="0" w:type="dxa"/>
          <w:right w:w="108" w:type="dxa"/>
        </w:tblCellMar>
      </w:tblPr>
      <w:tblGrid>
        <w:gridCol w:w="4268"/>
        <w:gridCol w:w="192"/>
        <w:gridCol w:w="2060"/>
        <w:gridCol w:w="583"/>
        <w:gridCol w:w="2517"/>
        <w:gridCol w:w="1027"/>
        <w:gridCol w:w="3260"/>
      </w:tblGrid>
      <w:tr>
        <w:tblPrEx>
          <w:tblCellMar>
            <w:top w:w="0" w:type="dxa"/>
            <w:left w:w="108" w:type="dxa"/>
            <w:bottom w:w="0" w:type="dxa"/>
            <w:right w:w="108" w:type="dxa"/>
          </w:tblCellMar>
        </w:tblPrEx>
        <w:trPr>
          <w:trHeight w:val="420" w:hRule="atLeast"/>
        </w:trPr>
        <w:tc>
          <w:tcPr>
            <w:tcW w:w="44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2" w:name="RANGE!A1:D31"/>
            <w:r>
              <w:rPr>
                <w:rFonts w:hint="eastAsia" w:ascii="宋体" w:hAnsi="宋体" w:cs="宋体"/>
                <w:b/>
                <w:bCs/>
                <w:kern w:val="0"/>
                <w:sz w:val="20"/>
                <w:szCs w:val="20"/>
              </w:rPr>
              <w:t>附件3-4</w:t>
            </w:r>
            <w:bookmarkEnd w:id="2"/>
          </w:p>
        </w:tc>
        <w:tc>
          <w:tcPr>
            <w:tcW w:w="2060"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c>
          <w:tcPr>
            <w:tcW w:w="310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c>
          <w:tcPr>
            <w:tcW w:w="4287"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420" w:hRule="atLeast"/>
        </w:trPr>
        <w:tc>
          <w:tcPr>
            <w:tcW w:w="13907" w:type="dxa"/>
            <w:gridSpan w:val="7"/>
            <w:tcBorders>
              <w:top w:val="nil"/>
              <w:left w:val="nil"/>
              <w:bottom w:val="nil"/>
              <w:right w:val="nil"/>
            </w:tcBorders>
            <w:shd w:val="clear" w:color="auto" w:fill="auto"/>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财政拨款收支情况表</w:t>
            </w:r>
          </w:p>
        </w:tc>
      </w:tr>
      <w:tr>
        <w:tblPrEx>
          <w:tblCellMar>
            <w:top w:w="0" w:type="dxa"/>
            <w:left w:w="108" w:type="dxa"/>
            <w:bottom w:w="0" w:type="dxa"/>
            <w:right w:w="108" w:type="dxa"/>
          </w:tblCellMar>
        </w:tblPrEx>
        <w:trPr>
          <w:trHeight w:val="420" w:hRule="atLeast"/>
        </w:trPr>
        <w:tc>
          <w:tcPr>
            <w:tcW w:w="4268"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2835" w:type="dxa"/>
            <w:gridSpan w:val="3"/>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544"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3260" w:type="dxa"/>
            <w:tcBorders>
              <w:top w:val="nil"/>
              <w:left w:val="nil"/>
              <w:bottom w:val="nil"/>
              <w:right w:val="nil"/>
            </w:tcBorders>
            <w:shd w:val="clear" w:color="auto" w:fill="auto"/>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420"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收                  入</w:t>
            </w:r>
          </w:p>
        </w:tc>
        <w:tc>
          <w:tcPr>
            <w:tcW w:w="283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35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                  出</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283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c>
          <w:tcPr>
            <w:tcW w:w="35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w:t>
            </w:r>
          </w:p>
        </w:tc>
        <w:tc>
          <w:tcPr>
            <w:tcW w:w="3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预算数</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一、本年收入</w:t>
            </w:r>
          </w:p>
        </w:tc>
        <w:tc>
          <w:tcPr>
            <w:tcW w:w="2835" w:type="dxa"/>
            <w:gridSpan w:val="3"/>
            <w:tcBorders>
              <w:top w:val="nil"/>
              <w:left w:val="nil"/>
              <w:bottom w:val="nil"/>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251.72</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一、一般公共服务支出</w:t>
            </w:r>
          </w:p>
        </w:tc>
        <w:tc>
          <w:tcPr>
            <w:tcW w:w="3260" w:type="dxa"/>
            <w:tcBorders>
              <w:top w:val="nil"/>
              <w:left w:val="nil"/>
              <w:bottom w:val="nil"/>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kern w:val="0"/>
                <w:sz w:val="18"/>
              </w:rPr>
              <w:t>0.00</w:t>
            </w: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（一）一般公共预算拨款</w:t>
            </w:r>
          </w:p>
        </w:tc>
        <w:tc>
          <w:tcPr>
            <w:tcW w:w="2835" w:type="dxa"/>
            <w:gridSpan w:val="3"/>
            <w:tcBorders>
              <w:top w:val="single" w:color="auto" w:sz="4" w:space="0"/>
              <w:left w:val="single" w:color="auto" w:sz="4" w:space="0"/>
              <w:bottom w:val="nil"/>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251.72</w:t>
            </w:r>
          </w:p>
        </w:tc>
        <w:tc>
          <w:tcPr>
            <w:tcW w:w="3544"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二、国防支出</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（二）政府性基金预算拨款</w:t>
            </w:r>
          </w:p>
        </w:tc>
        <w:tc>
          <w:tcPr>
            <w:tcW w:w="28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三、公共安全支出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（三）国有资本经营预算拨款</w:t>
            </w:r>
          </w:p>
        </w:tc>
        <w:tc>
          <w:tcPr>
            <w:tcW w:w="2835" w:type="dxa"/>
            <w:gridSpan w:val="3"/>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四、教育支出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二、上年结转</w:t>
            </w:r>
          </w:p>
        </w:tc>
        <w:tc>
          <w:tcPr>
            <w:tcW w:w="2835" w:type="dxa"/>
            <w:gridSpan w:val="3"/>
            <w:tcBorders>
              <w:top w:val="nil"/>
              <w:left w:val="nil"/>
              <w:bottom w:val="single" w:color="auto" w:sz="4" w:space="0"/>
              <w:right w:val="single" w:color="auto" w:sz="4" w:space="0"/>
            </w:tcBorders>
            <w:shd w:val="clear" w:color="000000" w:fill="FFFFFF"/>
            <w:noWrap/>
            <w:vAlign w:val="bottom"/>
          </w:tcPr>
          <w:p>
            <w:pPr>
              <w:jc w:val="right"/>
              <w:rPr>
                <w:rFonts w:ascii="宋体" w:hAnsi="宋体" w:cs="宋体"/>
                <w:color w:val="000000"/>
                <w:sz w:val="18"/>
                <w:szCs w:val="18"/>
              </w:rPr>
            </w:pPr>
            <w:r>
              <w:rPr>
                <w:rFonts w:hint="eastAsia" w:ascii="宋体" w:hAnsi="宋体" w:cs="宋体"/>
                <w:kern w:val="0"/>
                <w:sz w:val="18"/>
              </w:rPr>
              <w:t>0.00</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五、科学技术支出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18"/>
                <w:szCs w:val="18"/>
              </w:rPr>
            </w:pPr>
            <w:r>
              <w:rPr>
                <w:rFonts w:hint="eastAsia" w:ascii="宋体" w:hAnsi="宋体" w:cs="宋体"/>
                <w:bCs/>
                <w:kern w:val="0"/>
                <w:sz w:val="18"/>
                <w:szCs w:val="18"/>
              </w:rPr>
              <w:t>（一）一般公共预算拨款</w:t>
            </w:r>
          </w:p>
        </w:tc>
        <w:tc>
          <w:tcPr>
            <w:tcW w:w="2835" w:type="dxa"/>
            <w:gridSpan w:val="3"/>
            <w:tcBorders>
              <w:top w:val="nil"/>
              <w:left w:val="nil"/>
              <w:bottom w:val="single" w:color="auto" w:sz="4" w:space="0"/>
              <w:right w:val="single" w:color="auto" w:sz="4" w:space="0"/>
            </w:tcBorders>
            <w:shd w:val="clear" w:color="000000" w:fill="FFFFFF"/>
            <w:noWrap/>
            <w:vAlign w:val="bottom"/>
          </w:tcPr>
          <w:p>
            <w:pPr>
              <w:jc w:val="right"/>
              <w:rPr>
                <w:rFonts w:ascii="宋体" w:hAnsi="宋体" w:cs="宋体"/>
                <w:color w:val="000000"/>
                <w:sz w:val="18"/>
                <w:szCs w:val="18"/>
              </w:rPr>
            </w:pPr>
            <w:r>
              <w:rPr>
                <w:rFonts w:hint="eastAsia" w:ascii="宋体" w:hAnsi="宋体" w:cs="宋体"/>
                <w:kern w:val="0"/>
                <w:sz w:val="18"/>
              </w:rPr>
              <w:t>0.00</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六、文化旅游体育与传媒支出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（二）政府性基金预算拨款</w:t>
            </w:r>
          </w:p>
        </w:tc>
        <w:tc>
          <w:tcPr>
            <w:tcW w:w="2835" w:type="dxa"/>
            <w:gridSpan w:val="3"/>
            <w:tcBorders>
              <w:top w:val="nil"/>
              <w:left w:val="nil"/>
              <w:bottom w:val="single" w:color="auto" w:sz="4" w:space="0"/>
              <w:right w:val="single" w:color="auto" w:sz="4" w:space="0"/>
            </w:tcBorders>
            <w:shd w:val="clear" w:color="000000" w:fill="FFFFFF"/>
            <w:noWrap/>
            <w:vAlign w:val="bottom"/>
          </w:tcPr>
          <w:p>
            <w:pPr>
              <w:jc w:val="right"/>
              <w:rPr>
                <w:rFonts w:ascii="宋体" w:hAnsi="宋体" w:cs="宋体"/>
                <w:color w:val="000000"/>
                <w:sz w:val="18"/>
                <w:szCs w:val="18"/>
              </w:rPr>
            </w:pPr>
            <w:r>
              <w:rPr>
                <w:rFonts w:hint="eastAsia" w:ascii="宋体" w:hAnsi="宋体" w:cs="宋体"/>
                <w:kern w:val="0"/>
                <w:sz w:val="18"/>
              </w:rPr>
              <w:t>0.00</w:t>
            </w:r>
          </w:p>
        </w:tc>
        <w:tc>
          <w:tcPr>
            <w:tcW w:w="3544"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七、社会保障和就业支出</w:t>
            </w:r>
          </w:p>
        </w:tc>
        <w:tc>
          <w:tcPr>
            <w:tcW w:w="3260" w:type="dxa"/>
            <w:tcBorders>
              <w:top w:val="nil"/>
              <w:left w:val="single" w:color="auto" w:sz="4" w:space="0"/>
              <w:bottom w:val="nil"/>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（三）国有资本经营预算拨款</w:t>
            </w:r>
          </w:p>
        </w:tc>
        <w:tc>
          <w:tcPr>
            <w:tcW w:w="2835" w:type="dxa"/>
            <w:gridSpan w:val="3"/>
            <w:tcBorders>
              <w:top w:val="nil"/>
              <w:left w:val="nil"/>
              <w:bottom w:val="single" w:color="auto" w:sz="4" w:space="0"/>
              <w:right w:val="single" w:color="auto" w:sz="4" w:space="0"/>
            </w:tcBorders>
            <w:shd w:val="clear" w:color="000000" w:fill="FFFFFF"/>
            <w:noWrap/>
            <w:vAlign w:val="bottom"/>
          </w:tcPr>
          <w:p>
            <w:pPr>
              <w:jc w:val="right"/>
              <w:rPr>
                <w:rFonts w:ascii="宋体" w:hAnsi="宋体" w:cs="宋体"/>
                <w:color w:val="000000"/>
                <w:sz w:val="18"/>
                <w:szCs w:val="18"/>
              </w:rPr>
            </w:pPr>
            <w:r>
              <w:rPr>
                <w:rFonts w:hint="eastAsia" w:ascii="宋体" w:hAnsi="宋体" w:cs="宋体"/>
                <w:kern w:val="0"/>
                <w:sz w:val="18"/>
              </w:rPr>
              <w:t>0.00</w:t>
            </w:r>
          </w:p>
        </w:tc>
        <w:tc>
          <w:tcPr>
            <w:tcW w:w="3544"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八、社会保险基金支出</w:t>
            </w:r>
          </w:p>
        </w:tc>
        <w:tc>
          <w:tcPr>
            <w:tcW w:w="326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九、卫生健康支出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十、节能环保支出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十一、城乡社区支出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十二、农林水支出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十三、交通运输支出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十四、资源勘探信息等支出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十五、商业服务业等支出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十六、金融支出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十七、自然资源海洋气象等支出</w:t>
            </w:r>
          </w:p>
        </w:tc>
        <w:tc>
          <w:tcPr>
            <w:tcW w:w="326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251.72</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十八、住房保障支出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十九、粮油物资储备支出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二十、其他支出</w:t>
            </w:r>
          </w:p>
        </w:tc>
        <w:tc>
          <w:tcPr>
            <w:tcW w:w="3260" w:type="dxa"/>
            <w:tcBorders>
              <w:top w:val="nil"/>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二十一、国有资本经营预算支出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二十二、灾害防治及应急管理支出</w:t>
            </w:r>
          </w:p>
        </w:tc>
        <w:tc>
          <w:tcPr>
            <w:tcW w:w="3260" w:type="dxa"/>
            <w:tcBorders>
              <w:top w:val="nil"/>
              <w:left w:val="single" w:color="auto" w:sz="4" w:space="0"/>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二十三、债务还本支出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二十四、债务付息支出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bCs/>
                <w:kern w:val="0"/>
                <w:sz w:val="20"/>
                <w:szCs w:val="20"/>
              </w:rPr>
            </w:pPr>
            <w:r>
              <w:rPr>
                <w:rFonts w:hint="eastAsia" w:ascii="宋体" w:hAnsi="宋体" w:cs="宋体"/>
                <w:bCs/>
                <w:kern w:val="0"/>
                <w:sz w:val="20"/>
                <w:szCs w:val="20"/>
              </w:rPr>
              <w:t>　</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3544"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二十五、债务发行费用支出</w:t>
            </w:r>
          </w:p>
        </w:tc>
        <w:tc>
          <w:tcPr>
            <w:tcW w:w="3260" w:type="dxa"/>
            <w:tcBorders>
              <w:top w:val="nil"/>
              <w:left w:val="nil"/>
              <w:bottom w:val="single" w:color="auto" w:sz="4" w:space="0"/>
              <w:right w:val="single" w:color="auto" w:sz="4" w:space="0"/>
            </w:tcBorders>
            <w:shd w:val="clear" w:color="000000" w:fill="FFFFFF"/>
            <w:vAlign w:val="center"/>
          </w:tcPr>
          <w:p>
            <w:pPr>
              <w:jc w:val="right"/>
              <w:rPr>
                <w:rFonts w:ascii="宋体" w:hAnsi="宋体" w:cs="宋体"/>
                <w:color w:val="000000"/>
                <w:sz w:val="20"/>
                <w:szCs w:val="20"/>
              </w:rPr>
            </w:pPr>
            <w:r>
              <w:rPr>
                <w:rFonts w:hint="eastAsia" w:ascii="宋体" w:hAnsi="宋体" w:cs="宋体"/>
                <w:kern w:val="0"/>
                <w:sz w:val="18"/>
              </w:rPr>
              <w:t>0.00</w:t>
            </w:r>
          </w:p>
        </w:tc>
      </w:tr>
      <w:tr>
        <w:tblPrEx>
          <w:tblCellMar>
            <w:top w:w="0" w:type="dxa"/>
            <w:left w:w="108" w:type="dxa"/>
            <w:bottom w:w="0" w:type="dxa"/>
            <w:right w:w="108" w:type="dxa"/>
          </w:tblCellMar>
        </w:tblPrEx>
        <w:trPr>
          <w:trHeight w:val="420" w:hRule="atLeast"/>
        </w:trPr>
        <w:tc>
          <w:tcPr>
            <w:tcW w:w="426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 年 收 入 合 计</w:t>
            </w:r>
          </w:p>
        </w:tc>
        <w:tc>
          <w:tcPr>
            <w:tcW w:w="2835" w:type="dxa"/>
            <w:gridSpan w:val="3"/>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c>
          <w:tcPr>
            <w:tcW w:w="3544"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　年　支　出　合　计</w:t>
            </w:r>
          </w:p>
        </w:tc>
        <w:tc>
          <w:tcPr>
            <w:tcW w:w="3260"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3958" w:type="dxa"/>
        <w:tblInd w:w="93" w:type="dxa"/>
        <w:tblLayout w:type="autofit"/>
        <w:tblCellMar>
          <w:top w:w="0" w:type="dxa"/>
          <w:left w:w="108" w:type="dxa"/>
          <w:bottom w:w="0" w:type="dxa"/>
          <w:right w:w="108" w:type="dxa"/>
        </w:tblCellMar>
      </w:tblPr>
      <w:tblGrid>
        <w:gridCol w:w="1826"/>
        <w:gridCol w:w="3582"/>
        <w:gridCol w:w="1710"/>
        <w:gridCol w:w="1710"/>
        <w:gridCol w:w="1710"/>
        <w:gridCol w:w="1710"/>
        <w:gridCol w:w="1710"/>
      </w:tblGrid>
      <w:tr>
        <w:tblPrEx>
          <w:tblCellMar>
            <w:top w:w="0" w:type="dxa"/>
            <w:left w:w="108" w:type="dxa"/>
            <w:bottom w:w="0" w:type="dxa"/>
            <w:right w:w="108" w:type="dxa"/>
          </w:tblCellMar>
        </w:tblPrEx>
        <w:trPr>
          <w:trHeight w:val="601" w:hRule="atLeast"/>
        </w:trPr>
        <w:tc>
          <w:tcPr>
            <w:tcW w:w="1826" w:type="dxa"/>
            <w:tcBorders>
              <w:top w:val="nil"/>
              <w:left w:val="nil"/>
              <w:bottom w:val="nil"/>
              <w:right w:val="nil"/>
            </w:tcBorders>
            <w:shd w:val="clear" w:color="000000" w:fill="FFFFFF"/>
            <w:noWrap/>
            <w:vAlign w:val="center"/>
          </w:tcPr>
          <w:p>
            <w:pPr>
              <w:widowControl/>
              <w:jc w:val="left"/>
              <w:rPr>
                <w:rFonts w:ascii="宋体" w:hAnsi="宋体" w:cs="宋体"/>
                <w:b/>
                <w:bCs/>
                <w:kern w:val="0"/>
                <w:sz w:val="20"/>
                <w:szCs w:val="20"/>
              </w:rPr>
            </w:pPr>
            <w:bookmarkStart w:id="3" w:name="RANGE!A1:G9"/>
            <w:r>
              <w:rPr>
                <w:rFonts w:hint="eastAsia" w:ascii="宋体" w:hAnsi="宋体" w:cs="宋体"/>
                <w:b/>
                <w:bCs/>
                <w:kern w:val="0"/>
                <w:sz w:val="20"/>
                <w:szCs w:val="20"/>
              </w:rPr>
              <w:t>附件3-5</w:t>
            </w:r>
            <w:bookmarkEnd w:id="3"/>
          </w:p>
        </w:tc>
        <w:tc>
          <w:tcPr>
            <w:tcW w:w="3582"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nil"/>
              <w:left w:val="nil"/>
              <w:bottom w:val="nil"/>
              <w:right w:val="nil"/>
            </w:tcBorders>
            <w:shd w:val="clear" w:color="000000" w:fill="FFFFFF"/>
            <w:noWrap/>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　</w:t>
            </w:r>
          </w:p>
        </w:tc>
      </w:tr>
      <w:tr>
        <w:tblPrEx>
          <w:tblCellMar>
            <w:top w:w="0" w:type="dxa"/>
            <w:left w:w="108" w:type="dxa"/>
            <w:bottom w:w="0" w:type="dxa"/>
            <w:right w:w="108" w:type="dxa"/>
          </w:tblCellMar>
        </w:tblPrEx>
        <w:trPr>
          <w:trHeight w:val="601" w:hRule="atLeast"/>
        </w:trPr>
        <w:tc>
          <w:tcPr>
            <w:tcW w:w="13958" w:type="dxa"/>
            <w:gridSpan w:val="7"/>
            <w:tcBorders>
              <w:top w:val="nil"/>
              <w:left w:val="nil"/>
              <w:bottom w:val="nil"/>
              <w:right w:val="nil"/>
            </w:tcBorders>
            <w:shd w:val="clear" w:color="000000" w:fill="FFFFFF"/>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一般公共预算支出表</w:t>
            </w:r>
          </w:p>
        </w:tc>
      </w:tr>
      <w:tr>
        <w:tblPrEx>
          <w:tblCellMar>
            <w:top w:w="0" w:type="dxa"/>
            <w:left w:w="108" w:type="dxa"/>
            <w:bottom w:w="0" w:type="dxa"/>
            <w:right w:w="108" w:type="dxa"/>
          </w:tblCellMar>
        </w:tblPrEx>
        <w:trPr>
          <w:trHeight w:val="601" w:hRule="atLeast"/>
        </w:trPr>
        <w:tc>
          <w:tcPr>
            <w:tcW w:w="1826"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3582" w:type="dxa"/>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1710"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10" w:type="dxa"/>
            <w:tcBorders>
              <w:top w:val="nil"/>
              <w:left w:val="nil"/>
              <w:bottom w:val="nil"/>
              <w:right w:val="nil"/>
            </w:tcBorders>
            <w:shd w:val="clear" w:color="000000" w:fill="FFFFFF"/>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601" w:hRule="atLeast"/>
        </w:trPr>
        <w:tc>
          <w:tcPr>
            <w:tcW w:w="1826"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3582" w:type="dxa"/>
            <w:vMerge w:val="restar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  计</w:t>
            </w:r>
          </w:p>
        </w:tc>
        <w:tc>
          <w:tcPr>
            <w:tcW w:w="1710"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710" w:type="dxa"/>
            <w:tcBorders>
              <w:top w:val="single" w:color="auto" w:sz="4" w:space="0"/>
              <w:left w:val="nil"/>
              <w:bottom w:val="nil"/>
              <w:right w:val="single" w:color="auto" w:sz="4" w:space="0"/>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710" w:type="dxa"/>
            <w:tcBorders>
              <w:top w:val="single" w:color="auto" w:sz="4" w:space="0"/>
              <w:left w:val="nil"/>
              <w:bottom w:val="nil"/>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17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CellMar>
            <w:top w:w="0" w:type="dxa"/>
            <w:left w:w="108" w:type="dxa"/>
            <w:bottom w:w="0" w:type="dxa"/>
            <w:right w:w="108" w:type="dxa"/>
          </w:tblCellMar>
        </w:tblPrEx>
        <w:trPr>
          <w:trHeight w:val="601" w:hRule="atLeast"/>
        </w:trPr>
        <w:tc>
          <w:tcPr>
            <w:tcW w:w="182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358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s="宋体"/>
                <w:b/>
                <w:bCs/>
                <w:kern w:val="0"/>
                <w:sz w:val="20"/>
                <w:szCs w:val="20"/>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710"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710" w:type="dxa"/>
            <w:tcBorders>
              <w:top w:val="single" w:color="auto" w:sz="4" w:space="0"/>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人员经费</w:t>
            </w:r>
          </w:p>
        </w:tc>
        <w:tc>
          <w:tcPr>
            <w:tcW w:w="1710" w:type="dxa"/>
            <w:tcBorders>
              <w:top w:val="single" w:color="auto" w:sz="4" w:space="0"/>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公用经费</w:t>
            </w: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r>
      <w:tr>
        <w:tblPrEx>
          <w:tblCellMar>
            <w:top w:w="0" w:type="dxa"/>
            <w:left w:w="108" w:type="dxa"/>
            <w:bottom w:w="0" w:type="dxa"/>
            <w:right w:w="108" w:type="dxa"/>
          </w:tblCellMar>
        </w:tblPrEx>
        <w:trPr>
          <w:trHeight w:val="588" w:hRule="atLeast"/>
        </w:trPr>
        <w:tc>
          <w:tcPr>
            <w:tcW w:w="1826"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2200504</w:t>
            </w:r>
          </w:p>
        </w:tc>
        <w:tc>
          <w:tcPr>
            <w:tcW w:w="3582"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气象事业机构</w:t>
            </w:r>
          </w:p>
        </w:tc>
        <w:tc>
          <w:tcPr>
            <w:tcW w:w="1710"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104.92</w:t>
            </w:r>
          </w:p>
        </w:tc>
        <w:tc>
          <w:tcPr>
            <w:tcW w:w="1710" w:type="dxa"/>
            <w:tcBorders>
              <w:top w:val="single" w:color="auto" w:sz="4" w:space="0"/>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104.92</w:t>
            </w:r>
          </w:p>
        </w:tc>
        <w:tc>
          <w:tcPr>
            <w:tcW w:w="17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68.92</w:t>
            </w:r>
          </w:p>
        </w:tc>
        <w:tc>
          <w:tcPr>
            <w:tcW w:w="1710" w:type="dxa"/>
            <w:tcBorders>
              <w:top w:val="single" w:color="auto" w:sz="4" w:space="0"/>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36.00</w:t>
            </w:r>
          </w:p>
        </w:tc>
        <w:tc>
          <w:tcPr>
            <w:tcW w:w="17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r>
      <w:tr>
        <w:tblPrEx>
          <w:tblCellMar>
            <w:top w:w="0" w:type="dxa"/>
            <w:left w:w="108" w:type="dxa"/>
            <w:bottom w:w="0" w:type="dxa"/>
            <w:right w:w="108" w:type="dxa"/>
          </w:tblCellMar>
        </w:tblPrEx>
        <w:trPr>
          <w:trHeight w:val="588" w:hRule="atLeast"/>
        </w:trPr>
        <w:tc>
          <w:tcPr>
            <w:tcW w:w="1826"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2200507</w:t>
            </w:r>
          </w:p>
        </w:tc>
        <w:tc>
          <w:tcPr>
            <w:tcW w:w="358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气象信息传输及管理</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15.00</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15.00</w:t>
            </w:r>
          </w:p>
        </w:tc>
      </w:tr>
      <w:tr>
        <w:tblPrEx>
          <w:tblCellMar>
            <w:top w:w="0" w:type="dxa"/>
            <w:left w:w="108" w:type="dxa"/>
            <w:bottom w:w="0" w:type="dxa"/>
            <w:right w:w="108" w:type="dxa"/>
          </w:tblCellMar>
        </w:tblPrEx>
        <w:trPr>
          <w:trHeight w:val="588" w:hRule="atLeast"/>
        </w:trPr>
        <w:tc>
          <w:tcPr>
            <w:tcW w:w="1826"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2200599</w:t>
            </w:r>
          </w:p>
        </w:tc>
        <w:tc>
          <w:tcPr>
            <w:tcW w:w="358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其他气象事务支出</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131.80</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nil"/>
              <w:bottom w:val="single" w:color="auto" w:sz="4" w:space="0"/>
              <w:right w:val="nil"/>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131.80</w:t>
            </w:r>
          </w:p>
        </w:tc>
      </w:tr>
      <w:tr>
        <w:tblPrEx>
          <w:tblCellMar>
            <w:top w:w="0" w:type="dxa"/>
            <w:left w:w="108" w:type="dxa"/>
            <w:bottom w:w="0" w:type="dxa"/>
            <w:right w:w="108" w:type="dxa"/>
          </w:tblCellMar>
        </w:tblPrEx>
        <w:trPr>
          <w:trHeight w:val="588" w:hRule="atLeast"/>
        </w:trPr>
        <w:tc>
          <w:tcPr>
            <w:tcW w:w="1826"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358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合计</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251.72</w:t>
            </w:r>
          </w:p>
        </w:tc>
        <w:tc>
          <w:tcPr>
            <w:tcW w:w="1710" w:type="dxa"/>
            <w:tcBorders>
              <w:top w:val="nil"/>
              <w:left w:val="single" w:color="auto" w:sz="4" w:space="0"/>
              <w:bottom w:val="single" w:color="auto" w:sz="4" w:space="0"/>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104.92</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68.92</w:t>
            </w:r>
          </w:p>
        </w:tc>
        <w:tc>
          <w:tcPr>
            <w:tcW w:w="1710" w:type="dxa"/>
            <w:tcBorders>
              <w:top w:val="nil"/>
              <w:left w:val="nil"/>
              <w:bottom w:val="single" w:color="auto" w:sz="4" w:space="0"/>
              <w:right w:val="nil"/>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36.00</w:t>
            </w:r>
          </w:p>
        </w:tc>
        <w:tc>
          <w:tcPr>
            <w:tcW w:w="171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18"/>
                <w:szCs w:val="18"/>
              </w:rPr>
            </w:pPr>
            <w:r>
              <w:rPr>
                <w:rFonts w:hint="eastAsia" w:ascii="宋体" w:hAnsi="宋体" w:cs="宋体"/>
                <w:b/>
                <w:bCs/>
                <w:kern w:val="0"/>
                <w:sz w:val="18"/>
                <w:szCs w:val="18"/>
              </w:rPr>
              <w:t>146.80</w:t>
            </w: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3746" w:type="dxa"/>
        <w:tblInd w:w="93" w:type="dxa"/>
        <w:tblLayout w:type="autofit"/>
        <w:tblCellMar>
          <w:top w:w="0" w:type="dxa"/>
          <w:left w:w="108" w:type="dxa"/>
          <w:bottom w:w="0" w:type="dxa"/>
          <w:right w:w="108" w:type="dxa"/>
        </w:tblCellMar>
      </w:tblPr>
      <w:tblGrid>
        <w:gridCol w:w="2022"/>
        <w:gridCol w:w="3968"/>
        <w:gridCol w:w="2585"/>
        <w:gridCol w:w="2585"/>
        <w:gridCol w:w="2586"/>
      </w:tblGrid>
      <w:tr>
        <w:tblPrEx>
          <w:tblCellMar>
            <w:top w:w="0" w:type="dxa"/>
            <w:left w:w="108" w:type="dxa"/>
            <w:bottom w:w="0" w:type="dxa"/>
            <w:right w:w="108" w:type="dxa"/>
          </w:tblCellMar>
        </w:tblPrEx>
        <w:trPr>
          <w:trHeight w:val="449" w:hRule="atLeast"/>
        </w:trPr>
        <w:tc>
          <w:tcPr>
            <w:tcW w:w="2022" w:type="dxa"/>
            <w:tcBorders>
              <w:top w:val="nil"/>
              <w:left w:val="nil"/>
              <w:bottom w:val="nil"/>
              <w:right w:val="nil"/>
            </w:tcBorders>
            <w:shd w:val="clear" w:color="000000" w:fill="FFFFFF"/>
            <w:noWrap/>
            <w:vAlign w:val="center"/>
          </w:tcPr>
          <w:p>
            <w:pPr>
              <w:widowControl/>
              <w:jc w:val="left"/>
              <w:rPr>
                <w:rFonts w:ascii="宋体" w:hAnsi="宋体" w:cs="宋体"/>
                <w:b/>
                <w:bCs/>
                <w:kern w:val="0"/>
                <w:sz w:val="20"/>
                <w:szCs w:val="20"/>
              </w:rPr>
            </w:pPr>
            <w:bookmarkStart w:id="4" w:name="RANGE!A1:E29"/>
            <w:r>
              <w:rPr>
                <w:rFonts w:hint="eastAsia" w:ascii="宋体" w:hAnsi="宋体" w:cs="宋体"/>
                <w:b/>
                <w:bCs/>
                <w:kern w:val="0"/>
                <w:sz w:val="20"/>
                <w:szCs w:val="20"/>
              </w:rPr>
              <w:t>附件3-6</w:t>
            </w:r>
            <w:bookmarkEnd w:id="4"/>
          </w:p>
        </w:tc>
        <w:tc>
          <w:tcPr>
            <w:tcW w:w="3968"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5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585"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586" w:type="dxa"/>
            <w:tcBorders>
              <w:top w:val="nil"/>
              <w:left w:val="nil"/>
              <w:bottom w:val="nil"/>
              <w:right w:val="nil"/>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49" w:hRule="atLeast"/>
        </w:trPr>
        <w:tc>
          <w:tcPr>
            <w:tcW w:w="13746" w:type="dxa"/>
            <w:gridSpan w:val="5"/>
            <w:tcBorders>
              <w:top w:val="nil"/>
              <w:left w:val="nil"/>
              <w:bottom w:val="nil"/>
              <w:right w:val="nil"/>
            </w:tcBorders>
            <w:shd w:val="clear" w:color="000000" w:fill="FFFFFF"/>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一般公共预算基本支出表</w:t>
            </w:r>
          </w:p>
        </w:tc>
      </w:tr>
      <w:tr>
        <w:tblPrEx>
          <w:tblCellMar>
            <w:top w:w="0" w:type="dxa"/>
            <w:left w:w="108" w:type="dxa"/>
            <w:bottom w:w="0" w:type="dxa"/>
            <w:right w:w="108" w:type="dxa"/>
          </w:tblCellMar>
        </w:tblPrEx>
        <w:trPr>
          <w:trHeight w:val="449" w:hRule="atLeast"/>
        </w:trPr>
        <w:tc>
          <w:tcPr>
            <w:tcW w:w="2022"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3968"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5"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5"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6" w:type="dxa"/>
            <w:tcBorders>
              <w:top w:val="nil"/>
              <w:left w:val="nil"/>
              <w:bottom w:val="nil"/>
              <w:right w:val="nil"/>
            </w:tcBorders>
            <w:shd w:val="clear" w:color="000000" w:fill="FFFFFF"/>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449" w:hRule="atLeast"/>
        </w:trPr>
        <w:tc>
          <w:tcPr>
            <w:tcW w:w="59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部门预算支出经济分类科目</w:t>
            </w:r>
          </w:p>
        </w:tc>
        <w:tc>
          <w:tcPr>
            <w:tcW w:w="775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一般公共预算基本支出表</w:t>
            </w:r>
          </w:p>
        </w:tc>
      </w:tr>
      <w:tr>
        <w:tblPrEx>
          <w:tblCellMar>
            <w:top w:w="0" w:type="dxa"/>
            <w:left w:w="108" w:type="dxa"/>
            <w:bottom w:w="0" w:type="dxa"/>
            <w:right w:w="108" w:type="dxa"/>
          </w:tblCellMar>
        </w:tblPrEx>
        <w:trPr>
          <w:trHeight w:val="449" w:hRule="atLeast"/>
        </w:trPr>
        <w:tc>
          <w:tcPr>
            <w:tcW w:w="2022"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3968" w:type="dxa"/>
            <w:tcBorders>
              <w:top w:val="nil"/>
              <w:left w:val="nil"/>
              <w:bottom w:val="nil"/>
              <w:right w:val="single" w:color="auto" w:sz="4" w:space="0"/>
            </w:tcBorders>
            <w:shd w:val="clear" w:color="000000" w:fill="FFFFFF"/>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2585"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2585"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人员经费</w:t>
            </w:r>
          </w:p>
        </w:tc>
        <w:tc>
          <w:tcPr>
            <w:tcW w:w="2586" w:type="dxa"/>
            <w:tcBorders>
              <w:top w:val="nil"/>
              <w:left w:val="nil"/>
              <w:bottom w:val="nil"/>
              <w:right w:val="single" w:color="auto" w:sz="4" w:space="0"/>
            </w:tcBorders>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公用经费</w:t>
            </w:r>
          </w:p>
        </w:tc>
      </w:tr>
      <w:tr>
        <w:tblPrEx>
          <w:tblCellMar>
            <w:top w:w="0" w:type="dxa"/>
            <w:left w:w="108" w:type="dxa"/>
            <w:bottom w:w="0" w:type="dxa"/>
            <w:right w:w="108" w:type="dxa"/>
          </w:tblCellMar>
        </w:tblPrEx>
        <w:trPr>
          <w:trHeight w:val="439" w:hRule="atLeast"/>
        </w:trPr>
        <w:tc>
          <w:tcPr>
            <w:tcW w:w="2022"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30101</w:t>
            </w:r>
          </w:p>
        </w:tc>
        <w:tc>
          <w:tcPr>
            <w:tcW w:w="3968"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基本工资</w:t>
            </w:r>
          </w:p>
        </w:tc>
        <w:tc>
          <w:tcPr>
            <w:tcW w:w="25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2.58</w:t>
            </w:r>
          </w:p>
        </w:tc>
        <w:tc>
          <w:tcPr>
            <w:tcW w:w="2585"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2.58</w:t>
            </w:r>
          </w:p>
        </w:tc>
        <w:tc>
          <w:tcPr>
            <w:tcW w:w="2586" w:type="dxa"/>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30102</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津贴补贴</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42.94</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42.94</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30103</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奖金</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18.70</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18.70</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30107</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绩效工资</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2.26</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2.26</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30108</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机关事业单位基本养老保险缴费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1.01</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1.01</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30109</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职业年金缴费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0.41</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0.41</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30110</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职工基本医疗保险缴费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0.41</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0.41</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30113</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住房公积金</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0.61</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0.61</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30201</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办公费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4.03</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4.03</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30202</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印刷费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1.35</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1.35</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30203</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咨询费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0.27</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0.27</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30205</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水费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1.17</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1.17</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30206</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电费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3.60</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3.60</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30207</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邮电费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2.25</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2.25</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30211</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差旅费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0.90</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0.90</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30213</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维修(护)费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0.45</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0.45</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30216</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培训费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4.50</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4.50</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30217</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公务接待费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1.96</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1.96</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30227</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委托业务费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0.32</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0.32</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30228</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工会经费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2.07</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2.07</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30231</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公务用车运行维护费</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3.83</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3.83</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30239</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其他交通费用</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4.62</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4.62</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30299</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Cs/>
                <w:kern w:val="0"/>
                <w:sz w:val="20"/>
                <w:szCs w:val="20"/>
              </w:rPr>
            </w:pPr>
            <w:r>
              <w:rPr>
                <w:rFonts w:hint="eastAsia" w:ascii="宋体" w:hAnsi="宋体" w:cs="宋体"/>
                <w:bCs/>
                <w:kern w:val="0"/>
                <w:sz w:val="20"/>
                <w:szCs w:val="20"/>
              </w:rPr>
              <w:t>其他商品和服务支出</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4.68</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　</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20"/>
                <w:szCs w:val="20"/>
              </w:rPr>
            </w:pPr>
            <w:r>
              <w:rPr>
                <w:rFonts w:hint="eastAsia" w:ascii="宋体" w:hAnsi="宋体" w:cs="宋体"/>
                <w:bCs/>
                <w:kern w:val="0"/>
                <w:sz w:val="20"/>
                <w:szCs w:val="20"/>
              </w:rPr>
              <w:t>4.68</w:t>
            </w:r>
          </w:p>
        </w:tc>
      </w:tr>
      <w:tr>
        <w:tblPrEx>
          <w:tblCellMar>
            <w:top w:w="0" w:type="dxa"/>
            <w:left w:w="108" w:type="dxa"/>
            <w:bottom w:w="0" w:type="dxa"/>
            <w:right w:w="108" w:type="dxa"/>
          </w:tblCellMar>
        </w:tblPrEx>
        <w:trPr>
          <w:trHeight w:val="439" w:hRule="atLeast"/>
        </w:trPr>
        <w:tc>
          <w:tcPr>
            <w:tcW w:w="2022"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3968" w:type="dxa"/>
            <w:tcBorders>
              <w:top w:val="nil"/>
              <w:left w:val="single" w:color="auto" w:sz="4" w:space="0"/>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合计</w:t>
            </w:r>
          </w:p>
        </w:tc>
        <w:tc>
          <w:tcPr>
            <w:tcW w:w="2585"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104.92</w:t>
            </w:r>
          </w:p>
        </w:tc>
        <w:tc>
          <w:tcPr>
            <w:tcW w:w="258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68.92</w:t>
            </w:r>
          </w:p>
        </w:tc>
        <w:tc>
          <w:tcPr>
            <w:tcW w:w="258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36.00</w:t>
            </w: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3924" w:type="dxa"/>
        <w:tblInd w:w="93" w:type="dxa"/>
        <w:tblLayout w:type="autofit"/>
        <w:tblCellMar>
          <w:top w:w="0" w:type="dxa"/>
          <w:left w:w="108" w:type="dxa"/>
          <w:bottom w:w="0" w:type="dxa"/>
          <w:right w:w="108" w:type="dxa"/>
        </w:tblCellMar>
      </w:tblPr>
      <w:tblGrid>
        <w:gridCol w:w="2667"/>
        <w:gridCol w:w="2667"/>
        <w:gridCol w:w="1974"/>
        <w:gridCol w:w="1974"/>
        <w:gridCol w:w="1975"/>
        <w:gridCol w:w="2667"/>
      </w:tblGrid>
      <w:tr>
        <w:trPr>
          <w:trHeight w:val="411" w:hRule="atLeast"/>
        </w:trPr>
        <w:tc>
          <w:tcPr>
            <w:tcW w:w="2667" w:type="dxa"/>
            <w:tcBorders>
              <w:top w:val="nil"/>
              <w:left w:val="nil"/>
              <w:bottom w:val="nil"/>
              <w:right w:val="nil"/>
            </w:tcBorders>
            <w:shd w:val="clear" w:color="000000" w:fill="FFFFFF"/>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附件3-7</w:t>
            </w:r>
          </w:p>
        </w:tc>
        <w:tc>
          <w:tcPr>
            <w:tcW w:w="2667"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67"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39" w:hRule="atLeast"/>
        </w:trPr>
        <w:tc>
          <w:tcPr>
            <w:tcW w:w="13924" w:type="dxa"/>
            <w:gridSpan w:val="6"/>
            <w:tcBorders>
              <w:top w:val="nil"/>
              <w:left w:val="nil"/>
              <w:bottom w:val="nil"/>
              <w:right w:val="nil"/>
            </w:tcBorders>
            <w:shd w:val="clear" w:color="000000" w:fill="FFFFFF"/>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一般公共预算“三公”经费支出表</w:t>
            </w:r>
          </w:p>
        </w:tc>
      </w:tr>
      <w:tr>
        <w:tblPrEx>
          <w:tblCellMar>
            <w:top w:w="0" w:type="dxa"/>
            <w:left w:w="108" w:type="dxa"/>
            <w:bottom w:w="0" w:type="dxa"/>
            <w:right w:w="108" w:type="dxa"/>
          </w:tblCellMar>
        </w:tblPrEx>
        <w:trPr>
          <w:trHeight w:val="502" w:hRule="atLeast"/>
        </w:trPr>
        <w:tc>
          <w:tcPr>
            <w:tcW w:w="2667"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2667"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974"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67" w:type="dxa"/>
            <w:tcBorders>
              <w:top w:val="nil"/>
              <w:left w:val="nil"/>
              <w:bottom w:val="nil"/>
              <w:right w:val="nil"/>
            </w:tcBorders>
            <w:shd w:val="clear" w:color="000000" w:fill="FFFFFF"/>
            <w:noWrap/>
            <w:vAlign w:val="bottom"/>
          </w:tcPr>
          <w:p>
            <w:pPr>
              <w:widowControl/>
              <w:jc w:val="right"/>
              <w:rPr>
                <w:rFonts w:ascii="宋体" w:hAnsi="宋体" w:cs="宋体"/>
                <w:b/>
                <w:bCs/>
                <w:kern w:val="0"/>
                <w:sz w:val="18"/>
                <w:szCs w:val="18"/>
              </w:rPr>
            </w:pPr>
            <w:r>
              <w:rPr>
                <w:rFonts w:hint="eastAsia" w:ascii="宋体" w:hAnsi="宋体" w:cs="宋体"/>
                <w:b/>
                <w:bCs/>
                <w:kern w:val="0"/>
                <w:sz w:val="18"/>
                <w:szCs w:val="18"/>
              </w:rPr>
              <w:t>单位：万元</w:t>
            </w:r>
          </w:p>
        </w:tc>
      </w:tr>
      <w:tr>
        <w:tblPrEx>
          <w:tblCellMar>
            <w:top w:w="0" w:type="dxa"/>
            <w:left w:w="108" w:type="dxa"/>
            <w:bottom w:w="0" w:type="dxa"/>
            <w:right w:w="108" w:type="dxa"/>
          </w:tblCellMar>
        </w:tblPrEx>
        <w:trPr>
          <w:trHeight w:val="502" w:hRule="atLeast"/>
        </w:trPr>
        <w:tc>
          <w:tcPr>
            <w:tcW w:w="2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“三公”经费合计</w:t>
            </w:r>
          </w:p>
        </w:tc>
        <w:tc>
          <w:tcPr>
            <w:tcW w:w="26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因公出国（境）</w:t>
            </w:r>
          </w:p>
        </w:tc>
        <w:tc>
          <w:tcPr>
            <w:tcW w:w="5923"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公务用车购置及运行费</w:t>
            </w:r>
          </w:p>
        </w:tc>
        <w:tc>
          <w:tcPr>
            <w:tcW w:w="26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公务接待费</w:t>
            </w:r>
          </w:p>
        </w:tc>
      </w:tr>
      <w:tr>
        <w:tblPrEx>
          <w:tblCellMar>
            <w:top w:w="0" w:type="dxa"/>
            <w:left w:w="108" w:type="dxa"/>
            <w:bottom w:w="0" w:type="dxa"/>
            <w:right w:w="108" w:type="dxa"/>
          </w:tblCellMar>
        </w:tblPrEx>
        <w:trPr>
          <w:trHeight w:val="502" w:hRule="atLeast"/>
        </w:trPr>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9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小计</w:t>
            </w:r>
          </w:p>
        </w:tc>
        <w:tc>
          <w:tcPr>
            <w:tcW w:w="19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公务用车购置</w:t>
            </w:r>
          </w:p>
        </w:tc>
        <w:tc>
          <w:tcPr>
            <w:tcW w:w="197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公务用车运行维护费</w:t>
            </w:r>
          </w:p>
        </w:tc>
        <w:tc>
          <w:tcPr>
            <w:tcW w:w="2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487" w:hRule="atLeast"/>
        </w:trPr>
        <w:tc>
          <w:tcPr>
            <w:tcW w:w="2667"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5.79</w:t>
            </w:r>
          </w:p>
        </w:tc>
        <w:tc>
          <w:tcPr>
            <w:tcW w:w="26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974"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3.83</w:t>
            </w:r>
          </w:p>
        </w:tc>
        <w:tc>
          <w:tcPr>
            <w:tcW w:w="1974"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　</w:t>
            </w:r>
          </w:p>
        </w:tc>
        <w:tc>
          <w:tcPr>
            <w:tcW w:w="1974"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3.83</w:t>
            </w:r>
          </w:p>
        </w:tc>
        <w:tc>
          <w:tcPr>
            <w:tcW w:w="26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Cs/>
                <w:kern w:val="0"/>
                <w:sz w:val="18"/>
                <w:szCs w:val="18"/>
              </w:rPr>
            </w:pPr>
            <w:r>
              <w:rPr>
                <w:rFonts w:hint="eastAsia" w:ascii="宋体" w:hAnsi="宋体" w:cs="宋体"/>
                <w:bCs/>
                <w:kern w:val="0"/>
                <w:sz w:val="18"/>
                <w:szCs w:val="18"/>
              </w:rPr>
              <w:t>1.96</w:t>
            </w:r>
          </w:p>
        </w:tc>
      </w:tr>
    </w:tbl>
    <w:p>
      <w:pPr>
        <w:jc w:val="center"/>
        <w:rPr>
          <w:rFonts w:eastAsia="仿宋_GB2312"/>
          <w:b/>
          <w:bCs/>
          <w:kern w:val="0"/>
          <w:sz w:val="44"/>
          <w:szCs w:val="44"/>
        </w:rPr>
        <w:sectPr>
          <w:pgSz w:w="16838" w:h="11906" w:orient="landscape"/>
          <w:pgMar w:top="1800" w:right="1440" w:bottom="1800" w:left="1440" w:header="851" w:footer="992" w:gutter="0"/>
          <w:cols w:space="425" w:num="1"/>
          <w:docGrid w:type="lines" w:linePitch="312" w:charSpace="0"/>
        </w:sectPr>
      </w:pPr>
    </w:p>
    <w:tbl>
      <w:tblPr>
        <w:tblStyle w:val="2"/>
        <w:tblW w:w="13975" w:type="dxa"/>
        <w:tblInd w:w="93" w:type="dxa"/>
        <w:tblLayout w:type="autofit"/>
        <w:tblCellMar>
          <w:top w:w="0" w:type="dxa"/>
          <w:left w:w="108" w:type="dxa"/>
          <w:bottom w:w="0" w:type="dxa"/>
          <w:right w:w="108" w:type="dxa"/>
        </w:tblCellMar>
      </w:tblPr>
      <w:tblGrid>
        <w:gridCol w:w="2018"/>
        <w:gridCol w:w="4982"/>
        <w:gridCol w:w="2325"/>
        <w:gridCol w:w="2325"/>
        <w:gridCol w:w="2325"/>
      </w:tblGrid>
      <w:tr>
        <w:tblPrEx>
          <w:tblCellMar>
            <w:top w:w="0" w:type="dxa"/>
            <w:left w:w="108" w:type="dxa"/>
            <w:bottom w:w="0" w:type="dxa"/>
            <w:right w:w="108" w:type="dxa"/>
          </w:tblCellMar>
        </w:tblPrEx>
        <w:trPr>
          <w:trHeight w:val="506" w:hRule="atLeast"/>
        </w:trPr>
        <w:tc>
          <w:tcPr>
            <w:tcW w:w="2018" w:type="dxa"/>
            <w:tcBorders>
              <w:top w:val="nil"/>
              <w:left w:val="nil"/>
              <w:bottom w:val="nil"/>
              <w:right w:val="nil"/>
            </w:tcBorders>
            <w:shd w:val="clear" w:color="auto" w:fill="auto"/>
            <w:noWrap/>
            <w:vAlign w:val="center"/>
          </w:tcPr>
          <w:p>
            <w:pPr>
              <w:widowControl/>
              <w:jc w:val="left"/>
              <w:rPr>
                <w:rFonts w:ascii="宋体" w:hAnsi="宋体" w:cs="宋体"/>
                <w:b/>
                <w:bCs/>
                <w:kern w:val="0"/>
                <w:sz w:val="20"/>
                <w:szCs w:val="20"/>
              </w:rPr>
            </w:pPr>
            <w:bookmarkStart w:id="5" w:name="RANGE!A1:E5"/>
            <w:r>
              <w:rPr>
                <w:rFonts w:hint="eastAsia" w:ascii="宋体" w:hAnsi="宋体" w:cs="宋体"/>
                <w:b/>
                <w:bCs/>
                <w:kern w:val="0"/>
                <w:sz w:val="20"/>
                <w:szCs w:val="20"/>
              </w:rPr>
              <w:t>附件3-8</w:t>
            </w:r>
            <w:bookmarkEnd w:id="5"/>
          </w:p>
        </w:tc>
        <w:tc>
          <w:tcPr>
            <w:tcW w:w="4982"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232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232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c>
          <w:tcPr>
            <w:tcW w:w="2325"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trHeight w:val="506" w:hRule="atLeast"/>
        </w:trPr>
        <w:tc>
          <w:tcPr>
            <w:tcW w:w="13975" w:type="dxa"/>
            <w:gridSpan w:val="5"/>
            <w:tcBorders>
              <w:top w:val="nil"/>
              <w:left w:val="nil"/>
              <w:bottom w:val="nil"/>
              <w:right w:val="nil"/>
            </w:tcBorders>
            <w:shd w:val="clear" w:color="auto" w:fill="auto"/>
            <w:noWrap/>
            <w:vAlign w:val="bottom"/>
          </w:tcPr>
          <w:p>
            <w:pPr>
              <w:widowControl/>
              <w:jc w:val="center"/>
              <w:rPr>
                <w:rFonts w:ascii="宋体" w:hAnsi="宋体" w:cs="宋体"/>
                <w:b/>
                <w:bCs/>
                <w:kern w:val="0"/>
                <w:sz w:val="36"/>
                <w:szCs w:val="36"/>
              </w:rPr>
            </w:pPr>
            <w:r>
              <w:rPr>
                <w:rFonts w:hint="eastAsia" w:ascii="宋体" w:hAnsi="宋体" w:cs="宋体"/>
                <w:b/>
                <w:bCs/>
                <w:kern w:val="0"/>
                <w:sz w:val="36"/>
                <w:szCs w:val="36"/>
              </w:rPr>
              <w:t>政府性基金预算支出情况表</w:t>
            </w:r>
          </w:p>
        </w:tc>
      </w:tr>
      <w:tr>
        <w:tblPrEx>
          <w:tblCellMar>
            <w:top w:w="0" w:type="dxa"/>
            <w:left w:w="108" w:type="dxa"/>
            <w:bottom w:w="0" w:type="dxa"/>
            <w:right w:w="108" w:type="dxa"/>
          </w:tblCellMar>
        </w:tblPrEx>
        <w:trPr>
          <w:trHeight w:val="506" w:hRule="atLeast"/>
        </w:trPr>
        <w:tc>
          <w:tcPr>
            <w:tcW w:w="2018" w:type="dxa"/>
            <w:tcBorders>
              <w:top w:val="nil"/>
              <w:left w:val="nil"/>
              <w:bottom w:val="nil"/>
              <w:right w:val="nil"/>
            </w:tcBorders>
            <w:shd w:val="clear" w:color="000000"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单位：道县气象局</w:t>
            </w:r>
          </w:p>
        </w:tc>
        <w:tc>
          <w:tcPr>
            <w:tcW w:w="4982"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tcBorders>
              <w:top w:val="nil"/>
              <w:left w:val="nil"/>
              <w:bottom w:val="nil"/>
              <w:right w:val="nil"/>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325" w:type="dxa"/>
            <w:tcBorders>
              <w:top w:val="nil"/>
              <w:left w:val="nil"/>
              <w:bottom w:val="nil"/>
              <w:right w:val="nil"/>
            </w:tcBorders>
            <w:shd w:val="clear" w:color="000000" w:fill="FFFFFF"/>
            <w:noWrap/>
            <w:vAlign w:val="bottom"/>
          </w:tcPr>
          <w:p>
            <w:pPr>
              <w:widowControl/>
              <w:jc w:val="right"/>
              <w:rPr>
                <w:rFonts w:ascii="宋体" w:hAnsi="宋体" w:cs="宋体"/>
                <w:b/>
                <w:bCs/>
                <w:kern w:val="0"/>
                <w:sz w:val="20"/>
                <w:szCs w:val="20"/>
              </w:rPr>
            </w:pPr>
            <w:r>
              <w:rPr>
                <w:rFonts w:hint="eastAsia" w:ascii="宋体" w:hAnsi="宋体" w:cs="宋体"/>
                <w:b/>
                <w:bCs/>
                <w:kern w:val="0"/>
                <w:sz w:val="20"/>
                <w:szCs w:val="20"/>
              </w:rPr>
              <w:t>单位：万元</w:t>
            </w:r>
          </w:p>
        </w:tc>
      </w:tr>
      <w:tr>
        <w:tblPrEx>
          <w:tblCellMar>
            <w:top w:w="0" w:type="dxa"/>
            <w:left w:w="108" w:type="dxa"/>
            <w:bottom w:w="0" w:type="dxa"/>
            <w:right w:w="108" w:type="dxa"/>
          </w:tblCellMar>
        </w:tblPrEx>
        <w:trPr>
          <w:trHeight w:val="506" w:hRule="atLeast"/>
        </w:trPr>
        <w:tc>
          <w:tcPr>
            <w:tcW w:w="20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科目编码</w:t>
            </w:r>
          </w:p>
        </w:tc>
        <w:tc>
          <w:tcPr>
            <w:tcW w:w="498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科目名称</w:t>
            </w:r>
          </w:p>
        </w:tc>
        <w:tc>
          <w:tcPr>
            <w:tcW w:w="69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本年政府性基金预算支出</w:t>
            </w:r>
          </w:p>
        </w:tc>
      </w:tr>
      <w:tr>
        <w:tblPrEx>
          <w:tblCellMar>
            <w:top w:w="0" w:type="dxa"/>
            <w:left w:w="108" w:type="dxa"/>
            <w:bottom w:w="0" w:type="dxa"/>
            <w:right w:w="108" w:type="dxa"/>
          </w:tblCellMar>
        </w:tblPrEx>
        <w:trPr>
          <w:trHeight w:val="506" w:hRule="atLeast"/>
        </w:trPr>
        <w:tc>
          <w:tcPr>
            <w:tcW w:w="20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4982"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b/>
                <w:bCs/>
                <w:kern w:val="0"/>
                <w:sz w:val="20"/>
                <w:szCs w:val="20"/>
              </w:rPr>
            </w:pPr>
          </w:p>
        </w:tc>
        <w:tc>
          <w:tcPr>
            <w:tcW w:w="23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23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23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CellMar>
            <w:top w:w="0" w:type="dxa"/>
            <w:left w:w="108" w:type="dxa"/>
            <w:bottom w:w="0" w:type="dxa"/>
            <w:right w:w="108" w:type="dxa"/>
          </w:tblCellMar>
        </w:tblPrEx>
        <w:trPr>
          <w:trHeight w:val="506" w:hRule="atLeast"/>
        </w:trPr>
        <w:tc>
          <w:tcPr>
            <w:tcW w:w="2018" w:type="dxa"/>
            <w:tcBorders>
              <w:top w:val="single" w:color="auto" w:sz="4" w:space="0"/>
              <w:left w:val="single" w:color="auto" w:sz="4" w:space="0"/>
              <w:bottom w:val="single" w:color="auto" w:sz="4" w:space="0"/>
              <w:right w:val="nil"/>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498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232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232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c>
          <w:tcPr>
            <w:tcW w:w="232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06" w:hRule="atLeast"/>
        </w:trPr>
        <w:tc>
          <w:tcPr>
            <w:tcW w:w="9325" w:type="dxa"/>
            <w:gridSpan w:val="3"/>
            <w:tcBorders>
              <w:top w:val="nil"/>
              <w:left w:val="nil"/>
              <w:bottom w:val="nil"/>
              <w:right w:val="nil"/>
            </w:tcBorders>
            <w:shd w:val="clear" w:color="auto" w:fill="auto"/>
            <w:noWrap/>
            <w:vAlign w:val="bottom"/>
          </w:tcPr>
          <w:p>
            <w:pPr>
              <w:widowControl/>
              <w:jc w:val="left"/>
              <w:rPr>
                <w:rFonts w:ascii="宋体" w:hAnsi="宋体" w:cs="宋体"/>
                <w:bCs/>
                <w:kern w:val="0"/>
                <w:sz w:val="18"/>
                <w:szCs w:val="18"/>
              </w:rPr>
            </w:pPr>
            <w:r>
              <w:rPr>
                <w:rFonts w:hint="eastAsia" w:ascii="宋体" w:hAnsi="宋体" w:cs="宋体"/>
                <w:bCs/>
                <w:kern w:val="0"/>
                <w:sz w:val="18"/>
                <w:szCs w:val="18"/>
              </w:rPr>
              <w:t>注：道县气象局</w:t>
            </w:r>
            <w:r>
              <w:rPr>
                <w:rFonts w:hint="eastAsia" w:ascii="宋体" w:hAnsi="宋体" w:cs="宋体"/>
                <w:color w:val="000000"/>
                <w:kern w:val="0"/>
                <w:sz w:val="20"/>
                <w:szCs w:val="20"/>
              </w:rPr>
              <w:t>没有政府性基金预算收入，也没有使用政府性基金安排的支出，故本表无数据</w:t>
            </w:r>
          </w:p>
        </w:tc>
        <w:tc>
          <w:tcPr>
            <w:tcW w:w="2325" w:type="dxa"/>
            <w:tcBorders>
              <w:top w:val="nil"/>
              <w:left w:val="nil"/>
              <w:bottom w:val="nil"/>
              <w:right w:val="nil"/>
            </w:tcBorders>
            <w:shd w:val="clear" w:color="auto" w:fill="auto"/>
            <w:noWrap/>
            <w:vAlign w:val="bottom"/>
          </w:tcPr>
          <w:p>
            <w:pPr>
              <w:widowControl/>
              <w:jc w:val="left"/>
              <w:rPr>
                <w:rFonts w:ascii="宋体" w:hAnsi="宋体" w:cs="宋体"/>
                <w:bCs/>
                <w:kern w:val="0"/>
                <w:sz w:val="18"/>
                <w:szCs w:val="18"/>
              </w:rPr>
            </w:pPr>
          </w:p>
        </w:tc>
        <w:tc>
          <w:tcPr>
            <w:tcW w:w="2325" w:type="dxa"/>
            <w:tcBorders>
              <w:top w:val="nil"/>
              <w:left w:val="nil"/>
              <w:bottom w:val="nil"/>
              <w:right w:val="nil"/>
            </w:tcBorders>
            <w:shd w:val="clear" w:color="auto" w:fill="auto"/>
            <w:noWrap/>
            <w:vAlign w:val="bottom"/>
          </w:tcPr>
          <w:p>
            <w:pPr>
              <w:widowControl/>
              <w:jc w:val="left"/>
              <w:rPr>
                <w:rFonts w:ascii="宋体" w:hAnsi="宋体" w:cs="宋体"/>
                <w:bCs/>
                <w:kern w:val="0"/>
                <w:sz w:val="18"/>
                <w:szCs w:val="18"/>
              </w:rPr>
            </w:pPr>
          </w:p>
        </w:tc>
      </w:tr>
    </w:tbl>
    <w:p>
      <w:pPr>
        <w:jc w:val="center"/>
        <w:rPr>
          <w:rFonts w:eastAsia="仿宋_GB2312"/>
          <w:b/>
          <w:bCs/>
          <w:kern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055F26"/>
    <w:rsid w:val="00081A73"/>
    <w:rsid w:val="00193C01"/>
    <w:rsid w:val="002B1AD7"/>
    <w:rsid w:val="00370BF5"/>
    <w:rsid w:val="005F1AC1"/>
    <w:rsid w:val="006A568A"/>
    <w:rsid w:val="00741DA3"/>
    <w:rsid w:val="0086712E"/>
    <w:rsid w:val="00A2528D"/>
    <w:rsid w:val="00AE1DB8"/>
    <w:rsid w:val="00BB6B88"/>
    <w:rsid w:val="00C04052"/>
    <w:rsid w:val="00CE6D05"/>
    <w:rsid w:val="00D15D81"/>
    <w:rsid w:val="00DA59B5"/>
    <w:rsid w:val="00E54C26"/>
    <w:rsid w:val="00F95F6A"/>
    <w:rsid w:val="0CB9373A"/>
    <w:rsid w:val="0F3D3CEE"/>
    <w:rsid w:val="1DCE1555"/>
    <w:rsid w:val="1F333955"/>
    <w:rsid w:val="35E64262"/>
    <w:rsid w:val="46170502"/>
    <w:rsid w:val="4BA17456"/>
    <w:rsid w:val="4D4E3D1D"/>
    <w:rsid w:val="51A67BD3"/>
    <w:rsid w:val="5A6B3D37"/>
    <w:rsid w:val="663A7944"/>
    <w:rsid w:val="6E1E2556"/>
    <w:rsid w:val="6E8C40E1"/>
    <w:rsid w:val="70832ADA"/>
    <w:rsid w:val="720D220F"/>
    <w:rsid w:val="73C532C8"/>
    <w:rsid w:val="749C4A57"/>
    <w:rsid w:val="7954125A"/>
    <w:rsid w:val="7BE6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 w:type="character" w:customStyle="1" w:styleId="5">
    <w:name w:val="font21"/>
    <w:basedOn w:val="3"/>
    <w:qFormat/>
    <w:uiPriority w:val="0"/>
    <w:rPr>
      <w:rFonts w:hint="default" w:ascii="Times New Roman" w:hAnsi="Times New Roman" w:cs="Times New Roman"/>
      <w:color w:val="000000"/>
      <w:sz w:val="22"/>
      <w:szCs w:val="22"/>
      <w:u w:val="none"/>
    </w:rPr>
  </w:style>
  <w:style w:type="character" w:customStyle="1" w:styleId="6">
    <w:name w:val="font71"/>
    <w:basedOn w:val="3"/>
    <w:qFormat/>
    <w:uiPriority w:val="0"/>
    <w:rPr>
      <w:rFonts w:ascii="方正小标宋_GBK" w:hAnsi="方正小标宋_GBK" w:eastAsia="方正小标宋_GBK" w:cs="方正小标宋_GBK"/>
      <w:color w:val="000000"/>
      <w:sz w:val="32"/>
      <w:szCs w:val="32"/>
      <w:u w:val="none"/>
    </w:rPr>
  </w:style>
  <w:style w:type="character" w:customStyle="1" w:styleId="7">
    <w:name w:val="font31"/>
    <w:basedOn w:val="3"/>
    <w:qFormat/>
    <w:uiPriority w:val="0"/>
    <w:rPr>
      <w:rFonts w:hint="eastAsia" w:ascii="宋体" w:hAnsi="宋体" w:eastAsia="宋体" w:cs="宋体"/>
      <w:color w:val="000000"/>
      <w:sz w:val="22"/>
      <w:szCs w:val="22"/>
      <w:u w:val="none"/>
    </w:rPr>
  </w:style>
  <w:style w:type="character" w:customStyle="1" w:styleId="8">
    <w:name w:val="font81"/>
    <w:basedOn w:val="3"/>
    <w:qFormat/>
    <w:uiPriority w:val="0"/>
    <w:rPr>
      <w:rFonts w:hint="eastAsia" w:ascii="宋体" w:hAnsi="宋体" w:eastAsia="宋体" w:cs="宋体"/>
      <w:b/>
      <w:bCs/>
      <w:color w:val="000000"/>
      <w:sz w:val="22"/>
      <w:szCs w:val="22"/>
      <w:u w:val="none"/>
    </w:rPr>
  </w:style>
  <w:style w:type="character" w:customStyle="1" w:styleId="9">
    <w:name w:val="font101"/>
    <w:basedOn w:val="3"/>
    <w:qFormat/>
    <w:uiPriority w:val="0"/>
    <w:rPr>
      <w:rFonts w:ascii="方正小标宋_GBK" w:hAnsi="方正小标宋_GBK" w:eastAsia="方正小标宋_GBK" w:cs="方正小标宋_GBK"/>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1038</Words>
  <Characters>5918</Characters>
  <Lines>49</Lines>
  <Paragraphs>13</Paragraphs>
  <TotalTime>56</TotalTime>
  <ScaleCrop>false</ScaleCrop>
  <LinksUpToDate>false</LinksUpToDate>
  <CharactersWithSpaces>6943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cp:lastPrinted>2021-06-04T02:12:00Z</cp:lastPrinted>
  <dcterms:modified xsi:type="dcterms:W3CDTF">2021-06-06T00:33:19Z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9B7DEB2C61684E55A9695ED1B66B6EA2</vt:lpwstr>
  </property>
</Properties>
</file>