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2019年道县投资促进事务局部门预算公开</w:t>
      </w:r>
    </w:p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1、组织开展承接产业转移专题招商等相关投资促进活动。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2、负责重要经贸活动的会务组织工作。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3、承办以县委、县政府、县商务局名义主办（联合主办）的县内大型招商活动，负责组织和参与县级、市级、省级、国家级招商活动。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4、负责外来投资者的接待、洽谈、考察组织工作。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5、负责调度考核全县外资签约项目履约工作。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6、会同有关部门做好对外招商项目的前期准备工作。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7、承办县委、县政府、县商务局交办的其他事项。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投资促进事务局为副科级事业单位，内设办公室、政工财务股、投资联络股。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投资促进事务局</w:t>
      </w:r>
      <w:r>
        <w:rPr>
          <w:rFonts w:eastAsia="仿宋_GB2312"/>
          <w:sz w:val="32"/>
          <w:szCs w:val="32"/>
        </w:rPr>
        <w:t>部门只有本级，没有其他二级预算单位，因此，纳入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年部门预算编制范围的只有</w:t>
      </w:r>
      <w:r>
        <w:rPr>
          <w:rFonts w:hint="eastAsia" w:eastAsia="仿宋_GB2312"/>
          <w:sz w:val="32"/>
          <w:szCs w:val="32"/>
        </w:rPr>
        <w:t>投资促进事务局</w:t>
      </w:r>
      <w:r>
        <w:rPr>
          <w:rFonts w:eastAsia="仿宋_GB2312"/>
          <w:sz w:val="32"/>
          <w:szCs w:val="32"/>
        </w:rPr>
        <w:t>部门本级。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numPr>
          <w:ilvl w:val="0"/>
          <w:numId w:val="2"/>
        </w:numPr>
        <w:spacing w:line="600" w:lineRule="exact"/>
        <w:ind w:firstLine="630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收入预算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收入较去年减少11.2507万元,主要是公用经费减少。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（二）支出预算</w:t>
      </w:r>
      <w:r>
        <w:rPr>
          <w:rFonts w:hint="eastAsia" w:eastAsia="仿宋_GB2312"/>
          <w:b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支出较去年减少11.2507万元，主要是公用经费减少。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年一般公共预算拨款</w:t>
      </w:r>
      <w:r>
        <w:rPr>
          <w:rFonts w:hint="eastAsia" w:eastAsia="仿宋_GB2312"/>
          <w:sz w:val="32"/>
          <w:szCs w:val="32"/>
          <w:lang w:eastAsia="zh-CN"/>
        </w:rPr>
        <w:t>支出预算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其中一般公共服务支出103.7093万元，占100%。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年预算数为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hint="eastAsia" w:eastAsia="楷体_GB2312"/>
          <w:bCs/>
          <w:sz w:val="32"/>
          <w:szCs w:val="32"/>
        </w:rPr>
        <w:t>2019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本部门项目支出预算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</w:rPr>
        <w:t>安排的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</w:t>
      </w:r>
      <w:r>
        <w:rPr>
          <w:rFonts w:eastAsia="黑体"/>
          <w:sz w:val="32"/>
          <w:szCs w:val="32"/>
        </w:rPr>
        <w:t>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（一）机关运行经费</w:t>
      </w:r>
      <w:r>
        <w:rPr>
          <w:rFonts w:hint="eastAsia" w:eastAsia="楷体_GB2312"/>
          <w:b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机关运行经费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上年</w:t>
      </w:r>
      <w:r>
        <w:rPr>
          <w:rFonts w:hint="eastAsia" w:eastAsia="仿宋_GB2312"/>
          <w:sz w:val="32"/>
          <w:szCs w:val="32"/>
        </w:rPr>
        <w:t>减少1.1万元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减少10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</w:t>
      </w:r>
      <w:r>
        <w:rPr>
          <w:rFonts w:hint="eastAsia" w:eastAsia="仿宋_GB2312"/>
          <w:sz w:val="32"/>
          <w:szCs w:val="32"/>
        </w:rPr>
        <w:t>是单位人员减少，公用经费相应减少。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（二）“三公”经费预算</w:t>
      </w:r>
      <w:r>
        <w:rPr>
          <w:rFonts w:hint="eastAsia" w:eastAsia="楷体_GB2312"/>
          <w:b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年“三公”经费预算数为</w:t>
      </w:r>
      <w:r>
        <w:rPr>
          <w:rFonts w:hint="eastAsia" w:eastAsia="仿宋_GB2312"/>
          <w:sz w:val="32"/>
          <w:szCs w:val="32"/>
        </w:rPr>
        <w:t>6.5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>从招商引资专批经费中列支</w:t>
      </w:r>
      <w:r>
        <w:rPr>
          <w:rFonts w:eastAsia="仿宋_GB2312"/>
          <w:sz w:val="32"/>
          <w:szCs w:val="32"/>
        </w:rPr>
        <w:t>，公务用车购置及运行费</w:t>
      </w:r>
      <w:r>
        <w:rPr>
          <w:rFonts w:hint="eastAsia" w:eastAsia="仿宋_GB2312"/>
          <w:sz w:val="32"/>
          <w:szCs w:val="32"/>
        </w:rPr>
        <w:t>6.5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</w:rPr>
        <w:t>6.5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年“三公”经费预算</w:t>
      </w:r>
      <w:r>
        <w:rPr>
          <w:rFonts w:hint="eastAsia" w:eastAsia="仿宋_GB2312"/>
          <w:sz w:val="32"/>
          <w:szCs w:val="32"/>
        </w:rPr>
        <w:t>与上年持平。</w:t>
      </w:r>
    </w:p>
    <w:p>
      <w:pPr>
        <w:widowControl/>
        <w:spacing w:line="60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（三）一般性支出情况：2019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万元，培训费预算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四）政府采购情况：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 xml:space="preserve">年本部门政府采购预算总额   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 xml:space="preserve">万元；服务类采购预算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 xml:space="preserve">共有公务用车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辆，其中，机要通信用车 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 辆，特种专业技术用车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辆；单位价值50万元以上通用设备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 台，单位价值100万元以上专用设备 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台。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 xml:space="preserve">年拟新增配置公务用车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辆，其中，机要通信用车 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 辆，执法执勤用车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辆，特种专业技术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辆，其他按照规定配备的公务用车 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 xml:space="preserve"> 辆；新增配备单位价值50万元以上通用设备   台，单位价值100万元以上专用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</w:t>
      </w:r>
      <w:bookmarkStart w:id="0" w:name="_GoBack"/>
      <w:bookmarkEnd w:id="0"/>
      <w:r>
        <w:rPr>
          <w:rFonts w:eastAsia="楷体_GB2312"/>
          <w:b/>
          <w:bCs/>
          <w:kern w:val="0"/>
          <w:sz w:val="32"/>
          <w:szCs w:val="32"/>
        </w:rPr>
        <w:t>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</w:rPr>
        <w:t>103.7093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hint="eastAsia" w:eastAsia="仿宋_GB2312"/>
          <w:color w:val="C00000"/>
          <w:sz w:val="32"/>
          <w:szCs w:val="32"/>
          <w:lang w:eastAsia="zh-CN"/>
        </w:rPr>
      </w:pPr>
    </w:p>
    <w:p>
      <w:pPr>
        <w:widowControl/>
        <w:spacing w:line="600" w:lineRule="exact"/>
        <w:ind w:firstLine="660"/>
        <w:rPr>
          <w:rFonts w:hint="eastAsia" w:eastAsia="仿宋_GB2312"/>
          <w:color w:val="C00000"/>
          <w:sz w:val="32"/>
          <w:szCs w:val="32"/>
          <w:lang w:eastAsia="zh-CN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43DD1"/>
    <w:multiLevelType w:val="singleLevel"/>
    <w:tmpl w:val="D1843DD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71A6AAC6"/>
    <w:multiLevelType w:val="singleLevel"/>
    <w:tmpl w:val="71A6AAC6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067FC5"/>
    <w:rsid w:val="000D02F6"/>
    <w:rsid w:val="001F081A"/>
    <w:rsid w:val="002022E2"/>
    <w:rsid w:val="00370BF5"/>
    <w:rsid w:val="00441BCA"/>
    <w:rsid w:val="00565F04"/>
    <w:rsid w:val="005662E4"/>
    <w:rsid w:val="00576EA0"/>
    <w:rsid w:val="00800209"/>
    <w:rsid w:val="0086712E"/>
    <w:rsid w:val="009A19C5"/>
    <w:rsid w:val="009B6D79"/>
    <w:rsid w:val="00A65108"/>
    <w:rsid w:val="00B56D4F"/>
    <w:rsid w:val="00BE761D"/>
    <w:rsid w:val="00E2570B"/>
    <w:rsid w:val="00E96628"/>
    <w:rsid w:val="00EF496B"/>
    <w:rsid w:val="00F37EC4"/>
    <w:rsid w:val="00F92CBA"/>
    <w:rsid w:val="010A139D"/>
    <w:rsid w:val="012F3978"/>
    <w:rsid w:val="06D07A67"/>
    <w:rsid w:val="0F66194F"/>
    <w:rsid w:val="12BA676C"/>
    <w:rsid w:val="16B6561F"/>
    <w:rsid w:val="19E12841"/>
    <w:rsid w:val="1A0804AB"/>
    <w:rsid w:val="1F333955"/>
    <w:rsid w:val="22DC08D0"/>
    <w:rsid w:val="278B42FD"/>
    <w:rsid w:val="2A483B68"/>
    <w:rsid w:val="2F7D38C4"/>
    <w:rsid w:val="316774BF"/>
    <w:rsid w:val="369B6ED4"/>
    <w:rsid w:val="3E4B0C81"/>
    <w:rsid w:val="41F8518E"/>
    <w:rsid w:val="45C27C1C"/>
    <w:rsid w:val="4A6113CA"/>
    <w:rsid w:val="4BA17456"/>
    <w:rsid w:val="4BC77D8D"/>
    <w:rsid w:val="56920F66"/>
    <w:rsid w:val="5AC0760E"/>
    <w:rsid w:val="5D352D6E"/>
    <w:rsid w:val="5DBC2EA1"/>
    <w:rsid w:val="60F76F41"/>
    <w:rsid w:val="64C85BDD"/>
    <w:rsid w:val="73173F3F"/>
    <w:rsid w:val="749C4A57"/>
    <w:rsid w:val="768976FF"/>
    <w:rsid w:val="76EC2AE3"/>
    <w:rsid w:val="78A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322</Words>
  <Characters>1839</Characters>
  <Lines>15</Lines>
  <Paragraphs>4</Paragraphs>
  <TotalTime>43</TotalTime>
  <ScaleCrop>false</ScaleCrop>
  <LinksUpToDate>false</LinksUpToDate>
  <CharactersWithSpaces>2157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2021-06-06T03:23:22Z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723BE2791747492DBA0419756F746E8D</vt:lpwstr>
  </property>
</Properties>
</file>