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sz w:val="84"/>
          <w:szCs w:val="84"/>
        </w:rPr>
      </w:pPr>
    </w:p>
    <w:p>
      <w:pPr>
        <w:pStyle w:val="10"/>
        <w:jc w:val="center"/>
        <w:rPr>
          <w:sz w:val="36"/>
          <w:szCs w:val="36"/>
        </w:rPr>
      </w:pPr>
      <w:r>
        <w:rPr>
          <w:rFonts w:hint="eastAsia"/>
          <w:sz w:val="36"/>
          <w:szCs w:val="36"/>
        </w:rPr>
        <w:t>2018年度道县市场服务中心部门决算</w:t>
      </w:r>
    </w:p>
    <w:p>
      <w:pPr>
        <w:pStyle w:val="10"/>
        <w:jc w:val="center"/>
        <w:rPr>
          <w:sz w:val="36"/>
          <w:szCs w:val="36"/>
        </w:rPr>
      </w:pPr>
    </w:p>
    <w:p>
      <w:pPr>
        <w:pStyle w:val="10"/>
        <w:spacing w:line="520" w:lineRule="exact"/>
        <w:jc w:val="center"/>
        <w:rPr>
          <w:sz w:val="36"/>
          <w:szCs w:val="36"/>
        </w:rPr>
      </w:pPr>
      <w:r>
        <w:rPr>
          <w:rFonts w:hint="eastAsia"/>
          <w:sz w:val="36"/>
          <w:szCs w:val="36"/>
        </w:rPr>
        <w:t>目录</w:t>
      </w:r>
    </w:p>
    <w:p>
      <w:pPr>
        <w:pStyle w:val="10"/>
        <w:spacing w:line="520" w:lineRule="exact"/>
        <w:jc w:val="center"/>
        <w:rPr>
          <w:sz w:val="28"/>
          <w:szCs w:val="28"/>
        </w:rPr>
      </w:pPr>
    </w:p>
    <w:p>
      <w:pPr>
        <w:pStyle w:val="10"/>
        <w:spacing w:line="520" w:lineRule="exact"/>
        <w:rPr>
          <w:rFonts w:ascii="仿宋_GB2312" w:hAnsi="仿宋_GB2312" w:cs="仿宋_GB2312"/>
          <w:b/>
          <w:sz w:val="28"/>
          <w:szCs w:val="28"/>
        </w:rPr>
      </w:pPr>
      <w:r>
        <w:rPr>
          <w:rFonts w:hint="eastAsia"/>
          <w:b/>
          <w:sz w:val="28"/>
          <w:szCs w:val="28"/>
        </w:rPr>
        <w:t>第一部分  道县市场服务中心单位概况</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w:t>
      </w:r>
      <w:r>
        <w:rPr>
          <w:rFonts w:cs="仿宋_GB2312" w:asciiTheme="minorEastAsia" w:hAnsiTheme="minorEastAsia" w:eastAsiaTheme="minorEastAsia"/>
          <w:sz w:val="28"/>
          <w:szCs w:val="28"/>
        </w:rPr>
        <w:t>、部门职责</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w:t>
      </w:r>
      <w:r>
        <w:rPr>
          <w:rFonts w:cs="仿宋_GB2312" w:asciiTheme="minorEastAsia" w:hAnsiTheme="minorEastAsia" w:eastAsiaTheme="minorEastAsia"/>
          <w:sz w:val="28"/>
          <w:szCs w:val="28"/>
        </w:rPr>
        <w:t>、机构设置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  2018年部门决算表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w:t>
      </w:r>
      <w:r>
        <w:rPr>
          <w:rFonts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rPr>
        <w:t>部门</w:t>
      </w:r>
      <w:r>
        <w:rPr>
          <w:rFonts w:cs="仿宋_GB2312" w:asciiTheme="minorEastAsia" w:hAnsiTheme="minorEastAsia" w:eastAsiaTheme="minorEastAsia"/>
          <w:sz w:val="28"/>
          <w:szCs w:val="28"/>
        </w:rPr>
        <w:t>收支决算总表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w:t>
      </w:r>
      <w:r>
        <w:rPr>
          <w:rFonts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rPr>
        <w:t>部门</w:t>
      </w:r>
      <w:r>
        <w:rPr>
          <w:rFonts w:cs="仿宋_GB2312" w:asciiTheme="minorEastAsia" w:hAnsiTheme="minorEastAsia" w:eastAsiaTheme="minorEastAsia"/>
          <w:sz w:val="28"/>
          <w:szCs w:val="28"/>
        </w:rPr>
        <w:t>收入决算表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3</w:t>
      </w:r>
      <w:r>
        <w:rPr>
          <w:rFonts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rPr>
        <w:t>部门</w:t>
      </w:r>
      <w:r>
        <w:rPr>
          <w:rFonts w:cs="仿宋_GB2312" w:asciiTheme="minorEastAsia" w:hAnsiTheme="minorEastAsia" w:eastAsiaTheme="minorEastAsia"/>
          <w:sz w:val="28"/>
          <w:szCs w:val="28"/>
        </w:rPr>
        <w:t>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4</w:t>
      </w:r>
      <w:r>
        <w:rPr>
          <w:rFonts w:cs="仿宋_GB2312" w:asciiTheme="minorEastAsia" w:hAnsiTheme="minorEastAsia" w:eastAsiaTheme="minorEastAsia"/>
          <w:sz w:val="28"/>
          <w:szCs w:val="28"/>
        </w:rPr>
        <w:t>、财政拨款收支决算总表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5</w:t>
      </w:r>
      <w:r>
        <w:rPr>
          <w:rFonts w:cs="仿宋_GB2312" w:asciiTheme="minorEastAsia" w:hAnsiTheme="minorEastAsia" w:eastAsiaTheme="minorEastAsia"/>
          <w:sz w:val="28"/>
          <w:szCs w:val="28"/>
        </w:rPr>
        <w:t>、一般公共预算财政拨款支出决算表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6</w:t>
      </w:r>
      <w:r>
        <w:rPr>
          <w:rFonts w:cs="仿宋_GB2312" w:asciiTheme="minorEastAsia" w:hAnsiTheme="minorEastAsia" w:eastAsiaTheme="minorEastAsia"/>
          <w:sz w:val="28"/>
          <w:szCs w:val="28"/>
        </w:rPr>
        <w:t>、一般公共预算财政拨款基本支出决算表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7</w:t>
      </w:r>
      <w:r>
        <w:rPr>
          <w:rFonts w:cs="仿宋_GB2312" w:asciiTheme="minorEastAsia" w:hAnsiTheme="minorEastAsia" w:eastAsiaTheme="minorEastAsia"/>
          <w:sz w:val="28"/>
          <w:szCs w:val="28"/>
        </w:rPr>
        <w:t>、一般公共预算财政拨款“三公”经费支出决算表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8</w:t>
      </w:r>
      <w:r>
        <w:rPr>
          <w:rFonts w:cs="仿宋_GB2312" w:asciiTheme="minorEastAsia" w:hAnsiTheme="minorEastAsia" w:eastAsiaTheme="minorEastAsia"/>
          <w:sz w:val="28"/>
          <w:szCs w:val="28"/>
        </w:rPr>
        <w:t>、政府性基金预算财政拨款收入支出决算表</w:t>
      </w:r>
    </w:p>
    <w:p>
      <w:pPr>
        <w:pStyle w:val="10"/>
        <w:spacing w:line="520" w:lineRule="exact"/>
        <w:rPr>
          <w:rFonts w:ascii="仿宋_GB2312" w:hAnsi="仿宋_GB2312" w:cs="仿宋_GB2312"/>
          <w:b/>
          <w:sz w:val="28"/>
          <w:szCs w:val="28"/>
        </w:rPr>
      </w:pPr>
      <w:r>
        <w:rPr>
          <w:rFonts w:hint="eastAsia" w:hAnsi="仿宋_GB2312"/>
          <w:b/>
          <w:sz w:val="28"/>
          <w:szCs w:val="28"/>
        </w:rPr>
        <w:t xml:space="preserve">第三部分  </w:t>
      </w:r>
      <w:r>
        <w:rPr>
          <w:rFonts w:hAnsi="仿宋_GB2312"/>
          <w:b/>
          <w:sz w:val="28"/>
          <w:szCs w:val="28"/>
        </w:rPr>
        <w:t>201</w:t>
      </w:r>
      <w:r>
        <w:rPr>
          <w:rFonts w:hint="eastAsia" w:hAnsi="仿宋_GB2312"/>
          <w:b/>
          <w:sz w:val="28"/>
          <w:szCs w:val="28"/>
        </w:rPr>
        <w:t>8年度部门决算情况说明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w:t>
      </w:r>
      <w:r>
        <w:rPr>
          <w:rFonts w:cs="仿宋_GB2312" w:asciiTheme="minorEastAsia" w:hAnsiTheme="minorEastAsia" w:eastAsiaTheme="minorEastAsia"/>
          <w:sz w:val="28"/>
          <w:szCs w:val="28"/>
        </w:rPr>
        <w:t>、收入支出决算总体情况说明</w:t>
      </w:r>
    </w:p>
    <w:p>
      <w:pPr>
        <w:spacing w:line="520" w:lineRule="exact"/>
        <w:ind w:firstLine="700" w:firstLineChars="250"/>
        <w:jc w:val="left"/>
        <w:rPr>
          <w:rFonts w:ascii="仿宋_GB2312" w:hAnsi="仿宋_GB2312" w:cs="仿宋_GB2312"/>
          <w:sz w:val="28"/>
          <w:szCs w:val="28"/>
        </w:rPr>
      </w:pPr>
      <w:r>
        <w:rPr>
          <w:rFonts w:hint="eastAsia" w:ascii="仿宋_GB2312" w:hAnsi="仿宋_GB2312" w:cs="仿宋_GB2312"/>
          <w:sz w:val="28"/>
          <w:szCs w:val="28"/>
        </w:rPr>
        <w:t>2</w:t>
      </w:r>
      <w:r>
        <w:rPr>
          <w:rFonts w:ascii="仿宋_GB2312" w:hAnsi="仿宋_GB2312" w:cs="仿宋_GB2312"/>
          <w:sz w:val="28"/>
          <w:szCs w:val="28"/>
        </w:rPr>
        <w:t>、收入决算情况说明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3</w:t>
      </w:r>
      <w:r>
        <w:rPr>
          <w:rFonts w:ascii="仿宋_GB2312" w:hAnsi="仿宋_GB2312" w:cs="仿宋_GB2312"/>
          <w:color w:val="000000"/>
          <w:kern w:val="0"/>
          <w:sz w:val="28"/>
          <w:szCs w:val="28"/>
        </w:rPr>
        <w:t>、支出决算情况说明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4</w:t>
      </w:r>
      <w:r>
        <w:rPr>
          <w:rFonts w:ascii="仿宋_GB2312" w:hAnsi="仿宋_GB2312" w:cs="仿宋_GB2312"/>
          <w:color w:val="000000"/>
          <w:kern w:val="0"/>
          <w:sz w:val="28"/>
          <w:szCs w:val="28"/>
        </w:rPr>
        <w:t>、财政拨款收入支出决算总体情况说明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5</w:t>
      </w:r>
      <w:r>
        <w:rPr>
          <w:rFonts w:ascii="仿宋_GB2312" w:hAnsi="仿宋_GB2312" w:cs="仿宋_GB2312"/>
          <w:color w:val="000000"/>
          <w:kern w:val="0"/>
          <w:sz w:val="28"/>
          <w:szCs w:val="28"/>
        </w:rPr>
        <w:t>、一般公共预算财政拨款支出决算情况说明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6</w:t>
      </w:r>
      <w:r>
        <w:rPr>
          <w:rFonts w:ascii="仿宋_GB2312" w:hAnsi="仿宋_GB2312" w:cs="仿宋_GB2312"/>
          <w:color w:val="000000"/>
          <w:kern w:val="0"/>
          <w:sz w:val="28"/>
          <w:szCs w:val="28"/>
        </w:rPr>
        <w:t>、一般公共预算财政拨款基本支出决算情况说明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7</w:t>
      </w:r>
      <w:r>
        <w:rPr>
          <w:rFonts w:ascii="仿宋_GB2312" w:hAnsi="仿宋_GB2312" w:cs="仿宋_GB2312"/>
          <w:color w:val="000000"/>
          <w:kern w:val="0"/>
          <w:sz w:val="28"/>
          <w:szCs w:val="28"/>
        </w:rPr>
        <w:t>、一般公共预算财政拨款三公经费支出决算情况说明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8</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9</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10</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rPr>
        <w:t xml:space="preserve">  </w:t>
      </w:r>
      <w:r>
        <w:rPr>
          <w:rFonts w:ascii="黑体" w:hAnsi="黑体" w:eastAsia="黑体" w:cs="黑体"/>
          <w:b/>
          <w:color w:val="000000"/>
          <w:kern w:val="0"/>
          <w:sz w:val="28"/>
          <w:szCs w:val="28"/>
        </w:rPr>
        <w:t>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w:t>
      </w:r>
      <w:r>
        <w:rPr>
          <w:rFonts w:hint="eastAsia" w:ascii="黑体" w:hAnsi="黑体" w:eastAsia="黑体" w:cs="黑体"/>
          <w:b/>
          <w:color w:val="000000"/>
          <w:kern w:val="0"/>
          <w:sz w:val="28"/>
          <w:szCs w:val="28"/>
        </w:rPr>
        <w:t xml:space="preserve">  </w:t>
      </w:r>
      <w:r>
        <w:rPr>
          <w:rFonts w:ascii="黑体" w:hAnsi="黑体" w:eastAsia="黑体" w:cs="黑体"/>
          <w:b/>
          <w:color w:val="000000"/>
          <w:kern w:val="0"/>
          <w:sz w:val="28"/>
          <w:szCs w:val="28"/>
        </w:rPr>
        <w:t>附件</w:t>
      </w:r>
    </w:p>
    <w:p>
      <w:pPr>
        <w:rPr>
          <w:sz w:val="72"/>
          <w:szCs w:val="72"/>
        </w:rPr>
      </w:pPr>
    </w:p>
    <w:p>
      <w:pPr>
        <w:pStyle w:val="10"/>
        <w:jc w:val="center"/>
        <w:rPr>
          <w:sz w:val="36"/>
          <w:szCs w:val="36"/>
        </w:rPr>
      </w:pPr>
      <w:r>
        <w:rPr>
          <w:rFonts w:hint="eastAsia"/>
          <w:sz w:val="32"/>
          <w:szCs w:val="32"/>
        </w:rPr>
        <w:t>第一部分</w:t>
      </w:r>
      <w:r>
        <w:rPr>
          <w:sz w:val="36"/>
          <w:szCs w:val="36"/>
        </w:rPr>
        <w:t xml:space="preserve"> </w:t>
      </w:r>
      <w:r>
        <w:rPr>
          <w:rFonts w:hint="eastAsia"/>
          <w:sz w:val="32"/>
          <w:szCs w:val="32"/>
        </w:rPr>
        <w:t>道县市场服务中心部门概况</w:t>
      </w: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道县市场服务中心是2000年4月依照湘政发[1999]24号文件精神成立的直属县政府管理的正科级自收自支事业单位，实行企业化管理。主要职责：</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1、研究拟定市场服务中心的有关政策措施和规章制度。</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2、负责市场培育建设和市场交易服务工作；配合有关部门做好市场布局审批和规划，参与市场建设、市场开发。组织实施新建市场立项前的论证、审查、经审查同意后到有关单位办理相关手续。</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3、牵头组织有关部门取缔马路市场，组织实施同类商品市场的集约经营。</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4、负责市场经营者的思想政治工作和法制教育，教育、引导市场经营者依法依规文明经营。建立市场服务管理的规章制度，督促、检查规章制度的执行落实，对违章行为予以处罚。</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5、经营市场的资产，负责市场内的物业管理、市场规划、市场开发和维修。</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6、负责市场内治安、消防、卫生等日常服务。</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7、提供交易场所和服务设施，开展代储、代运、信息咨询和其他服务。</w:t>
      </w:r>
    </w:p>
    <w:p>
      <w:pPr>
        <w:ind w:firstLine="480" w:firstLineChars="150"/>
        <w:rPr>
          <w:rFonts w:cs="仿宋" w:asciiTheme="minorEastAsia" w:hAnsiTheme="minorEastAsia"/>
          <w:sz w:val="32"/>
          <w:szCs w:val="32"/>
        </w:rPr>
      </w:pPr>
      <w:r>
        <w:rPr>
          <w:rFonts w:hint="eastAsia" w:cs="仿宋" w:asciiTheme="minorEastAsia" w:hAnsiTheme="minorEastAsia"/>
          <w:sz w:val="32"/>
          <w:szCs w:val="32"/>
        </w:rPr>
        <w:t>8、收取市场设施租赁费、交易手续提成费和其他符合国家和省规定的有偿服务费。</w:t>
      </w:r>
    </w:p>
    <w:p>
      <w:pPr>
        <w:widowControl/>
        <w:spacing w:line="600" w:lineRule="exact"/>
        <w:rPr>
          <w:rFonts w:ascii="黑体" w:hAnsi="黑体" w:eastAsia="黑体"/>
          <w:bCs/>
          <w:kern w:val="0"/>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320" w:firstLineChars="100"/>
        <w:rPr>
          <w:rFonts w:cs="仿宋" w:asciiTheme="minorEastAsia" w:hAnsiTheme="minorEastAsia"/>
          <w:sz w:val="32"/>
          <w:szCs w:val="32"/>
        </w:rPr>
      </w:pPr>
      <w:r>
        <w:rPr>
          <w:rFonts w:hint="eastAsia" w:cs="仿宋" w:asciiTheme="minorEastAsia" w:hAnsiTheme="minorEastAsia"/>
          <w:sz w:val="32"/>
          <w:szCs w:val="32"/>
        </w:rPr>
        <w:t>（一）内设机构设置。道县市场服务中心内设包括：办公室、政工股、规划建设股、市场经营股、治安消防股，下设城南、城北、梅花、寿雁、四马桥市场交易服务所。</w:t>
      </w:r>
    </w:p>
    <w:p>
      <w:pPr>
        <w:pStyle w:val="11"/>
        <w:ind w:firstLine="320" w:firstLineChars="100"/>
        <w:rPr>
          <w:rFonts w:ascii="黑体" w:hAnsi="黑体" w:eastAsia="黑体"/>
          <w:sz w:val="28"/>
          <w:szCs w:val="28"/>
        </w:rPr>
      </w:pPr>
      <w:r>
        <w:rPr>
          <w:rFonts w:hint="eastAsia" w:cs="仿宋" w:asciiTheme="minorEastAsia" w:hAnsiTheme="minorEastAsia"/>
          <w:bCs/>
          <w:color w:val="000000"/>
          <w:sz w:val="32"/>
          <w:szCs w:val="32"/>
        </w:rPr>
        <w:t>（二）决算单位构成。道县市场服务中无二级预算单位。因此，道县市场服务中心2018年部门决算即道县市场服务中心本级2018年部门决算。</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rPr>
          <w:sz w:val="72"/>
          <w:szCs w:val="72"/>
        </w:rPr>
      </w:pPr>
    </w:p>
    <w:p>
      <w:pPr>
        <w:jc w:val="center"/>
        <w:rPr>
          <w:sz w:val="72"/>
          <w:szCs w:val="72"/>
        </w:rPr>
      </w:pPr>
    </w:p>
    <w:p>
      <w:pPr>
        <w:jc w:val="center"/>
        <w:rPr>
          <w:b/>
          <w:sz w:val="32"/>
          <w:szCs w:val="32"/>
        </w:rPr>
      </w:pPr>
      <w:r>
        <w:rPr>
          <w:rFonts w:hint="eastAsia"/>
          <w:b/>
          <w:sz w:val="32"/>
          <w:szCs w:val="32"/>
        </w:rPr>
        <w:t>第二部分</w:t>
      </w:r>
    </w:p>
    <w:p>
      <w:pPr>
        <w:jc w:val="center"/>
        <w:rPr>
          <w:b/>
          <w:sz w:val="32"/>
          <w:szCs w:val="32"/>
        </w:rPr>
      </w:pPr>
    </w:p>
    <w:p>
      <w:pPr>
        <w:jc w:val="center"/>
        <w:rPr>
          <w:sz w:val="32"/>
          <w:szCs w:val="32"/>
        </w:rPr>
        <w:sectPr>
          <w:pgSz w:w="11906" w:h="16838"/>
          <w:pgMar w:top="1440" w:right="1800" w:bottom="1440" w:left="1800" w:header="851" w:footer="992" w:gutter="0"/>
          <w:cols w:space="425" w:num="1"/>
          <w:docGrid w:type="lines" w:linePitch="312" w:charSpace="0"/>
        </w:sectPr>
      </w:pPr>
      <w:r>
        <w:rPr>
          <w:rFonts w:hint="eastAsia"/>
          <w:b/>
          <w:sz w:val="32"/>
          <w:szCs w:val="32"/>
        </w:rPr>
        <w:t>部门决算表</w:t>
      </w:r>
    </w:p>
    <w:p>
      <w:pPr>
        <w:jc w:val="center"/>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部门：道县市场服务中心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w:t>
      </w:r>
      <w:r>
        <w:rPr>
          <w:rFonts w:ascii="Times New Roman" w:hAnsi="Times New Roman" w:eastAsia="仿宋_GB2312" w:cs="Times New Roman"/>
          <w:color w:val="000000"/>
          <w:kern w:val="0"/>
          <w:szCs w:val="21"/>
        </w:rPr>
        <w:t>01</w:t>
      </w:r>
      <w:r>
        <w:rPr>
          <w:rFonts w:hint="eastAsia" w:ascii="Times New Roman" w:hAnsi="Times New Roman" w:eastAsia="仿宋_GB2312" w:cs="Times New Roman"/>
          <w:color w:val="000000"/>
          <w:kern w:val="0"/>
          <w:szCs w:val="21"/>
        </w:rPr>
        <w:t>表</w:t>
      </w:r>
    </w:p>
    <w:p>
      <w:pPr>
        <w:widowControl/>
        <w:spacing w:line="320" w:lineRule="exact"/>
        <w:ind w:right="198"/>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单位：万元</w:t>
      </w:r>
    </w:p>
    <w:tbl>
      <w:tblPr>
        <w:tblStyle w:val="5"/>
        <w:tblW w:w="14061" w:type="dxa"/>
        <w:jc w:val="center"/>
        <w:tblLayout w:type="autofit"/>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noWrap/>
            <w:vAlign w:val="center"/>
          </w:tcPr>
          <w:p>
            <w:pP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1096.01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29</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921.21</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二、政府性基金预算财政拨款</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二、外交支出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30</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三、上级补助收入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三、国防支出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31</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四、事业收入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四、公共安全支出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32</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五、经营收入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五、教育支出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33</w:t>
            </w:r>
          </w:p>
        </w:tc>
        <w:tc>
          <w:tcPr>
            <w:tcW w:w="1681" w:type="dxa"/>
            <w:tcBorders>
              <w:top w:val="nil"/>
              <w:left w:val="nil"/>
              <w:bottom w:val="single" w:color="auto" w:sz="4" w:space="0"/>
              <w:right w:val="single" w:color="auto" w:sz="4" w:space="0"/>
            </w:tcBorders>
            <w:noWrap/>
            <w:vAlign w:val="center"/>
          </w:tcPr>
          <w:p>
            <w:pPr>
              <w:widowControl/>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六、附属单位上缴收入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六、科学技术支出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34</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七、其他收入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七、文化旅游体育与传媒支出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八、社会保障和就业支出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九、医疗卫生与计划生育支出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37</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十、节能环保支出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十一、城乡社区支出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39</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十二、农林水支出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十三、交通运输支出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41</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十四、资源勘探信息等支出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42</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十五、商业服务业等支出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43</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十六、金融支出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44</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十七、援助其他地区支出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45</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十八、自然资源海洋气象等支出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46</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19</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十九、住房保障支出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二十、粮油物资储备支出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48</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二十一、灾害防治及应急管理支出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49</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二十二、其他支出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23</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51</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本年收入合计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24</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1096.01　</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本年支出合计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52</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kern w:val="0"/>
                <w:szCs w:val="21"/>
              </w:rPr>
              <w:t>1096.01</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用事业基金弥补收支差额</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结余分配</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53</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年初结转和结余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年末结转和结余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54</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27</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55</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28</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1096.01　</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56</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　</w:t>
            </w:r>
            <w:r>
              <w:rPr>
                <w:rFonts w:hint="eastAsia" w:ascii="Times New Roman" w:hAnsi="Times New Roman" w:eastAsia="仿宋_GB2312" w:cs="Times New Roman"/>
                <w:kern w:val="0"/>
                <w:szCs w:val="21"/>
              </w:rPr>
              <w:t>1096.01</w:t>
            </w:r>
          </w:p>
        </w:tc>
      </w:tr>
    </w:tbl>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注：本表反映部门本年度的总收支和年末结转结余情况。</w:t>
      </w:r>
    </w:p>
    <w:p>
      <w:pPr>
        <w:widowControl/>
        <w:jc w:val="left"/>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道县市场服务中心</w:t>
      </w:r>
      <w:r>
        <w:rPr>
          <w:rFonts w:ascii="Times New Roman" w:hAnsi="Times New Roman" w:eastAsia="仿宋_GB2312" w:cs="Times New Roman"/>
          <w:color w:val="000000"/>
          <w:kern w:val="0"/>
          <w:szCs w:val="21"/>
        </w:rPr>
        <w:t xml:space="preserve">                                                                                                      公开02表</w:t>
      </w:r>
    </w:p>
    <w:p>
      <w:pPr>
        <w:widowControl/>
        <w:ind w:right="63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2705" w:type="dxa"/>
        <w:jc w:val="center"/>
        <w:tblLayout w:type="autofit"/>
        <w:tblCellMar>
          <w:top w:w="0" w:type="dxa"/>
          <w:left w:w="108" w:type="dxa"/>
          <w:bottom w:w="0" w:type="dxa"/>
          <w:right w:w="108" w:type="dxa"/>
        </w:tblCellMar>
      </w:tblPr>
      <w:tblGrid>
        <w:gridCol w:w="1197"/>
        <w:gridCol w:w="2696"/>
        <w:gridCol w:w="1109"/>
        <w:gridCol w:w="1241"/>
        <w:gridCol w:w="1274"/>
        <w:gridCol w:w="1209"/>
        <w:gridCol w:w="1417"/>
        <w:gridCol w:w="1391"/>
        <w:gridCol w:w="1276"/>
      </w:tblGrid>
      <w:tr>
        <w:tblPrEx>
          <w:tblCellMar>
            <w:top w:w="0" w:type="dxa"/>
            <w:left w:w="108" w:type="dxa"/>
            <w:bottom w:w="0" w:type="dxa"/>
            <w:right w:w="108" w:type="dxa"/>
          </w:tblCellMar>
        </w:tblPrEx>
        <w:trPr>
          <w:trHeight w:val="450" w:hRule="atLeast"/>
          <w:jc w:val="center"/>
        </w:trPr>
        <w:tc>
          <w:tcPr>
            <w:tcW w:w="3893" w:type="dxa"/>
            <w:gridSpan w:val="2"/>
            <w:tcBorders>
              <w:top w:val="single" w:color="auto" w:sz="8" w:space="0"/>
              <w:left w:val="single" w:color="auto" w:sz="8" w:space="0"/>
              <w:bottom w:val="single" w:color="auto"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004"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本年收入合计</w:t>
            </w:r>
          </w:p>
        </w:tc>
        <w:tc>
          <w:tcPr>
            <w:tcW w:w="1241"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财政拨款收入</w:t>
            </w:r>
          </w:p>
        </w:tc>
        <w:tc>
          <w:tcPr>
            <w:tcW w:w="1274"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上级补助收入</w:t>
            </w:r>
          </w:p>
        </w:tc>
        <w:tc>
          <w:tcPr>
            <w:tcW w:w="1209"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事业收入</w:t>
            </w:r>
          </w:p>
        </w:tc>
        <w:tc>
          <w:tcPr>
            <w:tcW w:w="1417"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经营收入</w:t>
            </w:r>
          </w:p>
        </w:tc>
        <w:tc>
          <w:tcPr>
            <w:tcW w:w="1391"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附属单位上缴收入</w:t>
            </w:r>
          </w:p>
        </w:tc>
        <w:tc>
          <w:tcPr>
            <w:tcW w:w="1276"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其他收入</w:t>
            </w:r>
          </w:p>
        </w:tc>
      </w:tr>
      <w:tr>
        <w:tblPrEx>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26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00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4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7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9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76"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cs="Times New Roman"/>
                <w:kern w:val="0"/>
                <w:szCs w:val="21"/>
              </w:rPr>
            </w:pPr>
          </w:p>
        </w:tc>
        <w:tc>
          <w:tcPr>
            <w:tcW w:w="26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00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4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7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9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76"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3893" w:type="dxa"/>
            <w:gridSpan w:val="2"/>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00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4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7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76"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r>
      <w:tr>
        <w:tblPrEx>
          <w:tblCellMar>
            <w:top w:w="0" w:type="dxa"/>
            <w:left w:w="108" w:type="dxa"/>
            <w:bottom w:w="0" w:type="dxa"/>
            <w:right w:w="108" w:type="dxa"/>
          </w:tblCellMar>
        </w:tblPrEx>
        <w:trPr>
          <w:trHeight w:val="450" w:hRule="atLeast"/>
          <w:jc w:val="center"/>
        </w:trPr>
        <w:tc>
          <w:tcPr>
            <w:tcW w:w="3893" w:type="dxa"/>
            <w:gridSpan w:val="2"/>
            <w:tcBorders>
              <w:top w:val="nil"/>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00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1096.01</w:t>
            </w:r>
          </w:p>
        </w:tc>
        <w:tc>
          <w:tcPr>
            <w:tcW w:w="124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1096.01</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r>
              <w:rPr>
                <w:rFonts w:ascii="Times New Roman" w:hAnsi="Times New Roman" w:eastAsia="仿宋_GB2312" w:cs="Times New Roman"/>
                <w:kern w:val="0"/>
                <w:szCs w:val="21"/>
              </w:rPr>
              <w:t>　</w:t>
            </w:r>
          </w:p>
        </w:tc>
        <w:tc>
          <w:tcPr>
            <w:tcW w:w="1004"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921.21</w:t>
            </w:r>
          </w:p>
        </w:tc>
        <w:tc>
          <w:tcPr>
            <w:tcW w:w="1241"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921.21</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政府办公厅(室)及相关机构事务</w:t>
            </w:r>
          </w:p>
        </w:tc>
        <w:tc>
          <w:tcPr>
            <w:tcW w:w="1004" w:type="dxa"/>
            <w:tcBorders>
              <w:top w:val="nil"/>
              <w:left w:val="nil"/>
              <w:bottom w:val="single" w:color="auto" w:sz="4" w:space="0"/>
              <w:right w:val="single" w:color="auto" w:sz="4" w:space="0"/>
            </w:tcBorders>
            <w:shd w:val="clear" w:color="auto" w:fill="auto"/>
            <w:noWrap/>
            <w:vAlign w:val="center"/>
          </w:tcPr>
          <w:p>
            <w:pPr>
              <w:widowControl/>
              <w:ind w:right="31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921.21</w:t>
            </w:r>
          </w:p>
        </w:tc>
        <w:tc>
          <w:tcPr>
            <w:tcW w:w="1241" w:type="dxa"/>
            <w:tcBorders>
              <w:top w:val="nil"/>
              <w:left w:val="nil"/>
              <w:bottom w:val="single" w:color="auto" w:sz="4" w:space="0"/>
              <w:right w:val="single" w:color="auto" w:sz="4" w:space="0"/>
            </w:tcBorders>
            <w:shd w:val="clear" w:color="auto" w:fill="auto"/>
            <w:noWrap/>
            <w:vAlign w:val="center"/>
          </w:tcPr>
          <w:p>
            <w:pPr>
              <w:widowControl/>
              <w:ind w:right="10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921.21</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2010350</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事业运行</w:t>
            </w:r>
          </w:p>
        </w:tc>
        <w:tc>
          <w:tcPr>
            <w:tcW w:w="1004" w:type="dxa"/>
            <w:tcBorders>
              <w:top w:val="nil"/>
              <w:left w:val="nil"/>
              <w:bottom w:val="single" w:color="auto" w:sz="4" w:space="0"/>
              <w:right w:val="single" w:color="auto" w:sz="4" w:space="0"/>
            </w:tcBorders>
            <w:shd w:val="clear" w:color="auto" w:fill="auto"/>
            <w:noWrap/>
            <w:vAlign w:val="center"/>
          </w:tcPr>
          <w:p>
            <w:pPr>
              <w:widowControl/>
              <w:ind w:right="31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903.41</w:t>
            </w:r>
          </w:p>
        </w:tc>
        <w:tc>
          <w:tcPr>
            <w:tcW w:w="1241" w:type="dxa"/>
            <w:tcBorders>
              <w:top w:val="nil"/>
              <w:left w:val="nil"/>
              <w:bottom w:val="single" w:color="auto" w:sz="4" w:space="0"/>
              <w:right w:val="single" w:color="auto" w:sz="4" w:space="0"/>
            </w:tcBorders>
            <w:shd w:val="clear" w:color="auto" w:fill="auto"/>
            <w:noWrap/>
            <w:vAlign w:val="center"/>
          </w:tcPr>
          <w:p>
            <w:pPr>
              <w:widowControl/>
              <w:ind w:right="31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903.41</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9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2010399</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其他政府办公厅（室）及相关机构事务支出</w:t>
            </w:r>
          </w:p>
        </w:tc>
        <w:tc>
          <w:tcPr>
            <w:tcW w:w="100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17.8</w:t>
            </w:r>
          </w:p>
        </w:tc>
        <w:tc>
          <w:tcPr>
            <w:tcW w:w="1241"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17.8</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社会保障和就业支出</w:t>
            </w:r>
          </w:p>
        </w:tc>
        <w:tc>
          <w:tcPr>
            <w:tcW w:w="100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124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行政事业单位退休</w:t>
            </w:r>
          </w:p>
        </w:tc>
        <w:tc>
          <w:tcPr>
            <w:tcW w:w="100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124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2080505</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机构事业单位基本养老保险缴费支出</w:t>
            </w:r>
          </w:p>
        </w:tc>
        <w:tc>
          <w:tcPr>
            <w:tcW w:w="1004"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1241"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医疗卫生与计划生育支出</w:t>
            </w:r>
          </w:p>
        </w:tc>
        <w:tc>
          <w:tcPr>
            <w:tcW w:w="1004"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1241"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21011</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行政事业单位医疗</w:t>
            </w:r>
          </w:p>
        </w:tc>
        <w:tc>
          <w:tcPr>
            <w:tcW w:w="1004"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1241"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2101102</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事业单位医疗</w:t>
            </w:r>
          </w:p>
        </w:tc>
        <w:tc>
          <w:tcPr>
            <w:tcW w:w="1004"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1241"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城乡社区支出</w:t>
            </w:r>
          </w:p>
        </w:tc>
        <w:tc>
          <w:tcPr>
            <w:tcW w:w="1004"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241"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21205</w:t>
            </w:r>
          </w:p>
        </w:tc>
        <w:tc>
          <w:tcPr>
            <w:tcW w:w="2696" w:type="dxa"/>
            <w:tcBorders>
              <w:top w:val="nil"/>
              <w:left w:val="nil"/>
              <w:bottom w:val="single" w:color="auto" w:sz="8"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城乡社区环境卫生</w:t>
            </w:r>
          </w:p>
        </w:tc>
        <w:tc>
          <w:tcPr>
            <w:tcW w:w="1004" w:type="dxa"/>
            <w:tcBorders>
              <w:top w:val="nil"/>
              <w:left w:val="nil"/>
              <w:bottom w:val="single" w:color="auto" w:sz="8"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241" w:type="dxa"/>
            <w:tcBorders>
              <w:top w:val="nil"/>
              <w:left w:val="nil"/>
              <w:bottom w:val="single" w:color="auto" w:sz="8"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274"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09"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391"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2120501</w:t>
            </w:r>
          </w:p>
        </w:tc>
        <w:tc>
          <w:tcPr>
            <w:tcW w:w="2696" w:type="dxa"/>
            <w:tcBorders>
              <w:top w:val="nil"/>
              <w:left w:val="nil"/>
              <w:bottom w:val="single" w:color="auto" w:sz="8"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城乡社区环境卫生</w:t>
            </w:r>
          </w:p>
        </w:tc>
        <w:tc>
          <w:tcPr>
            <w:tcW w:w="1004" w:type="dxa"/>
            <w:tcBorders>
              <w:top w:val="nil"/>
              <w:left w:val="nil"/>
              <w:bottom w:val="single" w:color="auto" w:sz="8"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241" w:type="dxa"/>
            <w:tcBorders>
              <w:top w:val="nil"/>
              <w:left w:val="nil"/>
              <w:bottom w:val="single" w:color="auto" w:sz="8"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274"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09"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391"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54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213</w:t>
            </w:r>
          </w:p>
        </w:tc>
        <w:tc>
          <w:tcPr>
            <w:tcW w:w="2696" w:type="dxa"/>
            <w:tcBorders>
              <w:top w:val="nil"/>
              <w:left w:val="nil"/>
              <w:bottom w:val="single" w:color="auto" w:sz="8"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农林水支出</w:t>
            </w:r>
          </w:p>
        </w:tc>
        <w:tc>
          <w:tcPr>
            <w:tcW w:w="1004" w:type="dxa"/>
            <w:tcBorders>
              <w:top w:val="nil"/>
              <w:left w:val="nil"/>
              <w:bottom w:val="single" w:color="auto" w:sz="8"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c>
          <w:tcPr>
            <w:tcW w:w="1241" w:type="dxa"/>
            <w:tcBorders>
              <w:top w:val="nil"/>
              <w:left w:val="nil"/>
              <w:bottom w:val="single" w:color="auto" w:sz="8"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c>
          <w:tcPr>
            <w:tcW w:w="1274"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09"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391"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21302</w:t>
            </w:r>
          </w:p>
        </w:tc>
        <w:tc>
          <w:tcPr>
            <w:tcW w:w="2696" w:type="dxa"/>
            <w:tcBorders>
              <w:top w:val="nil"/>
              <w:left w:val="nil"/>
              <w:bottom w:val="single" w:color="auto" w:sz="8"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林业</w:t>
            </w:r>
          </w:p>
        </w:tc>
        <w:tc>
          <w:tcPr>
            <w:tcW w:w="1004" w:type="dxa"/>
            <w:tcBorders>
              <w:top w:val="nil"/>
              <w:left w:val="nil"/>
              <w:bottom w:val="single" w:color="auto" w:sz="8"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c>
          <w:tcPr>
            <w:tcW w:w="1241" w:type="dxa"/>
            <w:tcBorders>
              <w:top w:val="nil"/>
              <w:left w:val="nil"/>
              <w:bottom w:val="single" w:color="auto" w:sz="8"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c>
          <w:tcPr>
            <w:tcW w:w="1274"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09"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391"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2130207</w:t>
            </w:r>
          </w:p>
        </w:tc>
        <w:tc>
          <w:tcPr>
            <w:tcW w:w="2696" w:type="dxa"/>
            <w:tcBorders>
              <w:top w:val="nil"/>
              <w:left w:val="nil"/>
              <w:bottom w:val="single" w:color="auto" w:sz="8"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森林资源管理</w:t>
            </w:r>
          </w:p>
        </w:tc>
        <w:tc>
          <w:tcPr>
            <w:tcW w:w="1004" w:type="dxa"/>
            <w:tcBorders>
              <w:top w:val="nil"/>
              <w:left w:val="nil"/>
              <w:bottom w:val="single" w:color="auto" w:sz="8"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c>
          <w:tcPr>
            <w:tcW w:w="1241" w:type="dxa"/>
            <w:tcBorders>
              <w:top w:val="nil"/>
              <w:left w:val="nil"/>
              <w:bottom w:val="single" w:color="auto" w:sz="8"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c>
          <w:tcPr>
            <w:tcW w:w="1274"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09"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91"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76" w:type="dxa"/>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15" w:hRule="atLeast"/>
          <w:jc w:val="center"/>
        </w:trPr>
        <w:tc>
          <w:tcPr>
            <w:tcW w:w="12705"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注：本表反映部门本年度取得的各项收入情况。</w:t>
            </w:r>
          </w:p>
        </w:tc>
      </w:tr>
    </w:tbl>
    <w:p>
      <w:pPr>
        <w:widowControl/>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支出决算表</w:t>
      </w:r>
    </w:p>
    <w:p>
      <w:pPr>
        <w:widowControl/>
        <w:spacing w:line="400" w:lineRule="exact"/>
        <w:ind w:firstLine="600" w:firstLineChars="300"/>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部门：</w:t>
      </w:r>
      <w:r>
        <w:rPr>
          <w:rFonts w:hint="eastAsia" w:ascii="Times New Roman" w:hAnsi="Times New Roman" w:eastAsia="仿宋_GB2312" w:cs="Times New Roman"/>
          <w:color w:val="000000"/>
          <w:kern w:val="0"/>
          <w:sz w:val="20"/>
          <w:szCs w:val="20"/>
        </w:rPr>
        <w:t>道县市场服务中心</w:t>
      </w:r>
      <w:r>
        <w:rPr>
          <w:rFonts w:ascii="Times New Roman" w:hAnsi="Times New Roman" w:eastAsia="仿宋_GB2312" w:cs="Times New Roman"/>
          <w:color w:val="000000"/>
          <w:kern w:val="0"/>
          <w:sz w:val="20"/>
          <w:szCs w:val="20"/>
        </w:rPr>
        <w:t xml:space="preserve">                                                                                                             公开03表</w:t>
      </w:r>
    </w:p>
    <w:p>
      <w:pPr>
        <w:widowControl/>
        <w:spacing w:line="400" w:lineRule="exact"/>
        <w:ind w:right="700"/>
        <w:jc w:val="righ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单位：万元</w:t>
      </w:r>
    </w:p>
    <w:tbl>
      <w:tblPr>
        <w:tblStyle w:val="5"/>
        <w:tblW w:w="1356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02"/>
        <w:gridCol w:w="290"/>
        <w:gridCol w:w="3136"/>
        <w:gridCol w:w="1358"/>
        <w:gridCol w:w="1134"/>
        <w:gridCol w:w="1418"/>
        <w:gridCol w:w="1559"/>
        <w:gridCol w:w="1701"/>
        <w:gridCol w:w="18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4528" w:type="dxa"/>
            <w:gridSpan w:val="3"/>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35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本年支出合计</w:t>
            </w:r>
          </w:p>
        </w:tc>
        <w:tc>
          <w:tcPr>
            <w:tcW w:w="1134"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基本支出</w:t>
            </w:r>
          </w:p>
        </w:tc>
        <w:tc>
          <w:tcPr>
            <w:tcW w:w="141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1559"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上缴上级支出</w:t>
            </w:r>
          </w:p>
        </w:tc>
        <w:tc>
          <w:tcPr>
            <w:tcW w:w="1701"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经营支出</w:t>
            </w:r>
          </w:p>
        </w:tc>
        <w:tc>
          <w:tcPr>
            <w:tcW w:w="1864"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3426" w:type="dxa"/>
            <w:gridSpan w:val="2"/>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358"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134"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418"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59"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701"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64"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3426" w:type="dxa"/>
            <w:gridSpan w:val="2"/>
            <w:vMerge w:val="continue"/>
            <w:shd w:val="clear" w:color="auto" w:fill="auto"/>
            <w:vAlign w:val="center"/>
          </w:tcPr>
          <w:p>
            <w:pPr>
              <w:widowControl/>
              <w:jc w:val="left"/>
              <w:rPr>
                <w:rFonts w:ascii="Times New Roman" w:hAnsi="Times New Roman" w:eastAsia="仿宋_GB2312" w:cs="Times New Roman"/>
                <w:kern w:val="0"/>
                <w:szCs w:val="21"/>
              </w:rPr>
            </w:pPr>
          </w:p>
        </w:tc>
        <w:tc>
          <w:tcPr>
            <w:tcW w:w="1358"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134"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418"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59"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701"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64"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4528" w:type="dxa"/>
            <w:gridSpan w:val="3"/>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358"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3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59"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70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6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4528" w:type="dxa"/>
            <w:gridSpan w:val="3"/>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35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1096.01</w:t>
            </w:r>
          </w:p>
        </w:tc>
        <w:tc>
          <w:tcPr>
            <w:tcW w:w="113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915.18</w:t>
            </w:r>
          </w:p>
        </w:tc>
        <w:tc>
          <w:tcPr>
            <w:tcW w:w="1418" w:type="dxa"/>
            <w:shd w:val="clear" w:color="auto" w:fill="auto"/>
            <w:noWrap/>
            <w:vAlign w:val="center"/>
          </w:tcPr>
          <w:p>
            <w:pPr>
              <w:widowControl/>
              <w:ind w:right="42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180.83</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w:t>
            </w:r>
          </w:p>
        </w:tc>
        <w:tc>
          <w:tcPr>
            <w:tcW w:w="313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r>
              <w:rPr>
                <w:rFonts w:ascii="Times New Roman" w:hAnsi="Times New Roman" w:eastAsia="仿宋_GB2312" w:cs="Times New Roman"/>
                <w:kern w:val="0"/>
                <w:szCs w:val="21"/>
              </w:rPr>
              <w:t>　</w:t>
            </w:r>
          </w:p>
        </w:tc>
        <w:tc>
          <w:tcPr>
            <w:tcW w:w="135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921.21</w:t>
            </w:r>
          </w:p>
        </w:tc>
        <w:tc>
          <w:tcPr>
            <w:tcW w:w="1134"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903.41</w:t>
            </w: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17.8</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w:t>
            </w:r>
          </w:p>
        </w:tc>
        <w:tc>
          <w:tcPr>
            <w:tcW w:w="3136"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政府办公厅(室)及相关机构事务</w:t>
            </w:r>
          </w:p>
        </w:tc>
        <w:tc>
          <w:tcPr>
            <w:tcW w:w="1358" w:type="dxa"/>
            <w:shd w:val="clear" w:color="auto" w:fill="auto"/>
            <w:noWrap/>
            <w:vAlign w:val="center"/>
          </w:tcPr>
          <w:p>
            <w:pPr>
              <w:widowControl/>
              <w:ind w:right="31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921.21</w:t>
            </w:r>
          </w:p>
        </w:tc>
        <w:tc>
          <w:tcPr>
            <w:tcW w:w="1134" w:type="dxa"/>
            <w:shd w:val="clear" w:color="auto" w:fill="auto"/>
            <w:noWrap/>
            <w:vAlign w:val="center"/>
          </w:tcPr>
          <w:p>
            <w:pPr>
              <w:widowControl/>
              <w:ind w:right="10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903.41</w:t>
            </w: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17.8</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2010350</w:t>
            </w:r>
          </w:p>
        </w:tc>
        <w:tc>
          <w:tcPr>
            <w:tcW w:w="313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事业运行</w:t>
            </w:r>
          </w:p>
        </w:tc>
        <w:tc>
          <w:tcPr>
            <w:tcW w:w="1358" w:type="dxa"/>
            <w:shd w:val="clear" w:color="auto" w:fill="auto"/>
            <w:noWrap/>
            <w:vAlign w:val="center"/>
          </w:tcPr>
          <w:p>
            <w:pPr>
              <w:widowControl/>
              <w:ind w:right="31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903.41</w:t>
            </w:r>
          </w:p>
        </w:tc>
        <w:tc>
          <w:tcPr>
            <w:tcW w:w="1134" w:type="dxa"/>
            <w:shd w:val="clear" w:color="auto" w:fill="auto"/>
            <w:noWrap/>
            <w:vAlign w:val="center"/>
          </w:tcPr>
          <w:p>
            <w:pPr>
              <w:widowControl/>
              <w:ind w:right="31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903.41</w:t>
            </w: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2010399</w:t>
            </w:r>
          </w:p>
        </w:tc>
        <w:tc>
          <w:tcPr>
            <w:tcW w:w="3136"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其他政府办公厅（室）及相关机构事务支出</w:t>
            </w:r>
          </w:p>
        </w:tc>
        <w:tc>
          <w:tcPr>
            <w:tcW w:w="135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17.8</w:t>
            </w:r>
          </w:p>
        </w:tc>
        <w:tc>
          <w:tcPr>
            <w:tcW w:w="1134" w:type="dxa"/>
            <w:shd w:val="clear" w:color="auto" w:fill="auto"/>
            <w:noWrap/>
            <w:vAlign w:val="center"/>
          </w:tcPr>
          <w:p>
            <w:pPr>
              <w:widowControl/>
              <w:ind w:firstLine="210" w:firstLineChars="10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17.8</w:t>
            </w: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17.8</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w:t>
            </w:r>
          </w:p>
        </w:tc>
        <w:tc>
          <w:tcPr>
            <w:tcW w:w="313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社会保障和就业支出</w:t>
            </w:r>
          </w:p>
        </w:tc>
        <w:tc>
          <w:tcPr>
            <w:tcW w:w="135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113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w:t>
            </w:r>
          </w:p>
        </w:tc>
        <w:tc>
          <w:tcPr>
            <w:tcW w:w="313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行政事业单位退休</w:t>
            </w:r>
          </w:p>
        </w:tc>
        <w:tc>
          <w:tcPr>
            <w:tcW w:w="135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113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2080505</w:t>
            </w:r>
          </w:p>
        </w:tc>
        <w:tc>
          <w:tcPr>
            <w:tcW w:w="313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机构事业单位基本养老保险缴费支出</w:t>
            </w:r>
          </w:p>
        </w:tc>
        <w:tc>
          <w:tcPr>
            <w:tcW w:w="135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1134"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1418" w:type="dxa"/>
            <w:shd w:val="clear" w:color="auto" w:fill="auto"/>
            <w:noWrap/>
            <w:vAlign w:val="center"/>
          </w:tcPr>
          <w:p>
            <w:pPr>
              <w:widowControl/>
              <w:rPr>
                <w:rFonts w:ascii="Times New Roman" w:hAnsi="Times New Roman" w:eastAsia="仿宋_GB2312" w:cs="Times New Roman"/>
                <w:kern w:val="0"/>
                <w:szCs w:val="21"/>
              </w:rPr>
            </w:pP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w:t>
            </w:r>
          </w:p>
        </w:tc>
        <w:tc>
          <w:tcPr>
            <w:tcW w:w="313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医疗卫生与计划生育支出</w:t>
            </w:r>
          </w:p>
        </w:tc>
        <w:tc>
          <w:tcPr>
            <w:tcW w:w="135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1134"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1418" w:type="dxa"/>
            <w:shd w:val="clear" w:color="auto" w:fill="auto"/>
            <w:noWrap/>
            <w:vAlign w:val="center"/>
          </w:tcPr>
          <w:p>
            <w:pPr>
              <w:widowControl/>
              <w:rPr>
                <w:rFonts w:ascii="Times New Roman" w:hAnsi="Times New Roman" w:eastAsia="仿宋_GB2312" w:cs="Times New Roman"/>
                <w:kern w:val="0"/>
                <w:szCs w:val="21"/>
              </w:rPr>
            </w:pP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21011</w:t>
            </w:r>
          </w:p>
        </w:tc>
        <w:tc>
          <w:tcPr>
            <w:tcW w:w="313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行政事业单位医疗</w:t>
            </w:r>
          </w:p>
        </w:tc>
        <w:tc>
          <w:tcPr>
            <w:tcW w:w="135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1134"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1418" w:type="dxa"/>
            <w:shd w:val="clear" w:color="auto" w:fill="auto"/>
            <w:noWrap/>
            <w:vAlign w:val="center"/>
          </w:tcPr>
          <w:p>
            <w:pPr>
              <w:widowControl/>
              <w:rPr>
                <w:rFonts w:ascii="Times New Roman" w:hAnsi="Times New Roman" w:eastAsia="仿宋_GB2312" w:cs="Times New Roman"/>
                <w:kern w:val="0"/>
                <w:szCs w:val="21"/>
              </w:rPr>
            </w:pP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2101102</w:t>
            </w:r>
          </w:p>
        </w:tc>
        <w:tc>
          <w:tcPr>
            <w:tcW w:w="313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事业单位医疗</w:t>
            </w:r>
          </w:p>
        </w:tc>
        <w:tc>
          <w:tcPr>
            <w:tcW w:w="135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1134"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1418" w:type="dxa"/>
            <w:shd w:val="clear" w:color="auto" w:fill="auto"/>
            <w:noWrap/>
            <w:vAlign w:val="center"/>
          </w:tcPr>
          <w:p>
            <w:pPr>
              <w:widowControl/>
              <w:rPr>
                <w:rFonts w:ascii="Times New Roman" w:hAnsi="Times New Roman" w:eastAsia="仿宋_GB2312" w:cs="Times New Roman"/>
                <w:kern w:val="0"/>
                <w:szCs w:val="21"/>
              </w:rPr>
            </w:pP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w:t>
            </w:r>
          </w:p>
        </w:tc>
        <w:tc>
          <w:tcPr>
            <w:tcW w:w="3136"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城乡社区支出</w:t>
            </w:r>
          </w:p>
        </w:tc>
        <w:tc>
          <w:tcPr>
            <w:tcW w:w="135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134" w:type="dxa"/>
            <w:shd w:val="clear" w:color="auto" w:fill="auto"/>
            <w:noWrap/>
            <w:vAlign w:val="center"/>
          </w:tcPr>
          <w:p>
            <w:pPr>
              <w:widowControl/>
              <w:ind w:right="210"/>
              <w:jc w:val="center"/>
              <w:rPr>
                <w:rFonts w:ascii="Times New Roman" w:hAnsi="Times New Roman" w:eastAsia="仿宋_GB2312" w:cs="Times New Roman"/>
                <w:kern w:val="0"/>
                <w:szCs w:val="21"/>
              </w:rPr>
            </w:pPr>
          </w:p>
        </w:tc>
        <w:tc>
          <w:tcPr>
            <w:tcW w:w="141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21205</w:t>
            </w:r>
          </w:p>
        </w:tc>
        <w:tc>
          <w:tcPr>
            <w:tcW w:w="313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城乡社区环境卫生</w:t>
            </w:r>
          </w:p>
        </w:tc>
        <w:tc>
          <w:tcPr>
            <w:tcW w:w="135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134" w:type="dxa"/>
            <w:shd w:val="clear" w:color="auto" w:fill="auto"/>
            <w:noWrap/>
            <w:vAlign w:val="center"/>
          </w:tcPr>
          <w:p>
            <w:pPr>
              <w:widowControl/>
              <w:ind w:right="210"/>
              <w:jc w:val="center"/>
              <w:rPr>
                <w:rFonts w:ascii="Times New Roman" w:hAnsi="Times New Roman" w:eastAsia="仿宋_GB2312" w:cs="Times New Roman"/>
                <w:kern w:val="0"/>
                <w:szCs w:val="21"/>
              </w:rPr>
            </w:pPr>
          </w:p>
        </w:tc>
        <w:tc>
          <w:tcPr>
            <w:tcW w:w="141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2120501</w:t>
            </w:r>
          </w:p>
        </w:tc>
        <w:tc>
          <w:tcPr>
            <w:tcW w:w="313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城乡社区环境卫生</w:t>
            </w:r>
          </w:p>
        </w:tc>
        <w:tc>
          <w:tcPr>
            <w:tcW w:w="135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134" w:type="dxa"/>
            <w:shd w:val="clear" w:color="auto" w:fill="auto"/>
            <w:noWrap/>
            <w:vAlign w:val="center"/>
          </w:tcPr>
          <w:p>
            <w:pPr>
              <w:widowControl/>
              <w:ind w:right="210"/>
              <w:jc w:val="center"/>
              <w:rPr>
                <w:rFonts w:ascii="Times New Roman" w:hAnsi="Times New Roman" w:eastAsia="仿宋_GB2312" w:cs="Times New Roman"/>
                <w:kern w:val="0"/>
                <w:szCs w:val="21"/>
              </w:rPr>
            </w:pPr>
          </w:p>
        </w:tc>
        <w:tc>
          <w:tcPr>
            <w:tcW w:w="141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213</w:t>
            </w:r>
          </w:p>
        </w:tc>
        <w:tc>
          <w:tcPr>
            <w:tcW w:w="313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农林水支出</w:t>
            </w:r>
          </w:p>
        </w:tc>
        <w:tc>
          <w:tcPr>
            <w:tcW w:w="135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c>
          <w:tcPr>
            <w:tcW w:w="1134" w:type="dxa"/>
            <w:shd w:val="clear" w:color="auto" w:fill="auto"/>
            <w:noWrap/>
            <w:vAlign w:val="center"/>
          </w:tcPr>
          <w:p>
            <w:pPr>
              <w:widowControl/>
              <w:ind w:right="210"/>
              <w:jc w:val="center"/>
              <w:rPr>
                <w:rFonts w:ascii="Times New Roman" w:hAnsi="Times New Roman" w:eastAsia="仿宋_GB2312" w:cs="Times New Roman"/>
                <w:kern w:val="0"/>
                <w:szCs w:val="21"/>
              </w:rPr>
            </w:pPr>
          </w:p>
        </w:tc>
        <w:tc>
          <w:tcPr>
            <w:tcW w:w="141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21302</w:t>
            </w:r>
          </w:p>
        </w:tc>
        <w:tc>
          <w:tcPr>
            <w:tcW w:w="313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林业</w:t>
            </w:r>
          </w:p>
        </w:tc>
        <w:tc>
          <w:tcPr>
            <w:tcW w:w="135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c>
          <w:tcPr>
            <w:tcW w:w="1134" w:type="dxa"/>
            <w:shd w:val="clear" w:color="auto" w:fill="auto"/>
            <w:noWrap/>
            <w:vAlign w:val="center"/>
          </w:tcPr>
          <w:p>
            <w:pPr>
              <w:widowControl/>
              <w:ind w:right="210"/>
              <w:jc w:val="center"/>
              <w:rPr>
                <w:rFonts w:ascii="Times New Roman" w:hAnsi="Times New Roman" w:eastAsia="仿宋_GB2312" w:cs="Times New Roman"/>
                <w:kern w:val="0"/>
                <w:szCs w:val="21"/>
              </w:rPr>
            </w:pPr>
          </w:p>
        </w:tc>
        <w:tc>
          <w:tcPr>
            <w:tcW w:w="141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2130207</w:t>
            </w:r>
          </w:p>
        </w:tc>
        <w:tc>
          <w:tcPr>
            <w:tcW w:w="3136"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森林资源管理</w:t>
            </w:r>
          </w:p>
        </w:tc>
        <w:tc>
          <w:tcPr>
            <w:tcW w:w="135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c>
          <w:tcPr>
            <w:tcW w:w="1134" w:type="dxa"/>
            <w:shd w:val="clear" w:color="auto" w:fill="auto"/>
            <w:noWrap/>
            <w:vAlign w:val="center"/>
          </w:tcPr>
          <w:p>
            <w:pPr>
              <w:widowControl/>
              <w:ind w:right="210"/>
              <w:jc w:val="center"/>
              <w:rPr>
                <w:rFonts w:ascii="Times New Roman" w:hAnsi="Times New Roman" w:eastAsia="仿宋_GB2312" w:cs="Times New Roman"/>
                <w:kern w:val="0"/>
                <w:szCs w:val="21"/>
              </w:rPr>
            </w:pPr>
          </w:p>
        </w:tc>
        <w:tc>
          <w:tcPr>
            <w:tcW w:w="141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630" w:firstLineChars="3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注：本表反映部门本年度各项支出情况。</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公开04表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道县市场服务中心</w:t>
      </w:r>
      <w:r>
        <w:rPr>
          <w:rFonts w:ascii="Times New Roman" w:hAnsi="Times New Roman" w:eastAsia="仿宋_GB2312" w:cs="Times New Roman"/>
          <w:color w:val="000000"/>
          <w:kern w:val="0"/>
          <w:sz w:val="20"/>
          <w:szCs w:val="20"/>
        </w:rPr>
        <w:t xml:space="preserve"> </w:t>
      </w:r>
      <w:r>
        <w:rPr>
          <w:rFonts w:ascii="Times New Roman" w:hAnsi="Times New Roman" w:eastAsia="仿宋_GB2312" w:cs="Times New Roman"/>
          <w:color w:val="000000"/>
          <w:kern w:val="0"/>
          <w:szCs w:val="21"/>
        </w:rPr>
        <w:tab/>
      </w:r>
      <w:r>
        <w:rPr>
          <w:rFonts w:ascii="Times New Roman" w:hAnsi="Times New Roman" w:eastAsia="仿宋_GB2312" w:cs="Times New Roman"/>
          <w:color w:val="000000"/>
          <w:kern w:val="0"/>
          <w:szCs w:val="21"/>
        </w:rPr>
        <w:t>单位：万元</w:t>
      </w:r>
    </w:p>
    <w:tbl>
      <w:tblPr>
        <w:tblStyle w:val="5"/>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收入</w:t>
            </w:r>
          </w:p>
        </w:tc>
        <w:tc>
          <w:tcPr>
            <w:tcW w:w="9303" w:type="dxa"/>
            <w:gridSpan w:val="5"/>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金额</w:t>
            </w:r>
          </w:p>
        </w:tc>
        <w:tc>
          <w:tcPr>
            <w:tcW w:w="3761"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3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合计</w:t>
            </w:r>
          </w:p>
        </w:tc>
        <w:tc>
          <w:tcPr>
            <w:tcW w:w="166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一般公共预算财政拨款</w:t>
            </w:r>
          </w:p>
        </w:tc>
        <w:tc>
          <w:tcPr>
            <w:tcW w:w="1572"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1096.01</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30</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921.21</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921.21</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二、政府性基金预算财政拨款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二、外交支出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31</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三、国防支出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32</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四、公共安全支出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33</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五、教育支出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34</w:t>
            </w:r>
          </w:p>
        </w:tc>
        <w:tc>
          <w:tcPr>
            <w:tcW w:w="1880" w:type="dxa"/>
            <w:shd w:val="clear" w:color="auto" w:fill="auto"/>
            <w:noWrap/>
            <w:vAlign w:val="center"/>
          </w:tcPr>
          <w:p>
            <w:pPr>
              <w:widowControl/>
              <w:rPr>
                <w:rFonts w:ascii="Times New Roman" w:hAnsi="Times New Roman" w:eastAsia="仿宋_GB2312" w:cs="Times New Roman"/>
                <w:kern w:val="0"/>
                <w:szCs w:val="21"/>
              </w:rPr>
            </w:pPr>
          </w:p>
        </w:tc>
        <w:tc>
          <w:tcPr>
            <w:tcW w:w="1660" w:type="dxa"/>
            <w:shd w:val="clear" w:color="auto" w:fill="auto"/>
            <w:noWrap/>
            <w:vAlign w:val="center"/>
          </w:tcPr>
          <w:p>
            <w:pPr>
              <w:widowControl/>
              <w:rPr>
                <w:rFonts w:ascii="Times New Roman" w:hAnsi="Times New Roman" w:eastAsia="仿宋_GB2312" w:cs="Times New Roman"/>
                <w:kern w:val="0"/>
                <w:szCs w:val="21"/>
              </w:rPr>
            </w:pP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六、科学技术支出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w:t>
            </w:r>
          </w:p>
        </w:tc>
        <w:tc>
          <w:tcPr>
            <w:tcW w:w="1880" w:type="dxa"/>
            <w:shd w:val="clear" w:color="auto" w:fill="auto"/>
            <w:noWrap/>
            <w:vAlign w:val="center"/>
          </w:tcPr>
          <w:p>
            <w:pPr>
              <w:widowControl/>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七、文化旅游体育与传媒支出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880" w:type="dxa"/>
            <w:shd w:val="clear" w:color="auto" w:fill="auto"/>
            <w:noWrap/>
            <w:vAlign w:val="center"/>
          </w:tcPr>
          <w:p>
            <w:pPr>
              <w:widowControl/>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八、社会保障和就业支出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九、医疗卫生与计划生育支出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十、节能环保支出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39</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十一、城乡社区支出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十二、农林水支出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41</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十三、交通运输支出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42</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十四、资源勘探信息等支出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43</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十五、商业服务业等支出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44</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十六、金融支出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十七、援助其他地区支出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十八、自然资源海洋气象等支出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19</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十九、住房保障支出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二十、粮油物资储备支出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49</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二十一、灾害防治及应急管理支出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二十二、其他支出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51</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23</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52</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本年收入合计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1096.01</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本年支出合计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53</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年初财政拨款结转和结余</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年末财政拨款结转和结余</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54</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w:t>
            </w:r>
            <w:r>
              <w:rPr>
                <w:rFonts w:ascii="Times New Roman" w:hAnsi="Times New Roman" w:eastAsia="仿宋_GB2312" w:cs="Times New Roman"/>
                <w:kern w:val="0"/>
                <w:szCs w:val="21"/>
              </w:rPr>
              <w:t>一般公共预算财政拨款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w:t>
            </w:r>
            <w:r>
              <w:rPr>
                <w:rFonts w:ascii="Times New Roman" w:hAnsi="Times New Roman" w:eastAsia="仿宋_GB2312" w:cs="Times New Roman"/>
                <w:kern w:val="0"/>
                <w:szCs w:val="21"/>
              </w:rPr>
              <w:t>政府性基金预算财政拨款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27</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28</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29</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1096.01</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1096.01</w:t>
            </w: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1096.01</w:t>
            </w: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p>
      <w:pPr>
        <w:widowControl/>
        <w:jc w:val="center"/>
        <w:rPr>
          <w:rFonts w:ascii="Times New Roman" w:hAnsi="Times New Roman" w:eastAsia="方正小标宋_GBK" w:cs="Times New Roman"/>
          <w:kern w:val="0"/>
          <w:sz w:val="36"/>
          <w:szCs w:val="36"/>
        </w:rPr>
      </w:pPr>
      <w:bookmarkStart w:id="0" w:name="RANGE!A1:F16"/>
      <w:r>
        <w:rPr>
          <w:rFonts w:ascii="Times New Roman" w:hAnsi="Times New Roman" w:eastAsia="方正小标宋_GBK" w:cs="Times New Roman"/>
          <w:kern w:val="0"/>
          <w:sz w:val="36"/>
          <w:szCs w:val="36"/>
        </w:rPr>
        <w:t>一般公共预算财政拨款支出决算表</w:t>
      </w:r>
      <w:bookmarkEnd w:id="0"/>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 xml:space="preserve">道县市场服务中心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253"/>
        <w:gridCol w:w="3274"/>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1096.01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915.18</w:t>
            </w:r>
          </w:p>
        </w:tc>
        <w:tc>
          <w:tcPr>
            <w:tcW w:w="3000" w:type="dxa"/>
            <w:tcBorders>
              <w:top w:val="nil"/>
              <w:left w:val="nil"/>
              <w:bottom w:val="single" w:color="auto" w:sz="4" w:space="0"/>
              <w:right w:val="single" w:color="auto" w:sz="8" w:space="0"/>
            </w:tcBorders>
            <w:shd w:val="clear" w:color="auto" w:fill="auto"/>
            <w:vAlign w:val="center"/>
          </w:tcPr>
          <w:p>
            <w:pPr>
              <w:widowControl/>
              <w:ind w:right="42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180.83</w:t>
            </w:r>
          </w:p>
        </w:tc>
      </w:tr>
      <w:tr>
        <w:tblPrEx>
          <w:tblCellMar>
            <w:top w:w="0" w:type="dxa"/>
            <w:left w:w="108" w:type="dxa"/>
            <w:bottom w:w="0" w:type="dxa"/>
            <w:right w:w="108" w:type="dxa"/>
          </w:tblCellMar>
        </w:tblPrEx>
        <w:trPr>
          <w:trHeight w:val="450" w:hRule="atLeast"/>
          <w:jc w:val="center"/>
        </w:trPr>
        <w:tc>
          <w:tcPr>
            <w:tcW w:w="145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w:t>
            </w:r>
          </w:p>
        </w:tc>
        <w:tc>
          <w:tcPr>
            <w:tcW w:w="327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921.21</w:t>
            </w:r>
          </w:p>
        </w:tc>
        <w:tc>
          <w:tcPr>
            <w:tcW w:w="3492" w:type="dxa"/>
            <w:tcBorders>
              <w:top w:val="nil"/>
              <w:left w:val="nil"/>
              <w:bottom w:val="single" w:color="auto" w:sz="4"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903.41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17.8</w:t>
            </w:r>
          </w:p>
        </w:tc>
      </w:tr>
      <w:tr>
        <w:tblPrEx>
          <w:tblCellMar>
            <w:top w:w="0" w:type="dxa"/>
            <w:left w:w="108" w:type="dxa"/>
            <w:bottom w:w="0" w:type="dxa"/>
            <w:right w:w="108" w:type="dxa"/>
          </w:tblCellMar>
        </w:tblPrEx>
        <w:trPr>
          <w:trHeight w:val="450" w:hRule="atLeast"/>
          <w:jc w:val="center"/>
        </w:trPr>
        <w:tc>
          <w:tcPr>
            <w:tcW w:w="145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w:t>
            </w:r>
          </w:p>
        </w:tc>
        <w:tc>
          <w:tcPr>
            <w:tcW w:w="327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政府办公厅(室)及相关机构事务</w:t>
            </w:r>
          </w:p>
        </w:tc>
        <w:tc>
          <w:tcPr>
            <w:tcW w:w="3000" w:type="dxa"/>
            <w:tcBorders>
              <w:top w:val="nil"/>
              <w:left w:val="nil"/>
              <w:bottom w:val="single" w:color="auto" w:sz="4" w:space="0"/>
              <w:right w:val="single" w:color="auto" w:sz="4" w:space="0"/>
            </w:tcBorders>
            <w:shd w:val="clear" w:color="auto" w:fill="auto"/>
            <w:vAlign w:val="center"/>
          </w:tcPr>
          <w:p>
            <w:pPr>
              <w:widowControl/>
              <w:ind w:right="31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921.21</w:t>
            </w:r>
          </w:p>
        </w:tc>
        <w:tc>
          <w:tcPr>
            <w:tcW w:w="3492" w:type="dxa"/>
            <w:tcBorders>
              <w:top w:val="nil"/>
              <w:left w:val="nil"/>
              <w:bottom w:val="single" w:color="auto" w:sz="4" w:space="0"/>
              <w:right w:val="single" w:color="auto" w:sz="4" w:space="0"/>
            </w:tcBorders>
            <w:shd w:val="clear" w:color="auto" w:fill="auto"/>
            <w:vAlign w:val="center"/>
          </w:tcPr>
          <w:p>
            <w:pPr>
              <w:widowControl/>
              <w:ind w:right="10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903.41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17.8</w:t>
            </w:r>
          </w:p>
        </w:tc>
      </w:tr>
      <w:tr>
        <w:tblPrEx>
          <w:tblCellMar>
            <w:top w:w="0" w:type="dxa"/>
            <w:left w:w="108" w:type="dxa"/>
            <w:bottom w:w="0" w:type="dxa"/>
            <w:right w:w="108" w:type="dxa"/>
          </w:tblCellMar>
        </w:tblPrEx>
        <w:trPr>
          <w:trHeight w:val="450" w:hRule="atLeast"/>
          <w:jc w:val="center"/>
        </w:trPr>
        <w:tc>
          <w:tcPr>
            <w:tcW w:w="145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2010350</w:t>
            </w:r>
          </w:p>
        </w:tc>
        <w:tc>
          <w:tcPr>
            <w:tcW w:w="327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事业运行</w:t>
            </w:r>
          </w:p>
        </w:tc>
        <w:tc>
          <w:tcPr>
            <w:tcW w:w="3000" w:type="dxa"/>
            <w:tcBorders>
              <w:top w:val="nil"/>
              <w:left w:val="nil"/>
              <w:bottom w:val="single" w:color="auto" w:sz="4" w:space="0"/>
              <w:right w:val="single" w:color="auto" w:sz="4" w:space="0"/>
            </w:tcBorders>
            <w:shd w:val="clear" w:color="auto" w:fill="auto"/>
            <w:vAlign w:val="center"/>
          </w:tcPr>
          <w:p>
            <w:pPr>
              <w:widowControl/>
              <w:ind w:right="31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903.41</w:t>
            </w:r>
          </w:p>
        </w:tc>
        <w:tc>
          <w:tcPr>
            <w:tcW w:w="3492" w:type="dxa"/>
            <w:tcBorders>
              <w:top w:val="nil"/>
              <w:left w:val="nil"/>
              <w:bottom w:val="single" w:color="auto" w:sz="4" w:space="0"/>
              <w:right w:val="single" w:color="auto" w:sz="4" w:space="0"/>
            </w:tcBorders>
            <w:shd w:val="clear" w:color="auto" w:fill="auto"/>
            <w:vAlign w:val="center"/>
          </w:tcPr>
          <w:p>
            <w:pPr>
              <w:widowControl/>
              <w:ind w:right="31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903.41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5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2010399</w:t>
            </w:r>
          </w:p>
        </w:tc>
        <w:tc>
          <w:tcPr>
            <w:tcW w:w="327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其他政府办公厅（室）及相关机构事务支出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17.8</w:t>
            </w:r>
          </w:p>
        </w:tc>
        <w:tc>
          <w:tcPr>
            <w:tcW w:w="3492" w:type="dxa"/>
            <w:tcBorders>
              <w:top w:val="nil"/>
              <w:left w:val="nil"/>
              <w:bottom w:val="single" w:color="auto" w:sz="4" w:space="0"/>
              <w:right w:val="single" w:color="auto" w:sz="4" w:space="0"/>
            </w:tcBorders>
            <w:shd w:val="clear" w:color="auto" w:fill="auto"/>
            <w:vAlign w:val="center"/>
          </w:tcPr>
          <w:p>
            <w:pPr>
              <w:widowControl/>
              <w:ind w:firstLine="210" w:firstLineChars="100"/>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17.8</w:t>
            </w:r>
          </w:p>
        </w:tc>
      </w:tr>
      <w:tr>
        <w:tblPrEx>
          <w:tblCellMar>
            <w:top w:w="0" w:type="dxa"/>
            <w:left w:w="108" w:type="dxa"/>
            <w:bottom w:w="0" w:type="dxa"/>
            <w:right w:w="108" w:type="dxa"/>
          </w:tblCellMar>
        </w:tblPrEx>
        <w:trPr>
          <w:trHeight w:val="450" w:hRule="atLeast"/>
          <w:jc w:val="center"/>
        </w:trPr>
        <w:tc>
          <w:tcPr>
            <w:tcW w:w="145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w:t>
            </w:r>
          </w:p>
        </w:tc>
        <w:tc>
          <w:tcPr>
            <w:tcW w:w="327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5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w:t>
            </w:r>
          </w:p>
        </w:tc>
        <w:tc>
          <w:tcPr>
            <w:tcW w:w="327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行政事业单位退休</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5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2080505</w:t>
            </w:r>
          </w:p>
        </w:tc>
        <w:tc>
          <w:tcPr>
            <w:tcW w:w="327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机构事业单位基本养老保险缴费支出</w:t>
            </w:r>
          </w:p>
        </w:tc>
        <w:tc>
          <w:tcPr>
            <w:tcW w:w="3000" w:type="dxa"/>
            <w:tcBorders>
              <w:top w:val="nil"/>
              <w:left w:val="nil"/>
              <w:bottom w:val="single" w:color="auto" w:sz="4"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3492" w:type="dxa"/>
            <w:tcBorders>
              <w:top w:val="nil"/>
              <w:left w:val="nil"/>
              <w:bottom w:val="single" w:color="auto" w:sz="4"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w:t>
            </w:r>
          </w:p>
        </w:tc>
        <w:tc>
          <w:tcPr>
            <w:tcW w:w="3000" w:type="dxa"/>
            <w:tcBorders>
              <w:top w:val="nil"/>
              <w:left w:val="nil"/>
              <w:bottom w:val="single" w:color="auto" w:sz="4" w:space="0"/>
              <w:right w:val="single" w:color="auto" w:sz="8" w:space="0"/>
            </w:tcBorders>
            <w:shd w:val="clear" w:color="auto" w:fill="auto"/>
            <w:vAlign w:val="center"/>
          </w:tcPr>
          <w:p>
            <w:pPr>
              <w:widowControl/>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5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w:t>
            </w:r>
          </w:p>
        </w:tc>
        <w:tc>
          <w:tcPr>
            <w:tcW w:w="327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医疗卫生与计划生育支出</w:t>
            </w:r>
          </w:p>
        </w:tc>
        <w:tc>
          <w:tcPr>
            <w:tcW w:w="3000" w:type="dxa"/>
            <w:tcBorders>
              <w:top w:val="nil"/>
              <w:left w:val="nil"/>
              <w:bottom w:val="single" w:color="auto" w:sz="4"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3492" w:type="dxa"/>
            <w:tcBorders>
              <w:top w:val="nil"/>
              <w:left w:val="nil"/>
              <w:bottom w:val="single" w:color="auto" w:sz="4"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3000" w:type="dxa"/>
            <w:tcBorders>
              <w:top w:val="nil"/>
              <w:left w:val="nil"/>
              <w:bottom w:val="single" w:color="auto" w:sz="4" w:space="0"/>
              <w:right w:val="single" w:color="auto" w:sz="8" w:space="0"/>
            </w:tcBorders>
            <w:shd w:val="clear" w:color="auto" w:fill="auto"/>
            <w:vAlign w:val="center"/>
          </w:tcPr>
          <w:p>
            <w:pPr>
              <w:widowControl/>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5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21011</w:t>
            </w:r>
          </w:p>
        </w:tc>
        <w:tc>
          <w:tcPr>
            <w:tcW w:w="327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行政事业单位医疗</w:t>
            </w:r>
          </w:p>
        </w:tc>
        <w:tc>
          <w:tcPr>
            <w:tcW w:w="3000" w:type="dxa"/>
            <w:tcBorders>
              <w:top w:val="nil"/>
              <w:left w:val="nil"/>
              <w:bottom w:val="single" w:color="auto" w:sz="4"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3492" w:type="dxa"/>
            <w:tcBorders>
              <w:top w:val="nil"/>
              <w:left w:val="nil"/>
              <w:bottom w:val="single" w:color="auto" w:sz="4"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3000" w:type="dxa"/>
            <w:tcBorders>
              <w:top w:val="nil"/>
              <w:left w:val="nil"/>
              <w:bottom w:val="single" w:color="auto" w:sz="4" w:space="0"/>
              <w:right w:val="single" w:color="auto" w:sz="8" w:space="0"/>
            </w:tcBorders>
            <w:shd w:val="clear" w:color="auto" w:fill="auto"/>
            <w:vAlign w:val="center"/>
          </w:tcPr>
          <w:p>
            <w:pPr>
              <w:widowControl/>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5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2101102</w:t>
            </w:r>
          </w:p>
        </w:tc>
        <w:tc>
          <w:tcPr>
            <w:tcW w:w="327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事业单位医疗</w:t>
            </w:r>
          </w:p>
        </w:tc>
        <w:tc>
          <w:tcPr>
            <w:tcW w:w="3000" w:type="dxa"/>
            <w:tcBorders>
              <w:top w:val="nil"/>
              <w:left w:val="nil"/>
              <w:bottom w:val="single" w:color="auto" w:sz="4"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3492" w:type="dxa"/>
            <w:tcBorders>
              <w:top w:val="nil"/>
              <w:left w:val="nil"/>
              <w:bottom w:val="single" w:color="auto" w:sz="4"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2.67</w:t>
            </w:r>
          </w:p>
        </w:tc>
        <w:tc>
          <w:tcPr>
            <w:tcW w:w="3000" w:type="dxa"/>
            <w:tcBorders>
              <w:top w:val="nil"/>
              <w:left w:val="nil"/>
              <w:bottom w:val="single" w:color="auto" w:sz="4" w:space="0"/>
              <w:right w:val="single" w:color="auto" w:sz="8" w:space="0"/>
            </w:tcBorders>
            <w:shd w:val="clear" w:color="auto" w:fill="auto"/>
            <w:vAlign w:val="center"/>
          </w:tcPr>
          <w:p>
            <w:pPr>
              <w:widowControl/>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53"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w:t>
            </w:r>
          </w:p>
        </w:tc>
        <w:tc>
          <w:tcPr>
            <w:tcW w:w="3274"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城乡社区支出</w:t>
            </w:r>
          </w:p>
        </w:tc>
        <w:tc>
          <w:tcPr>
            <w:tcW w:w="3000" w:type="dxa"/>
            <w:tcBorders>
              <w:top w:val="nil"/>
              <w:left w:val="nil"/>
              <w:bottom w:val="single" w:color="auto" w:sz="8"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3492" w:type="dxa"/>
            <w:tcBorders>
              <w:top w:val="nil"/>
              <w:left w:val="nil"/>
              <w:bottom w:val="single" w:color="auto" w:sz="8"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r>
      <w:tr>
        <w:tblPrEx>
          <w:tblCellMar>
            <w:top w:w="0" w:type="dxa"/>
            <w:left w:w="108" w:type="dxa"/>
            <w:bottom w:w="0" w:type="dxa"/>
            <w:right w:w="108" w:type="dxa"/>
          </w:tblCellMar>
        </w:tblPrEx>
        <w:trPr>
          <w:trHeight w:val="450" w:hRule="atLeast"/>
          <w:jc w:val="center"/>
        </w:trPr>
        <w:tc>
          <w:tcPr>
            <w:tcW w:w="1453"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21205</w:t>
            </w:r>
          </w:p>
        </w:tc>
        <w:tc>
          <w:tcPr>
            <w:tcW w:w="3274"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城乡社区环境卫生</w:t>
            </w:r>
          </w:p>
        </w:tc>
        <w:tc>
          <w:tcPr>
            <w:tcW w:w="3000" w:type="dxa"/>
            <w:tcBorders>
              <w:top w:val="nil"/>
              <w:left w:val="nil"/>
              <w:bottom w:val="single" w:color="auto" w:sz="8"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3492" w:type="dxa"/>
            <w:tcBorders>
              <w:top w:val="nil"/>
              <w:left w:val="nil"/>
              <w:bottom w:val="single" w:color="auto" w:sz="8"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r>
      <w:tr>
        <w:tblPrEx>
          <w:tblCellMar>
            <w:top w:w="0" w:type="dxa"/>
            <w:left w:w="108" w:type="dxa"/>
            <w:bottom w:w="0" w:type="dxa"/>
            <w:right w:w="108" w:type="dxa"/>
          </w:tblCellMar>
        </w:tblPrEx>
        <w:trPr>
          <w:trHeight w:val="450" w:hRule="atLeast"/>
          <w:jc w:val="center"/>
        </w:trPr>
        <w:tc>
          <w:tcPr>
            <w:tcW w:w="1453"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2120501</w:t>
            </w:r>
          </w:p>
        </w:tc>
        <w:tc>
          <w:tcPr>
            <w:tcW w:w="3274"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城乡社区环境卫生</w:t>
            </w:r>
          </w:p>
        </w:tc>
        <w:tc>
          <w:tcPr>
            <w:tcW w:w="3000" w:type="dxa"/>
            <w:tcBorders>
              <w:top w:val="nil"/>
              <w:left w:val="nil"/>
              <w:bottom w:val="single" w:color="auto" w:sz="8"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3492" w:type="dxa"/>
            <w:tcBorders>
              <w:top w:val="nil"/>
              <w:left w:val="nil"/>
              <w:bottom w:val="single" w:color="auto" w:sz="8"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r>
      <w:tr>
        <w:tblPrEx>
          <w:tblCellMar>
            <w:top w:w="0" w:type="dxa"/>
            <w:left w:w="108" w:type="dxa"/>
            <w:bottom w:w="0" w:type="dxa"/>
            <w:right w:w="108" w:type="dxa"/>
          </w:tblCellMar>
        </w:tblPrEx>
        <w:trPr>
          <w:trHeight w:val="450" w:hRule="atLeast"/>
          <w:jc w:val="center"/>
        </w:trPr>
        <w:tc>
          <w:tcPr>
            <w:tcW w:w="1453"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213</w:t>
            </w:r>
          </w:p>
        </w:tc>
        <w:tc>
          <w:tcPr>
            <w:tcW w:w="3274"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农林水支出</w:t>
            </w:r>
          </w:p>
        </w:tc>
        <w:tc>
          <w:tcPr>
            <w:tcW w:w="3000" w:type="dxa"/>
            <w:tcBorders>
              <w:top w:val="nil"/>
              <w:left w:val="nil"/>
              <w:bottom w:val="single" w:color="auto" w:sz="8"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c>
          <w:tcPr>
            <w:tcW w:w="3492" w:type="dxa"/>
            <w:tcBorders>
              <w:top w:val="nil"/>
              <w:left w:val="nil"/>
              <w:bottom w:val="single" w:color="auto" w:sz="8"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r>
      <w:tr>
        <w:tblPrEx>
          <w:tblCellMar>
            <w:top w:w="0" w:type="dxa"/>
            <w:left w:w="108" w:type="dxa"/>
            <w:bottom w:w="0" w:type="dxa"/>
            <w:right w:w="108" w:type="dxa"/>
          </w:tblCellMar>
        </w:tblPrEx>
        <w:trPr>
          <w:trHeight w:val="450" w:hRule="atLeast"/>
          <w:jc w:val="center"/>
        </w:trPr>
        <w:tc>
          <w:tcPr>
            <w:tcW w:w="1453"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21302</w:t>
            </w:r>
          </w:p>
        </w:tc>
        <w:tc>
          <w:tcPr>
            <w:tcW w:w="3274"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林业</w:t>
            </w:r>
          </w:p>
        </w:tc>
        <w:tc>
          <w:tcPr>
            <w:tcW w:w="3000" w:type="dxa"/>
            <w:tcBorders>
              <w:top w:val="nil"/>
              <w:left w:val="nil"/>
              <w:bottom w:val="single" w:color="auto" w:sz="8"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c>
          <w:tcPr>
            <w:tcW w:w="3492" w:type="dxa"/>
            <w:tcBorders>
              <w:top w:val="nil"/>
              <w:left w:val="nil"/>
              <w:bottom w:val="single" w:color="auto" w:sz="8"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r>
      <w:tr>
        <w:tblPrEx>
          <w:tblCellMar>
            <w:top w:w="0" w:type="dxa"/>
            <w:left w:w="108" w:type="dxa"/>
            <w:bottom w:w="0" w:type="dxa"/>
            <w:right w:w="108" w:type="dxa"/>
          </w:tblCellMar>
        </w:tblPrEx>
        <w:trPr>
          <w:trHeight w:val="450" w:hRule="atLeast"/>
          <w:jc w:val="center"/>
        </w:trPr>
        <w:tc>
          <w:tcPr>
            <w:tcW w:w="1453"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2130207</w:t>
            </w:r>
          </w:p>
        </w:tc>
        <w:tc>
          <w:tcPr>
            <w:tcW w:w="3274"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森林资源管理</w:t>
            </w:r>
          </w:p>
        </w:tc>
        <w:tc>
          <w:tcPr>
            <w:tcW w:w="3000" w:type="dxa"/>
            <w:tcBorders>
              <w:top w:val="nil"/>
              <w:left w:val="nil"/>
              <w:bottom w:val="single" w:color="auto" w:sz="8"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c>
          <w:tcPr>
            <w:tcW w:w="3492" w:type="dxa"/>
            <w:tcBorders>
              <w:top w:val="nil"/>
              <w:left w:val="nil"/>
              <w:bottom w:val="single" w:color="auto" w:sz="8"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159.43</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center"/>
        <w:rPr>
          <w:rFonts w:ascii="Times New Roman" w:hAnsi="Times New Roman" w:eastAsia="方正小标宋_GBK" w:cs="Times New Roman"/>
          <w:color w:val="000000"/>
          <w:kern w:val="0"/>
          <w:sz w:val="28"/>
          <w:szCs w:val="36"/>
        </w:rPr>
      </w:pPr>
      <w:bookmarkStart w:id="1" w:name="RANGE!A1:I39"/>
      <w:r>
        <w:rPr>
          <w:rFonts w:ascii="Times New Roman" w:hAnsi="Times New Roman" w:eastAsia="方正小标宋_GBK" w:cs="Times New Roman"/>
          <w:color w:val="000000"/>
          <w:kern w:val="0"/>
          <w:sz w:val="28"/>
          <w:szCs w:val="36"/>
        </w:rPr>
        <w:t>一般公共预算财政拨款基本支出决算表</w:t>
      </w:r>
      <w:bookmarkEnd w:id="1"/>
    </w:p>
    <w:p>
      <w:pPr>
        <w:widowControl/>
        <w:ind w:firstLine="105" w:firstLineChars="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道县市场服务中心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p>
    <w:p>
      <w:pPr>
        <w:widowControl/>
        <w:ind w:firstLine="14280" w:firstLineChars="68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公开06表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5900" w:type="dxa"/>
        <w:tblInd w:w="93" w:type="dxa"/>
        <w:tblLayout w:type="fixed"/>
        <w:tblCellMar>
          <w:top w:w="0" w:type="dxa"/>
          <w:left w:w="108" w:type="dxa"/>
          <w:bottom w:w="0" w:type="dxa"/>
          <w:right w:w="108" w:type="dxa"/>
        </w:tblCellMar>
      </w:tblPr>
      <w:tblGrid>
        <w:gridCol w:w="1149"/>
        <w:gridCol w:w="3306"/>
        <w:gridCol w:w="856"/>
        <w:gridCol w:w="1110"/>
        <w:gridCol w:w="2297"/>
        <w:gridCol w:w="856"/>
        <w:gridCol w:w="1076"/>
        <w:gridCol w:w="4394"/>
        <w:gridCol w:w="856"/>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43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637.65</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276.62</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基本工资</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216.4</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19.86</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国内债务付息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津贴补贴</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193.3</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印刷费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国外债务付息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奖金</w:t>
            </w:r>
          </w:p>
        </w:tc>
        <w:tc>
          <w:tcPr>
            <w:tcW w:w="856" w:type="dxa"/>
            <w:tcBorders>
              <w:top w:val="nil"/>
              <w:left w:val="nil"/>
              <w:bottom w:val="single" w:color="auto" w:sz="8" w:space="0"/>
              <w:right w:val="single" w:color="auto" w:sz="8" w:space="0"/>
            </w:tcBorders>
            <w:shd w:val="clear" w:color="auto" w:fill="auto"/>
            <w:noWrap/>
          </w:tcPr>
          <w:p>
            <w:pPr>
              <w:widowControl/>
              <w:ind w:firstLine="180" w:firstLineChars="10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36.91</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咨询费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伙食补助费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手续费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房屋建筑物购建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绩效工资</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水费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14.01</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机关事业单位基本养老保险费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71.94</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电费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19.25</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职业年金缴费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color w:val="000000"/>
                <w:kern w:val="0"/>
                <w:sz w:val="18"/>
                <w:szCs w:val="18"/>
              </w:rPr>
              <w:t>21.78</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邮电费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0.83</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31005</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基础设施建设</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职工基本医疗保险缴费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26.78</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取暖费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大型修缮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公务员医疗补助缴费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30209</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物业管理费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81.72</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信息网络及软件购置更新</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其他社会保障缴费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差旅费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3.48</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31008</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物资储备</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住房公积金</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65.44</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因公出国（境）费用</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土地补偿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维修（护）费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35.85</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31010</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安置补助</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30199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其他工资福利支出</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5.1</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租赁费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地上附着物和青苗补偿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0.91</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会议费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拆迁补偿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离休费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培训费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公务用车购置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退休费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公务接待费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4.35</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其他交通工具购置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退职（役）费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专用材料费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文物和陈列品购置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抚恤金</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0.91</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被装购置费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无形资产购置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30305</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生活补助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专用燃料费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31099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救济费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劳务费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42.67</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委托业务费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赠与</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60"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助学金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工会经费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11.63</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国家赔偿费用支出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奖励金</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13.65</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39908</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个人农业生产补贴</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Times New Roman" w:hAnsi="Times New Roman" w:eastAsia="宋体" w:cs="Times New Roman"/>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30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对其他个人和家庭的补助支出</w:t>
            </w:r>
          </w:p>
        </w:tc>
        <w:tc>
          <w:tcPr>
            <w:tcW w:w="85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shd w:val="clear" w:color="auto" w:fill="auto"/>
            <w:noWrap/>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6.08</w:t>
            </w:r>
          </w:p>
        </w:tc>
        <w:tc>
          <w:tcPr>
            <w:tcW w:w="107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single" w:color="auto" w:sz="8" w:space="0"/>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22.24</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default" w:ascii="Times New Roman" w:hAnsi="Times New Roman" w:eastAsia="宋体" w:cs="Times New Roman"/>
                <w:color w:val="000000"/>
                <w:kern w:val="0"/>
                <w:sz w:val="18"/>
                <w:szCs w:val="18"/>
                <w:lang w:val="en-US" w:eastAsia="zh-CN"/>
              </w:rPr>
            </w:pPr>
            <w:r>
              <w:rPr>
                <w:rFonts w:hint="eastAsia" w:ascii="Times New Roman" w:hAnsi="Times New Roman" w:eastAsia="宋体" w:cs="Times New Roman"/>
                <w:color w:val="000000"/>
                <w:kern w:val="0"/>
                <w:sz w:val="18"/>
                <w:szCs w:val="18"/>
                <w:lang w:val="en-US" w:eastAsia="zh-CN"/>
              </w:rPr>
              <w:t>638.56</w:t>
            </w:r>
          </w:p>
        </w:tc>
        <w:tc>
          <w:tcPr>
            <w:tcW w:w="9733" w:type="dxa"/>
            <w:gridSpan w:val="5"/>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856" w:type="dxa"/>
            <w:tcBorders>
              <w:top w:val="nil"/>
              <w:left w:val="nil"/>
              <w:bottom w:val="single" w:color="auto" w:sz="8" w:space="0"/>
              <w:right w:val="single" w:color="auto" w:sz="8" w:space="0"/>
            </w:tcBorders>
            <w:shd w:val="clear" w:color="auto" w:fill="auto"/>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276.62</w:t>
            </w:r>
          </w:p>
        </w:tc>
      </w:tr>
    </w:tbl>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bookmarkStart w:id="2" w:name="_GoBack"/>
      <w:bookmarkEnd w:id="2"/>
      <w:r>
        <w:rPr>
          <w:rFonts w:ascii="黑体" w:hAnsi="黑体" w:eastAsia="黑体"/>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24.2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lang w:val="en-US" w:eastAsia="zh-CN"/>
              </w:rPr>
              <w:t xml:space="preserve"> 0</w:t>
            </w:r>
            <w:r>
              <w:rPr>
                <w:rFonts w:hint="eastAsia" w:ascii="Times New Roman" w:hAnsi="Times New Roman" w:eastAsia="仿宋_GB2312" w:cs="Times New Roman"/>
                <w:kern w:val="0"/>
                <w:szCs w:val="21"/>
              </w:rPr>
              <w:t xml:space="preserve">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24.2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4.35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w:t>
            </w:r>
            <w:r>
              <w:rPr>
                <w:rFonts w:hint="eastAsia" w:ascii="Times New Roman" w:hAnsi="Times New Roman" w:eastAsia="仿宋_GB2312" w:cs="Times New Roman"/>
                <w:kern w:val="0"/>
                <w:szCs w:val="21"/>
              </w:rPr>
              <w:t>4.35</w:t>
            </w:r>
          </w:p>
        </w:tc>
      </w:tr>
    </w:tbl>
    <w:p>
      <w:pPr>
        <w:autoSpaceDE w:val="0"/>
        <w:autoSpaceDN w:val="0"/>
        <w:adjustRightInd w:val="0"/>
        <w:ind w:left="315" w:leftChars="15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w:t>
      </w:r>
      <w:r>
        <w:rPr>
          <w:rFonts w:hint="eastAsia" w:ascii="Times New Roman" w:hAnsi="Times New Roman" w:eastAsia="仿宋_GB2312" w:cs="Times New Roman"/>
          <w:kern w:val="0"/>
          <w:szCs w:val="21"/>
        </w:rPr>
        <w:t>道县市场服务中心没有政府性基金收入，也没有使用政府性基金安排的支出，故本表无数据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sz w:val="72"/>
          <w:szCs w:val="72"/>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pStyle w:val="10"/>
        <w:rPr>
          <w:sz w:val="72"/>
          <w:szCs w:val="72"/>
        </w:rPr>
      </w:pPr>
    </w:p>
    <w:p>
      <w:pPr>
        <w:pStyle w:val="10"/>
        <w:rPr>
          <w:sz w:val="32"/>
          <w:szCs w:val="32"/>
        </w:rPr>
      </w:pPr>
    </w:p>
    <w:p>
      <w:pPr>
        <w:pStyle w:val="10"/>
        <w:jc w:val="center"/>
        <w:rPr>
          <w:sz w:val="32"/>
          <w:szCs w:val="32"/>
        </w:rPr>
      </w:pPr>
      <w:r>
        <w:rPr>
          <w:rFonts w:hint="eastAsia"/>
          <w:sz w:val="32"/>
          <w:szCs w:val="32"/>
        </w:rPr>
        <w:t>第三部分</w:t>
      </w:r>
    </w:p>
    <w:p>
      <w:pPr>
        <w:pStyle w:val="10"/>
        <w:jc w:val="center"/>
        <w:rPr>
          <w:sz w:val="32"/>
          <w:szCs w:val="32"/>
        </w:rPr>
      </w:pPr>
    </w:p>
    <w:p>
      <w:pPr>
        <w:pStyle w:val="10"/>
        <w:jc w:val="center"/>
        <w:rPr>
          <w:sz w:val="32"/>
          <w:szCs w:val="32"/>
        </w:rPr>
      </w:pPr>
      <w:r>
        <w:rPr>
          <w:sz w:val="32"/>
          <w:szCs w:val="32"/>
        </w:rPr>
        <w:t>201</w:t>
      </w:r>
      <w:r>
        <w:rPr>
          <w:rFonts w:hint="eastAsia"/>
          <w:sz w:val="32"/>
          <w:szCs w:val="32"/>
        </w:rPr>
        <w:t>8年度部门决算情况说明</w:t>
      </w:r>
    </w:p>
    <w:p>
      <w:pPr>
        <w:widowControl/>
        <w:jc w:val="left"/>
        <w:rPr>
          <w:rFonts w:ascii="黑体" w:eastAsia="黑体" w:cs="黑体"/>
          <w:color w:val="000000"/>
          <w:kern w:val="0"/>
          <w:sz w:val="70"/>
          <w:szCs w:val="70"/>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2018 年度收、支总计1096.01万元。与2017年收支994.82万元相比，增加了101.19万元,增加10.17%，主要是因为人员经费比上年减少了64.94万元，日常公用经费比上年增加了165.76万元,项目支出比上年增加了0.37万元。</w:t>
      </w:r>
    </w:p>
    <w:p>
      <w:pPr>
        <w:pStyle w:val="10"/>
        <w:rPr>
          <w:rFonts w:hAnsi="黑体"/>
          <w:b/>
          <w:sz w:val="32"/>
          <w:szCs w:val="32"/>
        </w:rPr>
      </w:pPr>
      <w:r>
        <w:rPr>
          <w:rFonts w:hint="eastAsia" w:hAnsi="黑体"/>
          <w:b/>
          <w:sz w:val="32"/>
          <w:szCs w:val="32"/>
        </w:rPr>
        <w:t>二、收入决算情况说明</w:t>
      </w:r>
    </w:p>
    <w:p>
      <w:pPr>
        <w:pStyle w:val="10"/>
        <w:spacing w:line="600" w:lineRule="exact"/>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本年收入合计1096.01万元，其中：财政拨款收入1040.88万元，占100%；</w:t>
      </w:r>
      <w:r>
        <w:rPr>
          <w:rFonts w:ascii="Times New Roman" w:hAnsi="Times New Roman" w:eastAsia="仿宋_GB2312" w:cs="Times New Roman"/>
          <w:color w:val="auto"/>
          <w:sz w:val="32"/>
          <w:szCs w:val="32"/>
        </w:rPr>
        <w:t>上</w:t>
      </w:r>
      <w:r>
        <w:rPr>
          <w:rFonts w:hint="eastAsia" w:asciiTheme="minorEastAsia" w:hAnsiTheme="minorEastAsia" w:eastAsiaTheme="minorEastAsia" w:cstheme="minorEastAsia"/>
          <w:color w:val="auto"/>
          <w:sz w:val="32"/>
          <w:szCs w:val="32"/>
        </w:rPr>
        <w:t>级补助收入0万元，占0%；事业收入0万元，占0%；经营收入0万元，占0%；附属单位上缴收入0万元，占0%；其他收入0万元，占0%</w:t>
      </w:r>
      <w:r>
        <w:rPr>
          <w:rFonts w:ascii="Times New Roman" w:hAnsi="Times New Roman" w:eastAsia="仿宋_GB2312" w:cs="Times New Roman"/>
          <w:color w:val="auto"/>
          <w:sz w:val="32"/>
          <w:szCs w:val="32"/>
        </w:rPr>
        <w:t>。</w:t>
      </w:r>
    </w:p>
    <w:p>
      <w:pPr>
        <w:pStyle w:val="10"/>
        <w:rPr>
          <w:rFonts w:hAnsi="黑体"/>
          <w:b/>
          <w:color w:val="auto"/>
          <w:sz w:val="32"/>
          <w:szCs w:val="32"/>
        </w:rPr>
      </w:pPr>
      <w:r>
        <w:rPr>
          <w:rFonts w:hint="eastAsia" w:hAnsi="黑体"/>
          <w:b/>
          <w:color w:val="auto"/>
          <w:sz w:val="32"/>
          <w:szCs w:val="32"/>
        </w:rPr>
        <w:t>三、支出决算情况说明</w:t>
      </w:r>
    </w:p>
    <w:p>
      <w:pPr>
        <w:pStyle w:val="10"/>
        <w:spacing w:line="600" w:lineRule="exact"/>
        <w:ind w:firstLine="640" w:firstLineChars="200"/>
        <w:rPr>
          <w:rFonts w:asciiTheme="minorEastAsia" w:hAnsiTheme="minorEastAsia" w:eastAsiaTheme="minorEastAsia" w:cstheme="minorEastAsia"/>
          <w:color w:val="auto"/>
          <w:sz w:val="32"/>
          <w:szCs w:val="32"/>
        </w:rPr>
      </w:pPr>
      <w:r>
        <w:rPr>
          <w:rFonts w:hint="eastAsia" w:asciiTheme="minorEastAsia" w:hAnsiTheme="minorEastAsia" w:eastAsiaTheme="minorEastAsia"/>
          <w:color w:val="auto"/>
          <w:sz w:val="32"/>
          <w:szCs w:val="32"/>
        </w:rPr>
        <w:t>本年支出合计1096.01万元，其中：基本支出915.18万元，占83.5%；项目支出180.83万元，占16.5%；</w:t>
      </w:r>
      <w:r>
        <w:rPr>
          <w:rFonts w:hint="eastAsia" w:asciiTheme="minorEastAsia" w:hAnsiTheme="minorEastAsia" w:eastAsiaTheme="minorEastAsia" w:cstheme="minorEastAsia"/>
          <w:color w:val="auto"/>
          <w:sz w:val="32"/>
          <w:szCs w:val="32"/>
        </w:rPr>
        <w:t>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olor w:val="auto"/>
          <w:sz w:val="32"/>
          <w:szCs w:val="32"/>
        </w:rPr>
        <w:t>2018年度财政拨款收、支总计1096.01万元，与2017年相比增加了101.19万元,增加了10.17%，主要是因为人员经费比上年减少了64.94万元,日常公用经费比上年增加了了165.76万元,项目支出比上年增加了0.37万元。</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2018年度财政拨款支出1096.01万元，占本年支出合计的100%，与2017年相比，财政拨款支出增加了101.19万元，增加了10.17%，主要是因为人员经费比上年减少64.94万元,日常公用经费增加了165.76万元,项目支出比上年增加了0.37万元。</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2018年度财政拨款支出1096.01万元，主要用于以下方面：一般公共服务支出921.21万元，占84.05%；社会保障和就业支出9.1万元，占0.83%；医疗卫生与计划生育支出2.67万元，占0.24%；城乡社区支出3.6万元,占0.33%；农林水支出159.43万元,占14.55%。</w:t>
      </w:r>
    </w:p>
    <w:p>
      <w:pPr>
        <w:pStyle w:val="10"/>
        <w:ind w:firstLine="800" w:firstLineChars="25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（三）财政拨款支出决算具体情况</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2018年度财政拨款支出年初预算数为1090万元，支出决算数为1096.01万元，完成年初预算的100.55%，其中：</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1、一般公共服务支出（类）政府办公厅(室)及相关机构事务（款）事业运行（项）。</w:t>
      </w:r>
    </w:p>
    <w:p>
      <w:pPr>
        <w:pStyle w:val="10"/>
        <w:ind w:firstLine="800" w:firstLineChars="250"/>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年初预算为960万元，支出决算为903.41万元，完成年初预算的94.1%，决算数小于年初预算数的主要原因是：压缩资金，结余开支。</w:t>
      </w:r>
    </w:p>
    <w:p>
      <w:pPr>
        <w:pStyle w:val="10"/>
        <w:ind w:firstLine="800" w:firstLineChars="250"/>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2、一般公共服务支出（类）</w:t>
      </w:r>
      <w:r>
        <w:rPr>
          <w:rFonts w:hint="eastAsia" w:asciiTheme="minorEastAsia" w:hAnsiTheme="minorEastAsia" w:eastAsiaTheme="minorEastAsia"/>
          <w:color w:val="auto"/>
          <w:sz w:val="32"/>
          <w:szCs w:val="32"/>
        </w:rPr>
        <w:t>政府办公厅(室)及相关机构事务（款）</w:t>
      </w:r>
      <w:r>
        <w:rPr>
          <w:rFonts w:hint="eastAsia" w:asciiTheme="minorEastAsia" w:hAnsiTheme="minorEastAsia" w:eastAsiaTheme="minorEastAsia" w:cstheme="minorEastAsia"/>
          <w:color w:val="auto"/>
          <w:sz w:val="32"/>
          <w:szCs w:val="32"/>
        </w:rPr>
        <w:t>其他政府办公厅（室）及相关机构事务支出（项）。</w:t>
      </w:r>
    </w:p>
    <w:p>
      <w:pPr>
        <w:pStyle w:val="10"/>
        <w:ind w:firstLine="800" w:firstLineChars="250"/>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年初预算为15万元，支出决算为17.8万元，完成年初预算的118.67%，决算数大于年初预算数的主要原因是：新建家禽市场</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3、社会保障和就业支出（类）行政事业单位退休（款）机构事业单位基本养老保险缴费（项）。</w:t>
      </w:r>
    </w:p>
    <w:p>
      <w:pPr>
        <w:pStyle w:val="10"/>
        <w:ind w:firstLine="800" w:firstLineChars="250"/>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年初预算为10万元，支出决算为9.1万元，完成年初预算的91%，决算数小于年初预算数的主要原因是：压缩资金，结余开支。</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C00000"/>
          <w:sz w:val="32"/>
          <w:szCs w:val="32"/>
        </w:rPr>
        <w:t xml:space="preserve"> </w:t>
      </w:r>
      <w:r>
        <w:rPr>
          <w:rFonts w:hint="eastAsia" w:asciiTheme="minorEastAsia" w:hAnsiTheme="minorEastAsia" w:eastAsiaTheme="minorEastAsia"/>
          <w:color w:val="auto"/>
          <w:sz w:val="32"/>
          <w:szCs w:val="32"/>
        </w:rPr>
        <w:t>4、医疗卫生与计划生育支出（类）行政事业单位医疗（款）事业单位医疗（项）。</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stheme="minorEastAsia"/>
          <w:color w:val="auto"/>
          <w:sz w:val="32"/>
          <w:szCs w:val="32"/>
        </w:rPr>
        <w:t>年初预算为2万元，支出决算为2.67万元，完成年初预算的133.5%，决算数大于年初预算数的主要原因是：补缴往年职工医疗保险。</w:t>
      </w:r>
    </w:p>
    <w:p>
      <w:pPr>
        <w:pStyle w:val="10"/>
        <w:numPr>
          <w:ilvl w:val="0"/>
          <w:numId w:val="2"/>
        </w:numPr>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城乡社区支出（类）城乡社区环境卫生（款）城乡社区环境卫生（项）。</w:t>
      </w:r>
    </w:p>
    <w:p>
      <w:pPr>
        <w:pStyle w:val="10"/>
        <w:ind w:left="960"/>
        <w:rPr>
          <w:rFonts w:asciiTheme="minorEastAsia" w:hAnsiTheme="minorEastAsia" w:eastAsiaTheme="minorEastAsia"/>
          <w:color w:val="auto"/>
          <w:sz w:val="32"/>
          <w:szCs w:val="32"/>
        </w:rPr>
      </w:pPr>
      <w:r>
        <w:rPr>
          <w:rFonts w:hint="eastAsia" w:asciiTheme="minorEastAsia" w:hAnsiTheme="minorEastAsia" w:eastAsiaTheme="minorEastAsia" w:cstheme="minorEastAsia"/>
          <w:color w:val="auto"/>
          <w:sz w:val="32"/>
          <w:szCs w:val="32"/>
        </w:rPr>
        <w:t>年初预算为0万元，支出决算为3.6万元，超出年初数3.6万元，决算数大于年初预算数的主要原因是：市场改造设计费，监理费。</w:t>
      </w:r>
    </w:p>
    <w:p>
      <w:pPr>
        <w:pStyle w:val="10"/>
        <w:numPr>
          <w:ilvl w:val="0"/>
          <w:numId w:val="2"/>
        </w:numPr>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农林水支出（类）林业（款）森林资源管理（项）</w:t>
      </w:r>
    </w:p>
    <w:p>
      <w:pPr>
        <w:pStyle w:val="10"/>
        <w:ind w:left="960"/>
        <w:rPr>
          <w:rFonts w:asciiTheme="minorEastAsia" w:hAnsiTheme="minorEastAsia" w:eastAsiaTheme="minorEastAsia"/>
          <w:color w:val="FF0000"/>
          <w:sz w:val="32"/>
          <w:szCs w:val="32"/>
        </w:rPr>
      </w:pPr>
      <w:r>
        <w:rPr>
          <w:rFonts w:hint="eastAsia" w:asciiTheme="minorEastAsia" w:hAnsiTheme="minorEastAsia" w:eastAsiaTheme="minorEastAsia" w:cstheme="minorEastAsia"/>
          <w:color w:val="auto"/>
          <w:sz w:val="32"/>
          <w:szCs w:val="32"/>
        </w:rPr>
        <w:t>年初预算为103万元，支出决算为159.43万元，完成年初预算的154.7%，决算数大于年初预算数的主要原因是：新建家禽市场，改造状元路市场</w:t>
      </w:r>
      <w:r>
        <w:rPr>
          <w:rFonts w:hint="eastAsia" w:asciiTheme="minorEastAsia" w:hAnsiTheme="minorEastAsia" w:eastAsiaTheme="minorEastAsia"/>
          <w:color w:val="auto"/>
          <w:sz w:val="32"/>
          <w:szCs w:val="32"/>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2018年度财政拨款基本支出915.18万元，其中：人员经费638.56万元，占基本支出的69.77%,主要包括基本工资、津贴补贴、奖金、绩效工资,机关事业单位基本养老保险缴费、职工基本医疗保险缴费、住房公积金、其他工资福利支出、抚恤金；公用经费276.62万元，占基本支出的30.23%，主要包括办公费、水费、电费、邮电费、物业管理费、差旅费、维修(护)费、会议费、</w:t>
      </w:r>
      <w:r>
        <w:rPr>
          <w:rFonts w:hint="eastAsia" w:ascii="仿宋_GB2312" w:hAnsi="Times New Roman" w:eastAsia="仿宋_GB2312" w:cs="Times New Roman"/>
          <w:color w:val="auto"/>
          <w:sz w:val="18"/>
          <w:szCs w:val="18"/>
        </w:rPr>
        <w:t xml:space="preserve"> </w:t>
      </w:r>
      <w:r>
        <w:rPr>
          <w:rFonts w:hint="eastAsia" w:asciiTheme="minorEastAsia" w:hAnsiTheme="minorEastAsia" w:eastAsiaTheme="minorEastAsia"/>
          <w:color w:val="auto"/>
          <w:sz w:val="32"/>
          <w:szCs w:val="32"/>
        </w:rPr>
        <w:t>公务接待费、劳务费、工会经费、福利费、其他交通费、税金及附加费用、其他商品和服务支出。</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“三公”经费财政拨款支出预算为24.2万元，支出决算为4.35万元，完成预算的17.98%，其中：</w:t>
      </w:r>
    </w:p>
    <w:p>
      <w:pPr>
        <w:pStyle w:val="10"/>
        <w:spacing w:line="600" w:lineRule="exact"/>
        <w:ind w:firstLine="640" w:firstLineChars="200"/>
        <w:rPr>
          <w:rFonts w:asciiTheme="majorEastAsia" w:hAnsiTheme="majorEastAsia" w:eastAsiaTheme="majorEastAsia" w:cstheme="majorEastAsia"/>
          <w:color w:val="auto"/>
          <w:sz w:val="32"/>
          <w:szCs w:val="32"/>
        </w:rPr>
      </w:pPr>
      <w:r>
        <w:rPr>
          <w:rFonts w:hint="eastAsia" w:asciiTheme="minorEastAsia" w:hAnsiTheme="minorEastAsia" w:eastAsiaTheme="minorEastAsia"/>
          <w:color w:val="auto"/>
          <w:sz w:val="32"/>
          <w:szCs w:val="32"/>
        </w:rPr>
        <w:t>因公出国（境）费支出预算为0万元，支出决算为0万元，</w:t>
      </w:r>
      <w:r>
        <w:rPr>
          <w:rFonts w:hint="eastAsia" w:asciiTheme="majorEastAsia" w:hAnsiTheme="majorEastAsia" w:eastAsiaTheme="majorEastAsia" w:cstheme="majorEastAsia"/>
          <w:color w:val="auto"/>
          <w:sz w:val="32"/>
          <w:szCs w:val="32"/>
        </w:rPr>
        <w:t>完成预算的0%，与上年相比减少0万元，减少0%，减少的主要原因是本单位没有因公出国（镜）费支出。</w:t>
      </w:r>
    </w:p>
    <w:p>
      <w:pPr>
        <w:pStyle w:val="10"/>
        <w:ind w:firstLine="640" w:firstLineChars="200"/>
        <w:rPr>
          <w:rFonts w:asciiTheme="minorEastAsia" w:hAnsiTheme="minorEastAsia" w:eastAsiaTheme="minorEastAsia"/>
          <w:color w:val="C00000"/>
          <w:sz w:val="32"/>
          <w:szCs w:val="32"/>
        </w:rPr>
      </w:pPr>
      <w:r>
        <w:rPr>
          <w:rFonts w:hint="eastAsia" w:asciiTheme="minorEastAsia" w:hAnsiTheme="minorEastAsia" w:eastAsiaTheme="minorEastAsia"/>
          <w:color w:val="auto"/>
          <w:sz w:val="32"/>
          <w:szCs w:val="32"/>
        </w:rPr>
        <w:t>公务接待费支出预算为24.2万元，支出决算为4.35万元，完成预算的17.98%，决算数小于年初预算数的主要原因是节约开支，与上年相比减少2.09万元，减少</w:t>
      </w:r>
      <w:r>
        <w:rPr>
          <w:rFonts w:hint="eastAsia" w:asciiTheme="minorEastAsia" w:hAnsiTheme="minorEastAsia" w:eastAsiaTheme="minorEastAsia"/>
          <w:color w:val="auto"/>
          <w:sz w:val="32"/>
          <w:szCs w:val="32"/>
          <w:lang w:val="en-US" w:eastAsia="zh-CN"/>
        </w:rPr>
        <w:t>32.45</w:t>
      </w:r>
      <w:r>
        <w:rPr>
          <w:rFonts w:hint="eastAsia" w:asciiTheme="minorEastAsia" w:hAnsiTheme="minorEastAsia" w:eastAsiaTheme="minorEastAsia"/>
          <w:color w:val="auto"/>
          <w:sz w:val="32"/>
          <w:szCs w:val="32"/>
        </w:rPr>
        <w:t>%,减少的主要原因是接待的次数和人数减少了。</w:t>
      </w:r>
    </w:p>
    <w:p>
      <w:pPr>
        <w:pStyle w:val="10"/>
        <w:ind w:firstLine="640" w:firstLineChars="200"/>
        <w:rPr>
          <w:rFonts w:asciiTheme="majorEastAsia" w:hAnsiTheme="majorEastAsia" w:eastAsiaTheme="majorEastAsia" w:cstheme="majorEastAsia"/>
          <w:color w:val="auto"/>
          <w:sz w:val="32"/>
          <w:szCs w:val="32"/>
        </w:rPr>
      </w:pPr>
      <w:r>
        <w:rPr>
          <w:rFonts w:hint="eastAsia" w:asciiTheme="majorEastAsia" w:hAnsiTheme="majorEastAsia" w:eastAsiaTheme="majorEastAsia" w:cstheme="majorEastAsia"/>
          <w:color w:val="auto"/>
          <w:sz w:val="32"/>
          <w:szCs w:val="32"/>
        </w:rPr>
        <w:t>公务用车购置费及运行维护费支出预算为0万元，支出决算为0万元，完成预算的0%，与上年相比减少0万元，减少0%,减少的主要原因是单位没有公车。</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2018年度“三公”经费财政拨款支出决算中，公务接待费支出决算4.35万元，占100%,因公出国（境）费支出决算0万元，占0%,公务用车购置费及运行维护费支出决算0万元，占0%。其中：</w:t>
      </w:r>
    </w:p>
    <w:p>
      <w:pPr>
        <w:pStyle w:val="10"/>
        <w:ind w:firstLine="640" w:firstLineChars="200"/>
        <w:rPr>
          <w:rFonts w:asciiTheme="minorEastAsia" w:hAnsiTheme="minorEastAsia" w:eastAsiaTheme="minorEastAsia"/>
          <w:b/>
          <w:color w:val="auto"/>
          <w:sz w:val="32"/>
          <w:szCs w:val="32"/>
        </w:rPr>
      </w:pPr>
      <w:r>
        <w:rPr>
          <w:rFonts w:hint="eastAsia" w:asciiTheme="minorEastAsia" w:hAnsiTheme="minorEastAsia" w:eastAsiaTheme="minorEastAsia"/>
          <w:color w:val="auto"/>
          <w:sz w:val="32"/>
          <w:szCs w:val="32"/>
        </w:rPr>
        <w:t>1、因公出国（境）费支出决算为0万元，全年安排因公出国（境）团组0个，累计0人次。</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2、公务接待费支出决算为4.35万元，全年共接待来访团组63个、来宾500人次，主要是兄弟县市交流学习,</w:t>
      </w:r>
      <w:r>
        <w:rPr>
          <w:rFonts w:hint="eastAsia"/>
          <w:color w:val="auto"/>
        </w:rPr>
        <w:t xml:space="preserve"> </w:t>
      </w:r>
      <w:r>
        <w:rPr>
          <w:rFonts w:hint="eastAsia" w:asciiTheme="minorEastAsia" w:hAnsiTheme="minorEastAsia" w:eastAsiaTheme="minorEastAsia"/>
          <w:color w:val="auto"/>
          <w:sz w:val="32"/>
          <w:szCs w:val="32"/>
        </w:rPr>
        <w:t>扶贫点协调工作。</w:t>
      </w:r>
    </w:p>
    <w:p>
      <w:pPr>
        <w:spacing w:line="600" w:lineRule="exact"/>
        <w:ind w:firstLine="640" w:firstLineChars="200"/>
        <w:rPr>
          <w:rFonts w:cs="黑体" w:asciiTheme="minorEastAsia" w:hAnsiTheme="minorEastAsia"/>
          <w:color w:val="C00000"/>
          <w:kern w:val="0"/>
          <w:sz w:val="32"/>
          <w:szCs w:val="32"/>
        </w:rPr>
      </w:pPr>
      <w:r>
        <w:rPr>
          <w:rFonts w:hint="eastAsia" w:asciiTheme="minorEastAsia" w:hAnsiTheme="minorEastAsia" w:cstheme="minorEastAsia"/>
          <w:sz w:val="32"/>
          <w:szCs w:val="32"/>
        </w:rPr>
        <w:t>3、公务用车购置费及运行维护费支出决算为0万元，其中：公务用车购置费0万元，单位本级更新公务用车0辆。公务用车运行维护费0万元，没有支出，截止2018年 12月31日，我单位开支财政拨款的公务用车保有量为0</w:t>
      </w:r>
      <w:r>
        <w:rPr>
          <w:rFonts w:eastAsia="仿宋_GB2312"/>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spacing w:line="600" w:lineRule="exact"/>
        <w:ind w:firstLine="640" w:firstLineChars="200"/>
        <w:rPr>
          <w:rFonts w:asciiTheme="minorEastAsia" w:hAnsiTheme="minorEastAsia" w:eastAsiaTheme="minorEastAsia" w:cstheme="minorEastAsia"/>
          <w:i/>
          <w:color w:val="FF0000"/>
          <w:sz w:val="32"/>
          <w:szCs w:val="32"/>
        </w:rPr>
      </w:pPr>
      <w:r>
        <w:rPr>
          <w:rFonts w:hint="eastAsia" w:asciiTheme="minorEastAsia" w:hAnsiTheme="minorEastAsia" w:eastAsiaTheme="minorEastAsia"/>
          <w:sz w:val="32"/>
          <w:szCs w:val="32"/>
        </w:rPr>
        <w:t>2018年本单位无政府性基金收支。</w:t>
      </w:r>
    </w:p>
    <w:p>
      <w:pPr>
        <w:pStyle w:val="10"/>
        <w:rPr>
          <w:rFonts w:hAnsi="黑体"/>
          <w:b/>
          <w:sz w:val="32"/>
          <w:szCs w:val="32"/>
        </w:rPr>
      </w:pPr>
      <w:r>
        <w:rPr>
          <w:rFonts w:hint="eastAsia" w:hAnsi="黑体"/>
          <w:b/>
          <w:sz w:val="32"/>
          <w:szCs w:val="32"/>
        </w:rPr>
        <w:t>九、关于2018年度预算绩效情况说明</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sz w:val="32"/>
          <w:szCs w:val="32"/>
        </w:rPr>
        <w:t>本部门预算绩效管理开展情况、绩效目标和绩效评价报告等按照财政绩效部门要求已公开。2018主要开展</w:t>
      </w:r>
      <w:r>
        <w:rPr>
          <w:rFonts w:hint="eastAsia" w:asciiTheme="minorEastAsia" w:hAnsiTheme="minorEastAsia" w:eastAsiaTheme="minorEastAsia"/>
          <w:sz w:val="30"/>
          <w:szCs w:val="30"/>
        </w:rPr>
        <w:t>经营管理市场,加强农贸市场标准化管理、</w:t>
      </w:r>
      <w:r>
        <w:rPr>
          <w:rFonts w:hint="eastAsia" w:asciiTheme="majorEastAsia" w:hAnsiTheme="majorEastAsia" w:eastAsiaTheme="majorEastAsia"/>
          <w:sz w:val="30"/>
          <w:szCs w:val="30"/>
        </w:rPr>
        <w:t>建设状元路市场、水果批发市场，虎子岩家禽批发市场。</w:t>
      </w:r>
      <w:r>
        <w:rPr>
          <w:rFonts w:hint="eastAsia" w:asciiTheme="minorEastAsia" w:hAnsiTheme="minorEastAsia" w:eastAsiaTheme="minorEastAsia"/>
          <w:sz w:val="32"/>
          <w:szCs w:val="32"/>
        </w:rPr>
        <w:t>2018年度道县市场服务中心总收入1096.01万元，其中一般公共预算财政拨款1096.01万元。道县市场服务中心2018年基本支出915.18万元，项目支出180.83万元。</w:t>
      </w:r>
      <w:r>
        <w:rPr>
          <w:rFonts w:hint="eastAsia" w:asciiTheme="minorEastAsia" w:hAnsiTheme="minorEastAsia" w:eastAsiaTheme="minorEastAsia"/>
          <w:color w:val="auto"/>
          <w:sz w:val="32"/>
          <w:szCs w:val="32"/>
        </w:rPr>
        <w:t>与2017年相比，财政拨款支出增加了101.19万元，增加了10.17%，主要是因为人员经费比上年减少64.94万元,日常公用经费增加了165.76万元,项目支出比上年增加了0.37万元。</w:t>
      </w:r>
    </w:p>
    <w:p>
      <w:pPr>
        <w:pStyle w:val="10"/>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kern w:val="0"/>
          <w:sz w:val="32"/>
          <w:szCs w:val="32"/>
        </w:rPr>
      </w:pPr>
      <w:r>
        <w:rPr>
          <w:rFonts w:hint="eastAsia" w:cs="黑体" w:asciiTheme="minorEastAsia" w:hAnsiTheme="minorEastAsia"/>
          <w:kern w:val="0"/>
          <w:sz w:val="32"/>
          <w:szCs w:val="32"/>
        </w:rPr>
        <w:t>本部门2018 年度机关运行经费支出276.62万元，比年初预算数增加了76.62万元，增长38.31%。主要原因是：为了市场正常运转增加了物业费、维修费和劳务费。</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spacing w:line="600" w:lineRule="exact"/>
        <w:ind w:firstLine="640" w:firstLineChars="200"/>
        <w:rPr>
          <w:rFonts w:asciiTheme="majorEastAsia" w:hAnsiTheme="majorEastAsia" w:eastAsiaTheme="majorEastAsia" w:cstheme="majorEastAsia"/>
          <w:color w:val="C00000"/>
          <w:kern w:val="0"/>
          <w:sz w:val="32"/>
          <w:szCs w:val="32"/>
        </w:rPr>
      </w:pPr>
      <w:r>
        <w:rPr>
          <w:rFonts w:hint="eastAsia" w:asciiTheme="majorEastAsia" w:hAnsiTheme="majorEastAsia" w:eastAsiaTheme="majorEastAsia" w:cstheme="majorEastAsia"/>
          <w:kern w:val="0"/>
          <w:sz w:val="32"/>
          <w:szCs w:val="32"/>
        </w:rPr>
        <w:t>2018年本部门开支会议费1万元，用于召开创文创卫知识会议，人数101人，内容为单位干部职工及市场经营户学习创文创卫知识；开支培训费0万元，用于开展培训人数0人，；举节庆、晚会、论坛、赛事活动，开支0万元。</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spacing w:line="600" w:lineRule="exact"/>
        <w:ind w:firstLine="640" w:firstLineChars="200"/>
        <w:rPr>
          <w:rFonts w:cs="黑体" w:asciiTheme="minorEastAsia" w:hAnsiTheme="minorEastAsia"/>
          <w:i/>
          <w:color w:val="FF0000"/>
          <w:kern w:val="0"/>
          <w:sz w:val="32"/>
          <w:szCs w:val="32"/>
        </w:rPr>
      </w:pPr>
      <w:r>
        <w:rPr>
          <w:rFonts w:hint="eastAsia" w:asciiTheme="majorEastAsia" w:hAnsiTheme="majorEastAsia" w:eastAsiaTheme="majorEastAsia" w:cstheme="majorEastAsia"/>
          <w:kern w:val="0"/>
          <w:sz w:val="32"/>
          <w:szCs w:val="32"/>
        </w:rPr>
        <w:t>本部门2018年度政府采购支出总额0万元，其中：政府采购货物支出</w:t>
      </w:r>
      <w:r>
        <w:rPr>
          <w:rFonts w:hint="eastAsia" w:asciiTheme="majorEastAsia" w:hAnsiTheme="majorEastAsia" w:eastAsiaTheme="majorEastAsia" w:cstheme="majorEastAsia"/>
          <w:sz w:val="32"/>
          <w:szCs w:val="32"/>
          <w:u w:val="single"/>
        </w:rPr>
        <w:t xml:space="preserve">   </w:t>
      </w:r>
      <w:r>
        <w:rPr>
          <w:rFonts w:hint="eastAsia" w:asciiTheme="majorEastAsia" w:hAnsiTheme="majorEastAsia" w:eastAsiaTheme="majorEastAsia" w:cstheme="majorEastAsia"/>
          <w:kern w:val="0"/>
          <w:sz w:val="32"/>
          <w:szCs w:val="32"/>
        </w:rPr>
        <w:t>万元、政府采购工程支出0万元、政府采购服务支出0万元。授予中小企业合同金额0万元，占政府采购支出总额的0 %，其中：授予小微企业合同金额0万元，占政府采购支出总额的0%。</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spacing w:line="600" w:lineRule="exact"/>
        <w:ind w:firstLine="640" w:firstLineChars="200"/>
        <w:rPr>
          <w:rFonts w:asciiTheme="minorEastAsia" w:hAnsiTheme="minorEastAsia" w:cstheme="minorEastAsia"/>
          <w:kern w:val="0"/>
          <w:sz w:val="32"/>
          <w:szCs w:val="32"/>
        </w:rPr>
      </w:pPr>
      <w:r>
        <w:rPr>
          <w:rFonts w:hint="eastAsia" w:asciiTheme="minorEastAsia" w:hAnsiTheme="minorEastAsia" w:cstheme="minorEastAsia"/>
          <w:kern w:val="0"/>
          <w:sz w:val="32"/>
          <w:szCs w:val="32"/>
        </w:rPr>
        <w:t>截至2018年12月31日，本单位共有车辆0辆，其中，领导干部用车</w:t>
      </w:r>
      <w:r>
        <w:rPr>
          <w:rFonts w:hint="eastAsia" w:asciiTheme="minorEastAsia" w:hAnsiTheme="minorEastAsia" w:cstheme="minorEastAsia"/>
          <w:sz w:val="32"/>
          <w:szCs w:val="32"/>
          <w:u w:val="single"/>
        </w:rPr>
        <w:t xml:space="preserve">   </w:t>
      </w:r>
      <w:r>
        <w:rPr>
          <w:rFonts w:hint="eastAsia" w:asciiTheme="minorEastAsia" w:hAnsiTheme="minorEastAsia" w:cstheme="minorEastAsia"/>
          <w:kern w:val="0"/>
          <w:sz w:val="32"/>
          <w:szCs w:val="32"/>
        </w:rPr>
        <w:t>辆、机要通信用车0辆、应急保障用车0辆、执法执勤用车0辆、特种专业技术用车0辆、其他用车0辆，其他用车主要是0；单位价值50万元以上通用设备0台（套）；单位价值100万元以上专用设备0台（套）。</w:t>
      </w:r>
    </w:p>
    <w:p>
      <w:pPr>
        <w:ind w:firstLine="640" w:firstLineChars="200"/>
        <w:rPr>
          <w:rFonts w:asciiTheme="minorEastAsia" w:hAnsiTheme="minorEastAsia" w:cstheme="minorEastAsia"/>
          <w:color w:val="000000"/>
          <w:kern w:val="0"/>
          <w:sz w:val="32"/>
          <w:szCs w:val="32"/>
        </w:rPr>
      </w:pPr>
    </w:p>
    <w:p>
      <w:pPr>
        <w:widowControl/>
        <w:jc w:val="left"/>
        <w:rPr>
          <w:rFonts w:cs="黑体" w:asciiTheme="minorEastAsia" w:hAnsiTheme="minorEastAsia"/>
          <w:color w:val="000000"/>
          <w:kern w:val="0"/>
          <w:sz w:val="32"/>
          <w:szCs w:val="32"/>
        </w:rPr>
      </w:pPr>
    </w:p>
    <w:p>
      <w:pPr>
        <w:pStyle w:val="10"/>
        <w:rPr>
          <w:sz w:val="36"/>
          <w:szCs w:val="36"/>
        </w:rPr>
      </w:pPr>
    </w:p>
    <w:p>
      <w:pPr>
        <w:pStyle w:val="10"/>
        <w:jc w:val="center"/>
        <w:rPr>
          <w:sz w:val="32"/>
          <w:szCs w:val="32"/>
        </w:rPr>
      </w:pPr>
      <w:r>
        <w:rPr>
          <w:rFonts w:hint="eastAsia"/>
          <w:sz w:val="32"/>
          <w:szCs w:val="32"/>
        </w:rPr>
        <w:t>第四部分</w:t>
      </w:r>
    </w:p>
    <w:p>
      <w:pPr>
        <w:jc w:val="center"/>
        <w:rPr>
          <w:rFonts w:ascii="黑体" w:eastAsia="黑体" w:cs="黑体"/>
          <w:color w:val="000000"/>
          <w:kern w:val="0"/>
          <w:sz w:val="32"/>
          <w:szCs w:val="32"/>
        </w:rPr>
      </w:pPr>
    </w:p>
    <w:p>
      <w:pPr>
        <w:jc w:val="center"/>
        <w:rPr>
          <w:rFonts w:ascii="黑体" w:eastAsia="黑体" w:cs="黑体"/>
          <w:color w:val="000000"/>
          <w:kern w:val="0"/>
          <w:sz w:val="32"/>
          <w:szCs w:val="32"/>
        </w:rPr>
      </w:pPr>
      <w:r>
        <w:rPr>
          <w:rFonts w:hint="eastAsia" w:ascii="黑体" w:eastAsia="黑体" w:cs="黑体"/>
          <w:color w:val="000000"/>
          <w:kern w:val="0"/>
          <w:sz w:val="32"/>
          <w:szCs w:val="32"/>
        </w:rPr>
        <w:t>名词解释</w:t>
      </w:r>
    </w:p>
    <w:p>
      <w:pPr>
        <w:widowControl/>
        <w:ind w:firstLine="320" w:firstLineChars="100"/>
        <w:jc w:val="left"/>
        <w:rPr>
          <w:rFonts w:ascii="黑体" w:eastAsia="黑体" w:cs="黑体"/>
          <w:color w:val="000000"/>
          <w:kern w:val="0"/>
          <w:sz w:val="70"/>
          <w:szCs w:val="70"/>
        </w:rPr>
      </w:pPr>
      <w:r>
        <w:rPr>
          <w:rFonts w:hint="eastAsia" w:asciiTheme="minorEastAsia" w:hAnsiTheme="minorEastAsia" w:cstheme="minorEastAsia"/>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asciiTheme="minorEastAsia" w:hAnsiTheme="minorEastAsia" w:cstheme="minorEastAsia"/>
          <w:color w:val="000000"/>
          <w:kern w:val="0"/>
          <w:sz w:val="32"/>
          <w:szCs w:val="32"/>
        </w:rPr>
      </w:pPr>
      <w:r>
        <w:rPr>
          <w:rFonts w:hint="eastAsia" w:asciiTheme="minorEastAsia" w:hAnsiTheme="minorEastAsia" w:cstheme="minorEastAsia"/>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jc w:val="left"/>
        <w:rPr>
          <w:rFonts w:asciiTheme="minorEastAsia" w:hAnsiTheme="minorEastAsia" w:cstheme="minorEastAsia"/>
          <w:color w:val="000000"/>
          <w:kern w:val="0"/>
          <w:sz w:val="32"/>
          <w:szCs w:val="32"/>
        </w:rPr>
      </w:pPr>
    </w:p>
    <w:p>
      <w:pPr>
        <w:widowControl/>
        <w:jc w:val="left"/>
        <w:rPr>
          <w:rFonts w:asciiTheme="minorEastAsia" w:hAnsiTheme="minorEastAsia"/>
          <w:i/>
          <w:color w:val="FF0000"/>
          <w:sz w:val="32"/>
          <w:szCs w:val="32"/>
        </w:rPr>
      </w:pPr>
    </w:p>
    <w:p>
      <w:pPr>
        <w:pStyle w:val="10"/>
        <w:jc w:val="center"/>
        <w:rPr>
          <w:sz w:val="36"/>
          <w:szCs w:val="36"/>
        </w:rPr>
      </w:pPr>
      <w:r>
        <w:rPr>
          <w:rFonts w:hint="eastAsia"/>
          <w:sz w:val="36"/>
          <w:szCs w:val="36"/>
        </w:rPr>
        <w:t>第五部分</w:t>
      </w:r>
    </w:p>
    <w:p>
      <w:pPr>
        <w:jc w:val="center"/>
        <w:rPr>
          <w:rFonts w:ascii="黑体" w:eastAsia="黑体" w:cs="黑体"/>
          <w:color w:val="000000"/>
          <w:kern w:val="0"/>
          <w:sz w:val="36"/>
          <w:szCs w:val="36"/>
        </w:rPr>
      </w:pPr>
    </w:p>
    <w:p>
      <w:pPr>
        <w:jc w:val="center"/>
        <w:rPr>
          <w:rFonts w:ascii="黑体" w:eastAsia="黑体" w:cs="黑体"/>
          <w:color w:val="000000"/>
          <w:kern w:val="0"/>
          <w:sz w:val="36"/>
          <w:szCs w:val="36"/>
        </w:rPr>
      </w:pPr>
      <w:r>
        <w:rPr>
          <w:rFonts w:hint="eastAsia" w:ascii="黑体" w:eastAsia="黑体" w:cs="黑体"/>
          <w:color w:val="000000"/>
          <w:kern w:val="0"/>
          <w:sz w:val="36"/>
          <w:szCs w:val="36"/>
        </w:rPr>
        <w:t>附件</w:t>
      </w:r>
    </w:p>
    <w:p>
      <w:pPr>
        <w:widowControl/>
        <w:jc w:val="left"/>
        <w:rPr>
          <w:rFonts w:ascii="黑体" w:eastAsia="黑体" w:cs="黑体"/>
          <w:color w:val="000000"/>
          <w:kern w:val="0"/>
          <w:sz w:val="70"/>
          <w:szCs w:val="70"/>
        </w:rPr>
      </w:pPr>
    </w:p>
    <w:p>
      <w:pPr>
        <w:jc w:val="center"/>
        <w:rPr>
          <w:rFonts w:ascii="仿宋" w:hAnsi="仿宋" w:eastAsia="仿宋"/>
          <w:b/>
          <w:sz w:val="32"/>
          <w:szCs w:val="32"/>
        </w:rPr>
      </w:pPr>
      <w:r>
        <w:rPr>
          <w:rFonts w:hint="eastAsia" w:ascii="仿宋" w:hAnsi="仿宋" w:eastAsia="仿宋"/>
          <w:b/>
          <w:sz w:val="32"/>
          <w:szCs w:val="32"/>
        </w:rPr>
        <w:t>道县市场服务中心</w:t>
      </w:r>
    </w:p>
    <w:p>
      <w:pPr>
        <w:jc w:val="center"/>
        <w:rPr>
          <w:rFonts w:ascii="仿宋" w:hAnsi="仿宋" w:eastAsia="仿宋"/>
          <w:b/>
          <w:sz w:val="32"/>
          <w:szCs w:val="32"/>
        </w:rPr>
      </w:pPr>
      <w:r>
        <w:rPr>
          <w:rFonts w:hint="eastAsia" w:ascii="仿宋" w:hAnsi="仿宋" w:eastAsia="仿宋"/>
          <w:b/>
          <w:sz w:val="32"/>
          <w:szCs w:val="32"/>
        </w:rPr>
        <w:t>2018年度部门整体支出绩效评价报告</w:t>
      </w:r>
    </w:p>
    <w:p/>
    <w:p>
      <w:pPr>
        <w:pStyle w:val="11"/>
        <w:numPr>
          <w:ilvl w:val="0"/>
          <w:numId w:val="3"/>
        </w:numPr>
        <w:ind w:firstLineChars="0"/>
        <w:rPr>
          <w:rFonts w:ascii="仿宋" w:hAnsi="仿宋" w:eastAsia="仿宋"/>
          <w:sz w:val="30"/>
          <w:szCs w:val="30"/>
        </w:rPr>
      </w:pPr>
      <w:r>
        <w:rPr>
          <w:rFonts w:hint="eastAsia" w:ascii="仿宋" w:hAnsi="仿宋" w:eastAsia="仿宋"/>
          <w:sz w:val="30"/>
          <w:szCs w:val="30"/>
        </w:rPr>
        <w:t>部门概况</w:t>
      </w:r>
    </w:p>
    <w:p>
      <w:pPr>
        <w:pStyle w:val="11"/>
        <w:numPr>
          <w:ilvl w:val="0"/>
          <w:numId w:val="4"/>
        </w:numPr>
        <w:ind w:firstLineChars="0"/>
        <w:rPr>
          <w:rFonts w:ascii="仿宋" w:hAnsi="仿宋" w:eastAsia="仿宋"/>
          <w:sz w:val="30"/>
          <w:szCs w:val="30"/>
        </w:rPr>
      </w:pPr>
      <w:r>
        <w:rPr>
          <w:rFonts w:hint="eastAsia" w:ascii="仿宋" w:hAnsi="仿宋" w:eastAsia="仿宋"/>
          <w:sz w:val="30"/>
          <w:szCs w:val="30"/>
        </w:rPr>
        <w:t>部门基本情况:</w:t>
      </w:r>
    </w:p>
    <w:p>
      <w:pPr>
        <w:pStyle w:val="11"/>
        <w:ind w:firstLine="570" w:firstLineChars="190"/>
        <w:rPr>
          <w:rFonts w:ascii="仿宋" w:hAnsi="仿宋" w:eastAsia="仿宋"/>
          <w:sz w:val="30"/>
          <w:szCs w:val="30"/>
        </w:rPr>
      </w:pPr>
      <w:r>
        <w:rPr>
          <w:rFonts w:hint="eastAsia" w:ascii="仿宋" w:hAnsi="仿宋" w:eastAsia="仿宋"/>
          <w:sz w:val="30"/>
          <w:szCs w:val="30"/>
        </w:rPr>
        <w:t>1、机构设置在职人员情况：道县市场服务中心为县政府直属正科级自收自支事业单位，内设办公室、政工股、规划建设股、市场经营股、治安消防股，下设城南、城北、梅花、寿雁、四马桥市场交易服务所。现有编制134人，现有在职干部职工84人（其中在岗69人，外出创业人员13人，退休17人）。</w:t>
      </w:r>
    </w:p>
    <w:p>
      <w:pPr>
        <w:pStyle w:val="11"/>
        <w:ind w:firstLine="570" w:firstLineChars="190"/>
        <w:rPr>
          <w:rFonts w:ascii="仿宋" w:hAnsi="仿宋" w:eastAsia="仿宋"/>
          <w:sz w:val="30"/>
          <w:szCs w:val="30"/>
        </w:rPr>
      </w:pPr>
      <w:r>
        <w:rPr>
          <w:rFonts w:hint="eastAsia" w:ascii="仿宋" w:hAnsi="仿宋" w:eastAsia="仿宋"/>
          <w:sz w:val="30"/>
          <w:szCs w:val="30"/>
        </w:rPr>
        <w:t>2、部门主要职能：根据湘政发〖1999〗24号文件精神，道县市场服务中心主要职责是：1经营管理市场资产。 2负责市场内的物业管理、消防、卫生等日常服务。3提供交易场所和服务设施，开展代储、代运、信息咨询和其他服务。4收取市场设施租赁费、交易手续费提成和其他符合国家和省规定的有偿服务费。</w:t>
      </w:r>
    </w:p>
    <w:p>
      <w:pPr>
        <w:pStyle w:val="11"/>
        <w:ind w:firstLine="600"/>
        <w:rPr>
          <w:rFonts w:ascii="仿宋" w:hAnsi="仿宋" w:eastAsia="仿宋"/>
          <w:sz w:val="30"/>
          <w:szCs w:val="30"/>
        </w:rPr>
      </w:pPr>
      <w:r>
        <w:rPr>
          <w:rFonts w:hint="eastAsia" w:ascii="仿宋" w:hAnsi="仿宋" w:eastAsia="仿宋"/>
          <w:sz w:val="30"/>
          <w:szCs w:val="30"/>
        </w:rPr>
        <w:t>3、重点工作计划是：加强农贸市场标准化管理、建设和改造。</w:t>
      </w:r>
    </w:p>
    <w:p>
      <w:pPr>
        <w:rPr>
          <w:rFonts w:ascii="仿宋" w:hAnsi="仿宋" w:eastAsia="仿宋"/>
          <w:sz w:val="30"/>
          <w:szCs w:val="30"/>
        </w:rPr>
      </w:pPr>
      <w:r>
        <w:rPr>
          <w:rFonts w:hint="eastAsia" w:ascii="仿宋" w:hAnsi="仿宋" w:eastAsia="仿宋"/>
          <w:sz w:val="30"/>
          <w:szCs w:val="30"/>
        </w:rPr>
        <w:t xml:space="preserve">   （二）、支出规模、使用方向和主要内容、涉及范围部门资金来源：2018年度道县市场服务中心总收入1096.01万元，具体情况如下：</w:t>
      </w:r>
    </w:p>
    <w:p>
      <w:pPr>
        <w:ind w:firstLine="600" w:firstLineChars="200"/>
        <w:rPr>
          <w:rFonts w:ascii="仿宋" w:hAnsi="仿宋" w:eastAsia="仿宋"/>
          <w:sz w:val="30"/>
          <w:szCs w:val="30"/>
        </w:rPr>
      </w:pPr>
      <w:r>
        <w:rPr>
          <w:rFonts w:hint="eastAsia" w:ascii="仿宋" w:hAnsi="仿宋" w:eastAsia="仿宋"/>
          <w:sz w:val="30"/>
          <w:szCs w:val="30"/>
        </w:rPr>
        <w:t>1、一般公共预算财政拨款1096.01万元。</w:t>
      </w:r>
    </w:p>
    <w:p>
      <w:pPr>
        <w:ind w:firstLine="600" w:firstLineChars="200"/>
        <w:rPr>
          <w:rFonts w:ascii="仿宋" w:hAnsi="仿宋" w:eastAsia="仿宋"/>
          <w:sz w:val="30"/>
          <w:szCs w:val="30"/>
        </w:rPr>
      </w:pPr>
      <w:r>
        <w:rPr>
          <w:rFonts w:hint="eastAsia" w:ascii="仿宋" w:hAnsi="仿宋" w:eastAsia="仿宋"/>
          <w:sz w:val="30"/>
          <w:szCs w:val="30"/>
        </w:rPr>
        <w:t>二、部门整体支出使用情况</w:t>
      </w:r>
    </w:p>
    <w:p>
      <w:pPr>
        <w:pStyle w:val="11"/>
        <w:ind w:left="420" w:firstLine="0" w:firstLineChars="0"/>
        <w:rPr>
          <w:rFonts w:ascii="仿宋" w:hAnsi="仿宋" w:eastAsia="仿宋"/>
          <w:sz w:val="30"/>
          <w:szCs w:val="30"/>
        </w:rPr>
      </w:pPr>
      <w:r>
        <w:rPr>
          <w:rFonts w:hint="eastAsia" w:ascii="仿宋" w:hAnsi="仿宋" w:eastAsia="仿宋"/>
          <w:sz w:val="30"/>
          <w:szCs w:val="30"/>
        </w:rPr>
        <w:t>（一）、基本支出</w:t>
      </w:r>
    </w:p>
    <w:p>
      <w:pPr>
        <w:pStyle w:val="11"/>
        <w:ind w:firstLine="450" w:firstLineChars="150"/>
        <w:rPr>
          <w:rFonts w:ascii="仿宋" w:hAnsi="仿宋" w:eastAsia="仿宋"/>
          <w:sz w:val="30"/>
          <w:szCs w:val="30"/>
        </w:rPr>
      </w:pPr>
      <w:r>
        <w:rPr>
          <w:rFonts w:hint="eastAsia" w:ascii="仿宋" w:hAnsi="仿宋" w:eastAsia="仿宋"/>
          <w:sz w:val="30"/>
          <w:szCs w:val="30"/>
        </w:rPr>
        <w:t>道县市场服务中心2018年基本支出915.18万元，项目支出180.83万元，具体使用情况如下：</w:t>
      </w:r>
    </w:p>
    <w:p>
      <w:pPr>
        <w:pStyle w:val="11"/>
        <w:ind w:firstLine="600"/>
        <w:rPr>
          <w:rFonts w:ascii="仿宋" w:hAnsi="仿宋" w:eastAsia="仿宋"/>
          <w:sz w:val="30"/>
          <w:szCs w:val="30"/>
        </w:rPr>
      </w:pPr>
      <w:r>
        <w:rPr>
          <w:rFonts w:hint="eastAsia" w:ascii="仿宋" w:hAnsi="仿宋" w:eastAsia="仿宋"/>
          <w:sz w:val="30"/>
          <w:szCs w:val="30"/>
        </w:rPr>
        <w:t>1、人员经费支出  638.56万元，其中：基本工资216.4万元，津贴补贴193.3万元，奖金36.91万元，机关事业单位基本养老保险缴费71.94万元，职业年金缴费21.78万元，职工基本医疗保险缴费26.78万元，住房公积金65.44万元，其他工资福利支出5.1万元，抚恤金0.91万元。</w:t>
      </w:r>
    </w:p>
    <w:p>
      <w:pPr>
        <w:pStyle w:val="11"/>
        <w:ind w:firstLine="570" w:firstLineChars="190"/>
        <w:rPr>
          <w:rFonts w:ascii="仿宋" w:hAnsi="仿宋" w:eastAsia="仿宋"/>
          <w:sz w:val="30"/>
          <w:szCs w:val="30"/>
        </w:rPr>
      </w:pPr>
      <w:r>
        <w:rPr>
          <w:rFonts w:hint="eastAsia" w:ascii="仿宋" w:hAnsi="仿宋" w:eastAsia="仿宋"/>
          <w:sz w:val="30"/>
          <w:szCs w:val="30"/>
        </w:rPr>
        <w:t>2、日常公用经费支出276.62万元，其中：办公经费19.86万元，水费14.01万元，电费19.25万元，邮电费0.83万元,物业管理费81.72万元，维修（护）费35.85万元，会议费1万元，公务接待费4.35万元，劳务费42.67万元，工会经费11.63，福利费13.65万元，其他交通费用6.08万元，其他商品支出22.24。</w:t>
      </w:r>
    </w:p>
    <w:p>
      <w:pPr>
        <w:pStyle w:val="11"/>
        <w:ind w:firstLine="600"/>
        <w:rPr>
          <w:rFonts w:ascii="仿宋" w:hAnsi="仿宋" w:eastAsia="仿宋"/>
          <w:sz w:val="30"/>
          <w:szCs w:val="30"/>
        </w:rPr>
      </w:pPr>
      <w:r>
        <w:rPr>
          <w:rFonts w:hint="eastAsia" w:ascii="仿宋" w:hAnsi="仿宋" w:eastAsia="仿宋"/>
          <w:sz w:val="30"/>
          <w:szCs w:val="30"/>
        </w:rPr>
        <w:t>（二）、项目支出</w:t>
      </w:r>
    </w:p>
    <w:p>
      <w:pPr>
        <w:pStyle w:val="11"/>
        <w:ind w:firstLine="720" w:firstLineChars="240"/>
        <w:rPr>
          <w:rFonts w:ascii="仿宋" w:hAnsi="仿宋" w:eastAsia="仿宋"/>
          <w:sz w:val="30"/>
          <w:szCs w:val="30"/>
        </w:rPr>
      </w:pPr>
      <w:r>
        <w:rPr>
          <w:rFonts w:hint="eastAsia" w:ascii="仿宋" w:hAnsi="仿宋" w:eastAsia="仿宋"/>
          <w:sz w:val="30"/>
          <w:szCs w:val="30"/>
        </w:rPr>
        <w:t>道县市场服务中心2018年项目资金支出180.83万元，具体使用情况如下：市场改造设计、监理费40.7万元，状元路市场建设、水果批发市场，虎子岩家禽批发市场。</w:t>
      </w:r>
    </w:p>
    <w:p>
      <w:pPr>
        <w:pStyle w:val="11"/>
        <w:ind w:firstLine="600"/>
        <w:rPr>
          <w:rFonts w:ascii="仿宋" w:hAnsi="仿宋" w:eastAsia="仿宋"/>
          <w:sz w:val="30"/>
          <w:szCs w:val="30"/>
        </w:rPr>
      </w:pPr>
      <w:r>
        <w:rPr>
          <w:rFonts w:hint="eastAsia" w:ascii="仿宋" w:hAnsi="仿宋" w:eastAsia="仿宋"/>
          <w:sz w:val="30"/>
          <w:szCs w:val="30"/>
        </w:rPr>
        <w:t>三、部门整体支出管理情况</w:t>
      </w:r>
    </w:p>
    <w:p>
      <w:pPr>
        <w:pStyle w:val="11"/>
        <w:ind w:left="420" w:firstLine="0" w:firstLineChars="0"/>
        <w:rPr>
          <w:rFonts w:ascii="仿宋" w:hAnsi="仿宋" w:eastAsia="仿宋"/>
          <w:sz w:val="30"/>
          <w:szCs w:val="30"/>
        </w:rPr>
      </w:pPr>
      <w:r>
        <w:rPr>
          <w:rFonts w:hint="eastAsia" w:ascii="仿宋" w:hAnsi="仿宋" w:eastAsia="仿宋"/>
          <w:sz w:val="30"/>
          <w:szCs w:val="30"/>
        </w:rPr>
        <w:t>（一）、建章建制，制度建立完善</w:t>
      </w:r>
    </w:p>
    <w:p>
      <w:pPr>
        <w:pStyle w:val="11"/>
        <w:ind w:firstLine="0" w:firstLineChars="0"/>
        <w:rPr>
          <w:rFonts w:ascii="仿宋" w:hAnsi="仿宋" w:eastAsia="仿宋"/>
          <w:sz w:val="30"/>
          <w:szCs w:val="30"/>
        </w:rPr>
      </w:pPr>
      <w:r>
        <w:rPr>
          <w:rFonts w:hint="eastAsia" w:ascii="仿宋" w:hAnsi="仿宋" w:eastAsia="仿宋"/>
          <w:sz w:val="30"/>
          <w:szCs w:val="30"/>
        </w:rPr>
        <w:t>根据《会计法》、《预算法》、《事业单位会计制度》等法律和财政有关财务制度规章的规定，道县市场服务中心先后制定了《财务管理办法》、《道县市场服务中心收支管理制度》、</w:t>
      </w:r>
    </w:p>
    <w:p>
      <w:pPr>
        <w:pStyle w:val="11"/>
        <w:ind w:firstLine="0" w:firstLineChars="0"/>
        <w:rPr>
          <w:rFonts w:ascii="仿宋" w:hAnsi="仿宋" w:eastAsia="仿宋"/>
          <w:sz w:val="30"/>
          <w:szCs w:val="30"/>
        </w:rPr>
      </w:pPr>
      <w:r>
        <w:rPr>
          <w:rFonts w:hint="eastAsia" w:ascii="仿宋" w:hAnsi="仿宋" w:eastAsia="仿宋"/>
          <w:sz w:val="30"/>
          <w:szCs w:val="30"/>
        </w:rPr>
        <w:t>《道县市场服务中心资产管理制度》、《道县市场服务中心建设项目管理制度》、《道县市场服务中心预算管理制度》、《道县市场服务中心决策机制制度》、《道县市场服务中心内部控制规范》等制度，制度明确了经费审批规定及程序，经费预算、核算管理、资产购置与处置、财务监督等，针对“三公”经费建立公用经费标准定额体系，开展公用经费使用监督和绩效评估，领导重视，员工参与，制度建立完善。</w:t>
      </w:r>
    </w:p>
    <w:p>
      <w:pPr>
        <w:pStyle w:val="11"/>
        <w:ind w:firstLine="600"/>
        <w:rPr>
          <w:rFonts w:ascii="仿宋" w:hAnsi="仿宋" w:eastAsia="仿宋"/>
          <w:sz w:val="30"/>
          <w:szCs w:val="30"/>
        </w:rPr>
      </w:pPr>
      <w:r>
        <w:rPr>
          <w:rFonts w:hint="eastAsia" w:ascii="仿宋" w:hAnsi="仿宋" w:eastAsia="仿宋"/>
          <w:sz w:val="30"/>
          <w:szCs w:val="30"/>
        </w:rPr>
        <w:t>（二）、制度执行比较到位，提高了资金使用效益</w:t>
      </w:r>
    </w:p>
    <w:p>
      <w:pPr>
        <w:pStyle w:val="11"/>
        <w:ind w:firstLine="600"/>
        <w:rPr>
          <w:rFonts w:ascii="仿宋" w:hAnsi="仿宋" w:eastAsia="仿宋"/>
          <w:sz w:val="30"/>
          <w:szCs w:val="30"/>
        </w:rPr>
      </w:pPr>
      <w:r>
        <w:rPr>
          <w:rFonts w:hint="eastAsia" w:ascii="仿宋" w:hAnsi="仿宋" w:eastAsia="仿宋"/>
          <w:sz w:val="30"/>
          <w:szCs w:val="30"/>
        </w:rPr>
        <w:t>2018年度加强了财务管理，落实厉行节约的各项规定，“三公”经费实现了有效压缩。</w:t>
      </w:r>
    </w:p>
    <w:p>
      <w:pPr>
        <w:pStyle w:val="11"/>
        <w:ind w:firstLine="600"/>
        <w:rPr>
          <w:rFonts w:ascii="仿宋" w:hAnsi="仿宋" w:eastAsia="仿宋"/>
          <w:sz w:val="30"/>
          <w:szCs w:val="30"/>
        </w:rPr>
      </w:pPr>
      <w:r>
        <w:rPr>
          <w:rFonts w:hint="eastAsia" w:ascii="仿宋" w:hAnsi="仿宋" w:eastAsia="仿宋"/>
          <w:sz w:val="30"/>
          <w:szCs w:val="30"/>
        </w:rPr>
        <w:t>2018年度的“三公”经费中，无因公出国（境）费用，无和公务用车购置及运行费，公务接待与上年度有所下降，2018年度“三公”经费预算支出22.8万元（其中:公务接待费182000元，公务用车运行维护费45000元），2018年“三公”经费实际支出4.3483万元,其中公务接待费4.3483万元。</w:t>
      </w:r>
    </w:p>
    <w:p>
      <w:pPr>
        <w:pStyle w:val="11"/>
        <w:numPr>
          <w:ilvl w:val="0"/>
          <w:numId w:val="5"/>
        </w:numPr>
        <w:ind w:firstLineChars="0"/>
        <w:rPr>
          <w:rFonts w:ascii="仿宋" w:hAnsi="仿宋" w:eastAsia="仿宋"/>
          <w:sz w:val="30"/>
          <w:szCs w:val="30"/>
        </w:rPr>
      </w:pPr>
      <w:r>
        <w:rPr>
          <w:rFonts w:hint="eastAsia" w:ascii="仿宋" w:hAnsi="仿宋" w:eastAsia="仿宋"/>
          <w:sz w:val="30"/>
          <w:szCs w:val="30"/>
        </w:rPr>
        <w:t>部门整体支出绩效情况</w:t>
      </w:r>
    </w:p>
    <w:p>
      <w:pPr>
        <w:pStyle w:val="11"/>
        <w:ind w:firstLine="600"/>
        <w:rPr>
          <w:rFonts w:ascii="仿宋" w:hAnsi="仿宋" w:eastAsia="仿宋"/>
          <w:sz w:val="30"/>
          <w:szCs w:val="30"/>
        </w:rPr>
      </w:pPr>
      <w:r>
        <w:rPr>
          <w:rFonts w:hint="eastAsia" w:ascii="仿宋" w:hAnsi="仿宋" w:eastAsia="仿宋"/>
          <w:sz w:val="30"/>
          <w:szCs w:val="30"/>
        </w:rPr>
        <w:t>1经济性：严格按照中心指定的各项相关制度，各项日常支出年前预算，在使用过程中适当调控，厉行节约，专项资金专款专用，确保用到实处，确保了单位工作的正常运转，确保各个市场的正常经营运转，稳定了全县人民的基本生活。</w:t>
      </w:r>
    </w:p>
    <w:p>
      <w:pPr>
        <w:pStyle w:val="11"/>
        <w:ind w:firstLine="600"/>
        <w:rPr>
          <w:rFonts w:ascii="仿宋" w:hAnsi="仿宋" w:eastAsia="仿宋"/>
          <w:sz w:val="30"/>
          <w:szCs w:val="30"/>
        </w:rPr>
      </w:pPr>
      <w:r>
        <w:rPr>
          <w:rFonts w:hint="eastAsia" w:ascii="仿宋" w:hAnsi="仿宋" w:eastAsia="仿宋"/>
          <w:sz w:val="30"/>
          <w:szCs w:val="30"/>
        </w:rPr>
        <w:t>2效益性：项目资金投入10个市场的物业管理、水、电、保安及市场维修维护等建设，改善了10个市场周边居民的生产生活条件和生产环境。</w:t>
      </w:r>
    </w:p>
    <w:p>
      <w:pPr>
        <w:pStyle w:val="11"/>
        <w:ind w:firstLine="600"/>
        <w:rPr>
          <w:rFonts w:ascii="仿宋" w:hAnsi="仿宋" w:eastAsia="仿宋"/>
          <w:sz w:val="30"/>
          <w:szCs w:val="30"/>
        </w:rPr>
      </w:pPr>
      <w:r>
        <w:rPr>
          <w:rFonts w:hint="eastAsia" w:ascii="仿宋" w:hAnsi="仿宋" w:eastAsia="仿宋"/>
          <w:sz w:val="30"/>
          <w:szCs w:val="30"/>
        </w:rPr>
        <w:t>3、有效性：各个市场的改造有效的改善城市面貌，提升城市品质，畅通道路交通，有效维护宜居环境和切实保障食品安全，改善了全县居民的生活环境和生态环境。</w:t>
      </w:r>
    </w:p>
    <w:p>
      <w:pPr>
        <w:pStyle w:val="11"/>
        <w:ind w:firstLine="600"/>
        <w:rPr>
          <w:rFonts w:ascii="仿宋" w:hAnsi="仿宋" w:eastAsia="仿宋"/>
          <w:sz w:val="30"/>
          <w:szCs w:val="30"/>
        </w:rPr>
      </w:pPr>
      <w:r>
        <w:rPr>
          <w:rFonts w:hint="eastAsia" w:ascii="仿宋" w:hAnsi="仿宋" w:eastAsia="仿宋"/>
          <w:sz w:val="30"/>
          <w:szCs w:val="30"/>
        </w:rPr>
        <w:t>4、可持续性：不断的对市场建设设施的完善，增强发展潜力，促进相关产业聚集，加快商品流通，增加经济收入，继续把市场卫生、市场秩序、公共用电用水等服务加强，市场的管理加强让百姓放心居民舒心，争创省市文明卫生市场。</w:t>
      </w:r>
    </w:p>
    <w:p>
      <w:pPr>
        <w:pStyle w:val="11"/>
        <w:ind w:firstLine="600"/>
        <w:rPr>
          <w:rFonts w:ascii="仿宋" w:hAnsi="仿宋" w:eastAsia="仿宋"/>
          <w:sz w:val="30"/>
          <w:szCs w:val="30"/>
        </w:rPr>
      </w:pPr>
      <w:r>
        <w:rPr>
          <w:rFonts w:hint="eastAsia" w:ascii="仿宋" w:hAnsi="仿宋" w:eastAsia="仿宋"/>
          <w:sz w:val="30"/>
          <w:szCs w:val="30"/>
        </w:rPr>
        <w:t>5、结合《部门整体支出绩效评价指标》评价得分86分（见附件）的评价结果。</w:t>
      </w:r>
    </w:p>
    <w:p>
      <w:pPr>
        <w:pStyle w:val="11"/>
        <w:ind w:firstLine="600"/>
        <w:rPr>
          <w:rFonts w:ascii="仿宋" w:hAnsi="仿宋" w:eastAsia="仿宋"/>
          <w:sz w:val="30"/>
          <w:szCs w:val="30"/>
        </w:rPr>
      </w:pPr>
      <w:r>
        <w:rPr>
          <w:rFonts w:hint="eastAsia" w:ascii="仿宋" w:hAnsi="仿宋" w:eastAsia="仿宋"/>
          <w:sz w:val="30"/>
          <w:szCs w:val="30"/>
        </w:rPr>
        <w:t>五、存在的主要问题</w:t>
      </w:r>
    </w:p>
    <w:p>
      <w:pPr>
        <w:pStyle w:val="11"/>
        <w:ind w:firstLine="600"/>
        <w:rPr>
          <w:rFonts w:ascii="仿宋" w:hAnsi="仿宋" w:eastAsia="仿宋"/>
          <w:sz w:val="30"/>
          <w:szCs w:val="30"/>
        </w:rPr>
      </w:pPr>
      <w:r>
        <w:rPr>
          <w:rFonts w:hint="eastAsia" w:ascii="仿宋" w:hAnsi="仿宋" w:eastAsia="仿宋"/>
          <w:sz w:val="30"/>
          <w:szCs w:val="30"/>
        </w:rPr>
        <w:t>作为自收自支的公益性事业单位，收入少，支出大，资金周转困难，日常保障和维护难以维持，新增项目无资金投入。</w:t>
      </w:r>
    </w:p>
    <w:p>
      <w:pPr>
        <w:pStyle w:val="11"/>
        <w:ind w:firstLine="600"/>
        <w:rPr>
          <w:rFonts w:ascii="仿宋" w:hAnsi="仿宋" w:eastAsia="仿宋"/>
          <w:sz w:val="30"/>
          <w:szCs w:val="30"/>
        </w:rPr>
      </w:pPr>
      <w:r>
        <w:rPr>
          <w:rFonts w:hint="eastAsia" w:ascii="仿宋" w:hAnsi="仿宋" w:eastAsia="仿宋"/>
          <w:sz w:val="30"/>
          <w:szCs w:val="30"/>
        </w:rPr>
        <w:t>六、改进措施和有关建议</w:t>
      </w:r>
    </w:p>
    <w:p>
      <w:pPr>
        <w:pStyle w:val="11"/>
        <w:ind w:firstLine="600"/>
        <w:rPr>
          <w:rFonts w:ascii="仿宋" w:hAnsi="仿宋" w:eastAsia="仿宋"/>
          <w:sz w:val="30"/>
          <w:szCs w:val="30"/>
        </w:rPr>
      </w:pPr>
      <w:r>
        <w:rPr>
          <w:rFonts w:hint="eastAsia" w:ascii="仿宋" w:hAnsi="仿宋" w:eastAsia="仿宋"/>
          <w:sz w:val="30"/>
          <w:szCs w:val="30"/>
        </w:rPr>
        <w:t>1、规范财务处理，提高财务信息质量。严格按照财务制度规定执行财务核算，并结合实际情况，完整、准确地披露相关信息，做到决算与预算相衔接。</w:t>
      </w:r>
    </w:p>
    <w:p>
      <w:pPr>
        <w:pStyle w:val="11"/>
        <w:ind w:firstLine="750" w:firstLineChars="250"/>
        <w:rPr>
          <w:rFonts w:ascii="仿宋" w:hAnsi="仿宋" w:eastAsia="仿宋"/>
          <w:sz w:val="30"/>
          <w:szCs w:val="30"/>
        </w:rPr>
      </w:pPr>
      <w:r>
        <w:rPr>
          <w:rFonts w:hint="eastAsia" w:ascii="仿宋" w:hAnsi="仿宋" w:eastAsia="仿宋"/>
          <w:sz w:val="30"/>
          <w:szCs w:val="30"/>
        </w:rPr>
        <w:t>2、落实制度，进一步加强管理。</w:t>
      </w:r>
    </w:p>
    <w:p>
      <w:pPr>
        <w:pStyle w:val="11"/>
        <w:ind w:left="780" w:firstLine="0" w:firstLineChars="0"/>
        <w:rPr>
          <w:rFonts w:ascii="仿宋" w:hAnsi="仿宋" w:eastAsia="仿宋"/>
          <w:sz w:val="30"/>
          <w:szCs w:val="30"/>
        </w:rPr>
      </w:pPr>
    </w:p>
    <w:p>
      <w:pPr>
        <w:pStyle w:val="11"/>
        <w:ind w:firstLine="1050" w:firstLineChars="350"/>
        <w:rPr>
          <w:rFonts w:ascii="仿宋" w:hAnsi="仿宋" w:eastAsia="仿宋"/>
          <w:sz w:val="30"/>
          <w:szCs w:val="30"/>
        </w:rPr>
      </w:pPr>
    </w:p>
    <w:p>
      <w:pPr>
        <w:pStyle w:val="11"/>
        <w:ind w:firstLine="1050" w:firstLineChars="350"/>
        <w:rPr>
          <w:rFonts w:ascii="仿宋" w:hAnsi="仿宋" w:eastAsia="仿宋"/>
          <w:sz w:val="30"/>
          <w:szCs w:val="30"/>
        </w:rPr>
      </w:pPr>
    </w:p>
    <w:p>
      <w:pPr>
        <w:pStyle w:val="11"/>
        <w:ind w:firstLine="1050" w:firstLineChars="350"/>
        <w:rPr>
          <w:rFonts w:ascii="仿宋" w:hAnsi="仿宋" w:eastAsia="仿宋"/>
          <w:sz w:val="30"/>
          <w:szCs w:val="30"/>
        </w:rPr>
      </w:pPr>
      <w:r>
        <w:rPr>
          <w:rFonts w:hint="eastAsia" w:ascii="仿宋" w:hAnsi="仿宋" w:eastAsia="仿宋"/>
          <w:sz w:val="30"/>
          <w:szCs w:val="30"/>
        </w:rPr>
        <w:t xml:space="preserve">            </w:t>
      </w:r>
    </w:p>
    <w:p>
      <w:pPr>
        <w:pStyle w:val="11"/>
        <w:ind w:firstLine="1050" w:firstLineChars="350"/>
        <w:rPr>
          <w:rFonts w:ascii="仿宋" w:hAnsi="仿宋" w:eastAsia="仿宋"/>
          <w:sz w:val="30"/>
          <w:szCs w:val="30"/>
        </w:rPr>
      </w:pPr>
      <w:r>
        <w:rPr>
          <w:rFonts w:hint="eastAsia" w:ascii="仿宋" w:hAnsi="仿宋" w:eastAsia="仿宋"/>
          <w:sz w:val="30"/>
          <w:szCs w:val="30"/>
        </w:rPr>
        <w:t xml:space="preserve">                                      </w:t>
      </w:r>
    </w:p>
    <w:p>
      <w:pPr>
        <w:ind w:firstLine="640" w:firstLineChars="200"/>
        <w:jc w:val="center"/>
        <w:rPr>
          <w:rFonts w:asciiTheme="minorEastAsia" w:hAnsiTheme="minorEastAsia"/>
          <w:sz w:val="32"/>
          <w:szCs w:val="32"/>
        </w:rPr>
      </w:pPr>
    </w:p>
    <w:p>
      <w:pPr>
        <w:adjustRightInd w:val="0"/>
        <w:snapToGrid w:val="0"/>
        <w:spacing w:line="600" w:lineRule="exact"/>
        <w:ind w:firstLine="640" w:firstLineChars="200"/>
        <w:rPr>
          <w:rFonts w:asciiTheme="minorEastAsia" w:hAnsiTheme="minorEastAsia"/>
          <w:sz w:val="32"/>
          <w:szCs w:val="32"/>
        </w:rPr>
      </w:pPr>
    </w:p>
    <w:p>
      <w:pPr>
        <w:adjustRightInd w:val="0"/>
        <w:snapToGrid w:val="0"/>
        <w:spacing w:line="600" w:lineRule="exact"/>
        <w:ind w:firstLine="640" w:firstLineChars="200"/>
        <w:rPr>
          <w:rFonts w:asciiTheme="minorEastAsia" w:hAnsiTheme="minorEastAsia"/>
          <w:sz w:val="32"/>
          <w:szCs w:val="32"/>
        </w:rPr>
      </w:pPr>
    </w:p>
    <w:p>
      <w:pPr>
        <w:adjustRightInd w:val="0"/>
        <w:snapToGrid w:val="0"/>
        <w:spacing w:line="600" w:lineRule="exact"/>
        <w:ind w:right="640" w:firstLine="640" w:firstLineChars="200"/>
        <w:jc w:val="center"/>
        <w:rPr>
          <w:rFonts w:asciiTheme="minorEastAsia" w:hAnsiTheme="minorEastAsia"/>
          <w:sz w:val="32"/>
          <w:szCs w:val="32"/>
        </w:rPr>
      </w:pPr>
      <w:r>
        <w:rPr>
          <w:rFonts w:hint="eastAsia" w:asciiTheme="minorEastAsia" w:hAnsiTheme="minorEastAsia"/>
          <w:sz w:val="32"/>
          <w:szCs w:val="32"/>
        </w:rPr>
        <w:t xml:space="preserve">                   </w:t>
      </w:r>
    </w:p>
    <w:p>
      <w:pPr>
        <w:wordWrap w:val="0"/>
        <w:adjustRightInd w:val="0"/>
        <w:snapToGrid w:val="0"/>
        <w:spacing w:line="600" w:lineRule="exact"/>
        <w:ind w:right="640" w:firstLine="640" w:firstLineChars="200"/>
        <w:jc w:val="center"/>
        <w:rPr>
          <w:rFonts w:asciiTheme="minorEastAsia" w:hAnsiTheme="minorEastAsia"/>
          <w:sz w:val="32"/>
          <w:szCs w:val="32"/>
        </w:rPr>
      </w:pPr>
      <w:r>
        <w:rPr>
          <w:rFonts w:hint="eastAsia" w:asciiTheme="minorEastAsia" w:hAnsiTheme="minorEastAsia"/>
          <w:sz w:val="32"/>
          <w:szCs w:val="32"/>
        </w:rPr>
        <w:t xml:space="preserve">           </w:t>
      </w: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21437"/>
    <w:multiLevelType w:val="singleLevel"/>
    <w:tmpl w:val="92321437"/>
    <w:lvl w:ilvl="0" w:tentative="0">
      <w:start w:val="5"/>
      <w:numFmt w:val="decimal"/>
      <w:suff w:val="nothing"/>
      <w:lvlText w:val="%1、"/>
      <w:lvlJc w:val="left"/>
      <w:pPr>
        <w:ind w:left="960" w:firstLine="0"/>
      </w:pPr>
    </w:lvl>
  </w:abstractNum>
  <w:abstractNum w:abstractNumId="1">
    <w:nsid w:val="20FE60CA"/>
    <w:multiLevelType w:val="multilevel"/>
    <w:tmpl w:val="20FE60CA"/>
    <w:lvl w:ilvl="0" w:tentative="0">
      <w:start w:val="1"/>
      <w:numFmt w:val="japaneseCounting"/>
      <w:lvlText w:val="（%1）"/>
      <w:lvlJc w:val="left"/>
      <w:pPr>
        <w:ind w:left="1500" w:hanging="10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17D5615"/>
    <w:multiLevelType w:val="multilevel"/>
    <w:tmpl w:val="317D5615"/>
    <w:lvl w:ilvl="0" w:tentative="0">
      <w:start w:val="4"/>
      <w:numFmt w:val="japaneseCounting"/>
      <w:lvlText w:val="%1、"/>
      <w:lvlJc w:val="left"/>
      <w:pPr>
        <w:ind w:left="1020" w:hanging="72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FD40A25"/>
    <w:multiLevelType w:val="multilevel"/>
    <w:tmpl w:val="5FD40A25"/>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2229B"/>
    <w:rsid w:val="00026141"/>
    <w:rsid w:val="000273BD"/>
    <w:rsid w:val="000415B7"/>
    <w:rsid w:val="000658A3"/>
    <w:rsid w:val="00074155"/>
    <w:rsid w:val="000908AC"/>
    <w:rsid w:val="000A3F69"/>
    <w:rsid w:val="000C788B"/>
    <w:rsid w:val="000D43EA"/>
    <w:rsid w:val="001079A8"/>
    <w:rsid w:val="001113E7"/>
    <w:rsid w:val="00117ADE"/>
    <w:rsid w:val="00131125"/>
    <w:rsid w:val="00131C2D"/>
    <w:rsid w:val="00150F6D"/>
    <w:rsid w:val="00152C6D"/>
    <w:rsid w:val="00162D39"/>
    <w:rsid w:val="00175592"/>
    <w:rsid w:val="001755BB"/>
    <w:rsid w:val="00183895"/>
    <w:rsid w:val="001A67DB"/>
    <w:rsid w:val="001A7A08"/>
    <w:rsid w:val="001A7BDC"/>
    <w:rsid w:val="001D51E5"/>
    <w:rsid w:val="001F0C3B"/>
    <w:rsid w:val="0020605C"/>
    <w:rsid w:val="00214427"/>
    <w:rsid w:val="00225B64"/>
    <w:rsid w:val="00230372"/>
    <w:rsid w:val="00234CA5"/>
    <w:rsid w:val="00242F2A"/>
    <w:rsid w:val="00260123"/>
    <w:rsid w:val="002608B1"/>
    <w:rsid w:val="00265724"/>
    <w:rsid w:val="0027426B"/>
    <w:rsid w:val="00277ECC"/>
    <w:rsid w:val="00285462"/>
    <w:rsid w:val="002C2B30"/>
    <w:rsid w:val="002F1053"/>
    <w:rsid w:val="0030621D"/>
    <w:rsid w:val="003218E7"/>
    <w:rsid w:val="00343DFE"/>
    <w:rsid w:val="003479BD"/>
    <w:rsid w:val="003510C5"/>
    <w:rsid w:val="003768D5"/>
    <w:rsid w:val="003826EF"/>
    <w:rsid w:val="003B70DD"/>
    <w:rsid w:val="003D0D78"/>
    <w:rsid w:val="003F776E"/>
    <w:rsid w:val="00404A1D"/>
    <w:rsid w:val="004151C9"/>
    <w:rsid w:val="00433563"/>
    <w:rsid w:val="004506F9"/>
    <w:rsid w:val="00465BA7"/>
    <w:rsid w:val="00470951"/>
    <w:rsid w:val="004717A2"/>
    <w:rsid w:val="00491741"/>
    <w:rsid w:val="00493B36"/>
    <w:rsid w:val="004B5C53"/>
    <w:rsid w:val="004B5D58"/>
    <w:rsid w:val="004E2BA4"/>
    <w:rsid w:val="004F52ED"/>
    <w:rsid w:val="00500E5F"/>
    <w:rsid w:val="005022F3"/>
    <w:rsid w:val="005122EF"/>
    <w:rsid w:val="00517C33"/>
    <w:rsid w:val="00523644"/>
    <w:rsid w:val="0054069E"/>
    <w:rsid w:val="00540DD0"/>
    <w:rsid w:val="005432FC"/>
    <w:rsid w:val="00545187"/>
    <w:rsid w:val="00552DCA"/>
    <w:rsid w:val="00554483"/>
    <w:rsid w:val="005718CC"/>
    <w:rsid w:val="005767CC"/>
    <w:rsid w:val="0058038F"/>
    <w:rsid w:val="00590D9F"/>
    <w:rsid w:val="00595D26"/>
    <w:rsid w:val="005972AD"/>
    <w:rsid w:val="005A0F74"/>
    <w:rsid w:val="005A3A68"/>
    <w:rsid w:val="005A74E6"/>
    <w:rsid w:val="005D4D54"/>
    <w:rsid w:val="005D4D55"/>
    <w:rsid w:val="005E16A4"/>
    <w:rsid w:val="005E2CFB"/>
    <w:rsid w:val="005F4971"/>
    <w:rsid w:val="00611FF7"/>
    <w:rsid w:val="0062378F"/>
    <w:rsid w:val="00630146"/>
    <w:rsid w:val="00651EEC"/>
    <w:rsid w:val="0066396C"/>
    <w:rsid w:val="00671666"/>
    <w:rsid w:val="006A351B"/>
    <w:rsid w:val="006B0422"/>
    <w:rsid w:val="006B4A38"/>
    <w:rsid w:val="006B61FF"/>
    <w:rsid w:val="006C1B53"/>
    <w:rsid w:val="006D2100"/>
    <w:rsid w:val="006D7730"/>
    <w:rsid w:val="006E5284"/>
    <w:rsid w:val="006F3EB5"/>
    <w:rsid w:val="00700096"/>
    <w:rsid w:val="00700DB0"/>
    <w:rsid w:val="00701288"/>
    <w:rsid w:val="00702E34"/>
    <w:rsid w:val="00704395"/>
    <w:rsid w:val="007149FA"/>
    <w:rsid w:val="00720FF1"/>
    <w:rsid w:val="00732BE7"/>
    <w:rsid w:val="007461E2"/>
    <w:rsid w:val="0076598D"/>
    <w:rsid w:val="0076782D"/>
    <w:rsid w:val="0078216C"/>
    <w:rsid w:val="007A36FD"/>
    <w:rsid w:val="007D21D9"/>
    <w:rsid w:val="007D6660"/>
    <w:rsid w:val="007D6CF6"/>
    <w:rsid w:val="00812ED5"/>
    <w:rsid w:val="0082075C"/>
    <w:rsid w:val="008277D9"/>
    <w:rsid w:val="008638F5"/>
    <w:rsid w:val="00873E2F"/>
    <w:rsid w:val="00881C5C"/>
    <w:rsid w:val="008A3E8D"/>
    <w:rsid w:val="008A6166"/>
    <w:rsid w:val="008D236C"/>
    <w:rsid w:val="008D3AEF"/>
    <w:rsid w:val="008D728B"/>
    <w:rsid w:val="008E33FF"/>
    <w:rsid w:val="009072C0"/>
    <w:rsid w:val="0091709D"/>
    <w:rsid w:val="009237C4"/>
    <w:rsid w:val="00925C11"/>
    <w:rsid w:val="009260DB"/>
    <w:rsid w:val="00932F60"/>
    <w:rsid w:val="00950252"/>
    <w:rsid w:val="00961FFF"/>
    <w:rsid w:val="00967F5D"/>
    <w:rsid w:val="00984A58"/>
    <w:rsid w:val="009A0F95"/>
    <w:rsid w:val="009B33DE"/>
    <w:rsid w:val="009B3ADF"/>
    <w:rsid w:val="009C3B52"/>
    <w:rsid w:val="009C5356"/>
    <w:rsid w:val="009D6D6A"/>
    <w:rsid w:val="00A06B9D"/>
    <w:rsid w:val="00A175A6"/>
    <w:rsid w:val="00A27862"/>
    <w:rsid w:val="00A352F8"/>
    <w:rsid w:val="00A42218"/>
    <w:rsid w:val="00A51F0B"/>
    <w:rsid w:val="00A53746"/>
    <w:rsid w:val="00A540A9"/>
    <w:rsid w:val="00A55F09"/>
    <w:rsid w:val="00A70249"/>
    <w:rsid w:val="00A846AE"/>
    <w:rsid w:val="00A84D0B"/>
    <w:rsid w:val="00AF225E"/>
    <w:rsid w:val="00AF27C2"/>
    <w:rsid w:val="00AF554D"/>
    <w:rsid w:val="00AF7D8B"/>
    <w:rsid w:val="00B0269E"/>
    <w:rsid w:val="00B14D97"/>
    <w:rsid w:val="00B151CF"/>
    <w:rsid w:val="00B16E25"/>
    <w:rsid w:val="00B24352"/>
    <w:rsid w:val="00B31FCD"/>
    <w:rsid w:val="00B33BEA"/>
    <w:rsid w:val="00B423A2"/>
    <w:rsid w:val="00B525BD"/>
    <w:rsid w:val="00B57C9F"/>
    <w:rsid w:val="00B845B3"/>
    <w:rsid w:val="00B85D8B"/>
    <w:rsid w:val="00BA27A5"/>
    <w:rsid w:val="00BA74DF"/>
    <w:rsid w:val="00BC148F"/>
    <w:rsid w:val="00BE3674"/>
    <w:rsid w:val="00BE691D"/>
    <w:rsid w:val="00C22EED"/>
    <w:rsid w:val="00C3049A"/>
    <w:rsid w:val="00C31B1E"/>
    <w:rsid w:val="00C34D05"/>
    <w:rsid w:val="00C364BF"/>
    <w:rsid w:val="00C75832"/>
    <w:rsid w:val="00C76793"/>
    <w:rsid w:val="00C77645"/>
    <w:rsid w:val="00C97B58"/>
    <w:rsid w:val="00CA69E7"/>
    <w:rsid w:val="00CB7B49"/>
    <w:rsid w:val="00CD078A"/>
    <w:rsid w:val="00CD376D"/>
    <w:rsid w:val="00CD6132"/>
    <w:rsid w:val="00CE04C3"/>
    <w:rsid w:val="00CE76A0"/>
    <w:rsid w:val="00CF19B8"/>
    <w:rsid w:val="00CF2877"/>
    <w:rsid w:val="00D01C6D"/>
    <w:rsid w:val="00D03F77"/>
    <w:rsid w:val="00D13428"/>
    <w:rsid w:val="00D148C6"/>
    <w:rsid w:val="00D36710"/>
    <w:rsid w:val="00D448CA"/>
    <w:rsid w:val="00D55B3E"/>
    <w:rsid w:val="00D72029"/>
    <w:rsid w:val="00D92AC7"/>
    <w:rsid w:val="00DD06FF"/>
    <w:rsid w:val="00DD5FE9"/>
    <w:rsid w:val="00DD7DF2"/>
    <w:rsid w:val="00DE0797"/>
    <w:rsid w:val="00DE5F3A"/>
    <w:rsid w:val="00DF6E4F"/>
    <w:rsid w:val="00E00C7A"/>
    <w:rsid w:val="00E05ACE"/>
    <w:rsid w:val="00E12993"/>
    <w:rsid w:val="00E176CF"/>
    <w:rsid w:val="00E17F1C"/>
    <w:rsid w:val="00E261E0"/>
    <w:rsid w:val="00E44672"/>
    <w:rsid w:val="00E45293"/>
    <w:rsid w:val="00E46C94"/>
    <w:rsid w:val="00E55B68"/>
    <w:rsid w:val="00E75C5C"/>
    <w:rsid w:val="00E935E0"/>
    <w:rsid w:val="00EA7420"/>
    <w:rsid w:val="00ED5365"/>
    <w:rsid w:val="00F15B20"/>
    <w:rsid w:val="00F223D7"/>
    <w:rsid w:val="00F65CED"/>
    <w:rsid w:val="00F74360"/>
    <w:rsid w:val="00F953A6"/>
    <w:rsid w:val="00FA771F"/>
    <w:rsid w:val="00FB31DE"/>
    <w:rsid w:val="00FB462F"/>
    <w:rsid w:val="00FD435D"/>
    <w:rsid w:val="00FE16FA"/>
    <w:rsid w:val="00FE328A"/>
    <w:rsid w:val="01B20A7D"/>
    <w:rsid w:val="01F77886"/>
    <w:rsid w:val="02BA26A1"/>
    <w:rsid w:val="03E10634"/>
    <w:rsid w:val="0427758C"/>
    <w:rsid w:val="04F13DA9"/>
    <w:rsid w:val="06F95807"/>
    <w:rsid w:val="07BD35E1"/>
    <w:rsid w:val="08CC318E"/>
    <w:rsid w:val="09AD7FB8"/>
    <w:rsid w:val="09FD02F9"/>
    <w:rsid w:val="0A621BC2"/>
    <w:rsid w:val="0AED232C"/>
    <w:rsid w:val="0D35691A"/>
    <w:rsid w:val="114C0B25"/>
    <w:rsid w:val="11771420"/>
    <w:rsid w:val="1208440C"/>
    <w:rsid w:val="132D1724"/>
    <w:rsid w:val="13B07B71"/>
    <w:rsid w:val="14B52EFD"/>
    <w:rsid w:val="16503122"/>
    <w:rsid w:val="169C40AD"/>
    <w:rsid w:val="181F06FB"/>
    <w:rsid w:val="1887760E"/>
    <w:rsid w:val="1A481D1C"/>
    <w:rsid w:val="1C890B06"/>
    <w:rsid w:val="1DA21AC5"/>
    <w:rsid w:val="1E133ED0"/>
    <w:rsid w:val="2192597D"/>
    <w:rsid w:val="23BA38A1"/>
    <w:rsid w:val="2480386A"/>
    <w:rsid w:val="25F04B7D"/>
    <w:rsid w:val="260D6A2B"/>
    <w:rsid w:val="26455B20"/>
    <w:rsid w:val="29142B8B"/>
    <w:rsid w:val="29E273FC"/>
    <w:rsid w:val="2A7E5EA2"/>
    <w:rsid w:val="2B45488D"/>
    <w:rsid w:val="31270105"/>
    <w:rsid w:val="31E60522"/>
    <w:rsid w:val="32CA0762"/>
    <w:rsid w:val="32DB3FA9"/>
    <w:rsid w:val="339D2ADC"/>
    <w:rsid w:val="36CD20E8"/>
    <w:rsid w:val="36D456FD"/>
    <w:rsid w:val="36D96B9B"/>
    <w:rsid w:val="37531B06"/>
    <w:rsid w:val="37DA6403"/>
    <w:rsid w:val="385400DF"/>
    <w:rsid w:val="388059D8"/>
    <w:rsid w:val="38CA20E7"/>
    <w:rsid w:val="3A53059F"/>
    <w:rsid w:val="3DAD4091"/>
    <w:rsid w:val="3E31511F"/>
    <w:rsid w:val="412851EE"/>
    <w:rsid w:val="4133388C"/>
    <w:rsid w:val="422F3119"/>
    <w:rsid w:val="42922388"/>
    <w:rsid w:val="43B84A2C"/>
    <w:rsid w:val="43F34E39"/>
    <w:rsid w:val="451670BD"/>
    <w:rsid w:val="4576326E"/>
    <w:rsid w:val="46EC7B6F"/>
    <w:rsid w:val="487E2C0C"/>
    <w:rsid w:val="4ACA561D"/>
    <w:rsid w:val="4B18696B"/>
    <w:rsid w:val="528D06C5"/>
    <w:rsid w:val="54924387"/>
    <w:rsid w:val="562C75B0"/>
    <w:rsid w:val="56BC7051"/>
    <w:rsid w:val="57483B74"/>
    <w:rsid w:val="57F3767D"/>
    <w:rsid w:val="58A76859"/>
    <w:rsid w:val="58BE30DF"/>
    <w:rsid w:val="59DA371A"/>
    <w:rsid w:val="5B637F1F"/>
    <w:rsid w:val="5C1346FC"/>
    <w:rsid w:val="5C4A4602"/>
    <w:rsid w:val="5CA50B92"/>
    <w:rsid w:val="5E980623"/>
    <w:rsid w:val="5EF85F38"/>
    <w:rsid w:val="5F3D0531"/>
    <w:rsid w:val="5F7110C8"/>
    <w:rsid w:val="60580E37"/>
    <w:rsid w:val="61102E3F"/>
    <w:rsid w:val="63103A2B"/>
    <w:rsid w:val="64277697"/>
    <w:rsid w:val="64366967"/>
    <w:rsid w:val="64F021DB"/>
    <w:rsid w:val="65221B21"/>
    <w:rsid w:val="69B628AB"/>
    <w:rsid w:val="69B97F17"/>
    <w:rsid w:val="6AB94D87"/>
    <w:rsid w:val="704C3A3A"/>
    <w:rsid w:val="710A5299"/>
    <w:rsid w:val="7322295E"/>
    <w:rsid w:val="735E1137"/>
    <w:rsid w:val="77FD51FC"/>
    <w:rsid w:val="78875146"/>
    <w:rsid w:val="7A2C09B6"/>
    <w:rsid w:val="7ADE7588"/>
    <w:rsid w:val="7B7E079B"/>
    <w:rsid w:val="7CEC4D12"/>
    <w:rsid w:val="7EAF3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99"/>
    <w:pPr>
      <w:ind w:firstLine="420" w:firstLineChars="200"/>
    </w:p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C4CA80-9826-4D00-BD89-DA1359216B0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2060</Words>
  <Characters>11748</Characters>
  <Lines>97</Lines>
  <Paragraphs>27</Paragraphs>
  <TotalTime>180</TotalTime>
  <ScaleCrop>false</ScaleCrop>
  <LinksUpToDate>false</LinksUpToDate>
  <CharactersWithSpaces>13781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杨慈良</cp:lastModifiedBy>
  <cp:lastPrinted>2021-06-04T01:30:00Z</cp:lastPrinted>
  <dcterms:modified xsi:type="dcterms:W3CDTF">2021-06-17T06:39:07Z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9B09E64EE2474F2C8BD579C1705066E2</vt:lpwstr>
  </property>
</Properties>
</file>