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tabs>
          <w:tab w:val="left" w:pos="1127"/>
        </w:tabs>
        <w:jc w:val="left"/>
        <w:rPr>
          <w:rFonts w:hint="eastAsia" w:ascii="Times New Roman" w:hAnsi="Times New Roman" w:eastAsia="宋体" w:cs="Times New Roman"/>
          <w:b/>
          <w:bCs/>
          <w:kern w:val="0"/>
          <w:sz w:val="44"/>
          <w:szCs w:val="44"/>
          <w:lang w:eastAsia="zh-CN"/>
        </w:rPr>
      </w:pPr>
    </w:p>
    <w:p>
      <w:pPr>
        <w:pStyle w:val="10"/>
        <w:jc w:val="center"/>
        <w:rPr>
          <w:sz w:val="84"/>
          <w:szCs w:val="84"/>
        </w:rPr>
      </w:pPr>
      <w:r>
        <w:rPr>
          <w:rFonts w:hint="eastAsia"/>
          <w:sz w:val="84"/>
          <w:szCs w:val="84"/>
        </w:rPr>
        <w:t>201</w:t>
      </w:r>
      <w:r>
        <w:rPr>
          <w:rFonts w:hint="eastAsia"/>
          <w:sz w:val="84"/>
          <w:szCs w:val="84"/>
          <w:lang w:val="en-US" w:eastAsia="zh-CN"/>
        </w:rPr>
        <w:t>8</w:t>
      </w:r>
      <w:r>
        <w:rPr>
          <w:rFonts w:hint="eastAsia"/>
          <w:sz w:val="84"/>
          <w:szCs w:val="84"/>
        </w:rPr>
        <w:t>年度</w:t>
      </w:r>
    </w:p>
    <w:p>
      <w:pPr>
        <w:pStyle w:val="10"/>
        <w:jc w:val="center"/>
        <w:rPr>
          <w:rFonts w:hint="eastAsia" w:ascii="Times New Roman" w:hAnsi="Times New Roman" w:eastAsia="方正小标宋_GBK" w:cs="Times New Roman"/>
          <w:bCs/>
          <w:kern w:val="0"/>
          <w:sz w:val="44"/>
          <w:szCs w:val="44"/>
        </w:rPr>
      </w:pPr>
      <w:r>
        <w:rPr>
          <w:rFonts w:hint="eastAsia"/>
          <w:sz w:val="84"/>
          <w:szCs w:val="84"/>
          <w:lang w:eastAsia="zh-CN"/>
        </w:rPr>
        <w:t>道县种子技术推广服务站</w:t>
      </w:r>
      <w:r>
        <w:rPr>
          <w:rFonts w:hint="eastAsia"/>
          <w:sz w:val="84"/>
          <w:szCs w:val="84"/>
        </w:rPr>
        <w:t>单位部门决算</w:t>
      </w:r>
    </w:p>
    <w:p>
      <w:pPr>
        <w:widowControl/>
        <w:jc w:val="center"/>
        <w:rPr>
          <w:rFonts w:hint="eastAsia" w:ascii="黑体" w:eastAsia="黑体" w:cs="黑体" w:hAnsiTheme="minorHAnsi"/>
          <w:color w:val="000000"/>
          <w:kern w:val="0"/>
          <w:sz w:val="56"/>
          <w:szCs w:val="56"/>
          <w:lang w:val="en-US" w:eastAsia="zh-CN" w:bidi="ar-SA"/>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道县种子技术推广服务站</w:t>
      </w:r>
      <w:r>
        <w:rPr>
          <w:rFonts w:hint="eastAsia"/>
          <w:b/>
          <w:sz w:val="28"/>
          <w:szCs w:val="28"/>
        </w:rPr>
        <w:t>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201</w:t>
      </w:r>
      <w:r>
        <w:rPr>
          <w:rFonts w:hint="eastAsia" w:hAnsi="仿宋_GB2312"/>
          <w:b/>
          <w:sz w:val="28"/>
          <w:szCs w:val="28"/>
          <w:lang w:val="en-US" w:eastAsia="zh-CN"/>
        </w:rPr>
        <w:t>8</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1</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部门收支</w:t>
      </w:r>
      <w:r>
        <w:rPr>
          <w:rFonts w:cs="仿宋_GB2312" w:asciiTheme="minorEastAsia" w:hAnsiTheme="minorEastAsia" w:eastAsiaTheme="minorEastAsia"/>
          <w:sz w:val="28"/>
          <w:szCs w:val="28"/>
        </w:rPr>
        <w:t>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3、</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4</w:t>
      </w:r>
      <w:r>
        <w:rPr>
          <w:rFonts w:cs="仿宋_GB2312" w:asciiTheme="minorEastAsia" w:hAnsiTheme="minorEastAsia" w:eastAsiaTheme="minorEastAsia"/>
          <w:sz w:val="28"/>
          <w:szCs w:val="28"/>
        </w:rPr>
        <w:t>、财政拨款收入支出决算总表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5</w:t>
      </w:r>
      <w:r>
        <w:rPr>
          <w:rFonts w:cs="仿宋_GB2312" w:asciiTheme="minorEastAsia" w:hAnsiTheme="minorEastAsia" w:eastAsiaTheme="minorEastAsia"/>
          <w:sz w:val="28"/>
          <w:szCs w:val="28"/>
        </w:rPr>
        <w:t>、一般公共预算财政拨款支出决算表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6</w:t>
      </w:r>
      <w:r>
        <w:rPr>
          <w:rFonts w:cs="仿宋_GB2312" w:asciiTheme="minorEastAsia" w:hAnsiTheme="minorEastAsia" w:eastAsiaTheme="minorEastAsia"/>
          <w:sz w:val="28"/>
          <w:szCs w:val="28"/>
        </w:rPr>
        <w:t>、一般公共预算财政拨款基本支出决算表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7</w:t>
      </w:r>
      <w:r>
        <w:rPr>
          <w:rFonts w:cs="仿宋_GB2312" w:asciiTheme="minorEastAsia" w:hAnsiTheme="minorEastAsia" w:eastAsiaTheme="minorEastAsia"/>
          <w:sz w:val="28"/>
          <w:szCs w:val="28"/>
        </w:rPr>
        <w:t>、一般公共预算财政拨款“三公”经费支出决算表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8</w:t>
      </w:r>
      <w:r>
        <w:rPr>
          <w:rFonts w:cs="仿宋_GB2312" w:asciiTheme="minorEastAsia" w:hAnsiTheme="minorEastAsia" w:eastAsiaTheme="minorEastAsia"/>
          <w:sz w:val="28"/>
          <w:szCs w:val="28"/>
        </w:rPr>
        <w:t>、政府性基金预算财政拨款收入支出决算表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201</w:t>
      </w:r>
      <w:r>
        <w:rPr>
          <w:rFonts w:hint="eastAsia" w:hAnsi="仿宋_GB2312"/>
          <w:b/>
          <w:sz w:val="28"/>
          <w:szCs w:val="28"/>
          <w:lang w:val="en-US" w:eastAsia="zh-CN"/>
        </w:rPr>
        <w:t>8</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1</w:t>
      </w:r>
      <w:r>
        <w:rPr>
          <w:rFonts w:cs="仿宋_GB2312" w:asciiTheme="minorEastAsia" w:hAnsiTheme="minorEastAsia" w:eastAsiaTheme="minorEastAsia"/>
          <w:sz w:val="28"/>
          <w:szCs w:val="28"/>
        </w:rPr>
        <w:t>、收入支出决算总体情况说明</w:t>
      </w:r>
    </w:p>
    <w:p>
      <w:pPr>
        <w:spacing w:line="52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lang w:val="en-US" w:eastAsia="zh-CN"/>
        </w:rPr>
        <w:t>2</w:t>
      </w:r>
      <w:r>
        <w:rPr>
          <w:rFonts w:ascii="仿宋_GB2312" w:hAnsi="仿宋_GB2312" w:cs="仿宋_GB2312"/>
          <w:sz w:val="28"/>
          <w:szCs w:val="28"/>
        </w:rPr>
        <w:t>、收入决算情况说明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3</w:t>
      </w:r>
      <w:r>
        <w:rPr>
          <w:rFonts w:ascii="仿宋_GB2312" w:hAnsi="仿宋_GB2312" w:cs="仿宋_GB2312"/>
          <w:color w:val="000000"/>
          <w:kern w:val="0"/>
          <w:sz w:val="28"/>
          <w:szCs w:val="28"/>
        </w:rPr>
        <w:t>、支出决算情况说明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4</w:t>
      </w:r>
      <w:r>
        <w:rPr>
          <w:rFonts w:ascii="仿宋_GB2312" w:hAnsi="仿宋_GB2312" w:cs="仿宋_GB2312"/>
          <w:color w:val="000000"/>
          <w:kern w:val="0"/>
          <w:sz w:val="28"/>
          <w:szCs w:val="28"/>
        </w:rPr>
        <w:t>、财政拨款收入支出决算总体情况说明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5</w:t>
      </w:r>
      <w:r>
        <w:rPr>
          <w:rFonts w:ascii="仿宋_GB2312" w:hAnsi="仿宋_GB2312" w:cs="仿宋_GB2312"/>
          <w:color w:val="000000"/>
          <w:kern w:val="0"/>
          <w:sz w:val="28"/>
          <w:szCs w:val="28"/>
        </w:rPr>
        <w:t>、一般公共预算财政拨款支出决算情况说明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6</w:t>
      </w:r>
      <w:r>
        <w:rPr>
          <w:rFonts w:ascii="仿宋_GB2312" w:hAnsi="仿宋_GB2312" w:cs="仿宋_GB2312"/>
          <w:color w:val="000000"/>
          <w:kern w:val="0"/>
          <w:sz w:val="28"/>
          <w:szCs w:val="28"/>
        </w:rPr>
        <w:t>、一般公共预算财政拨款基本支出决算情况说明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7</w:t>
      </w:r>
      <w:r>
        <w:rPr>
          <w:rFonts w:ascii="仿宋_GB2312" w:hAnsi="仿宋_GB2312" w:cs="仿宋_GB2312"/>
          <w:color w:val="000000"/>
          <w:kern w:val="0"/>
          <w:sz w:val="28"/>
          <w:szCs w:val="28"/>
        </w:rPr>
        <w:t>、一般公共预算财政拨款三公经费支出决算情况说明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8</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9</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val="en-US" w:eastAsia="zh-CN"/>
        </w:rPr>
        <w:t>10</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附件</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ind w:firstLine="1600" w:firstLineChars="500"/>
        <w:rPr>
          <w:rFonts w:ascii="Times New Roman" w:hAnsi="Times New Roman" w:eastAsia="黑体" w:cs="Times New Roman"/>
          <w:bCs/>
          <w:kern w:val="0"/>
          <w:sz w:val="32"/>
          <w:szCs w:val="32"/>
        </w:rPr>
      </w:pPr>
    </w:p>
    <w:p>
      <w:pPr>
        <w:widowControl/>
        <w:spacing w:line="600" w:lineRule="exact"/>
        <w:ind w:firstLine="1600" w:firstLineChars="5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rPr>
        <w:t>道县种子技术推广服务站</w:t>
      </w:r>
      <w:r>
        <w:rPr>
          <w:rFonts w:ascii="Times New Roman" w:hAnsi="Times New Roman" w:eastAsia="黑体" w:cs="Times New Roman"/>
          <w:bCs/>
          <w:kern w:val="0"/>
          <w:sz w:val="32"/>
          <w:szCs w:val="32"/>
        </w:rPr>
        <w:t>单位概况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一、部门职责</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根据道县人民政府办公室《道政办[2009]68号》文件规定，本单位主要工作职责是： </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1、负责全县农作物种子资源及农作新品种的保护和管理。</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2、负责全县种业从业人员的技术培训工作组织农作物种子的选育、引进试验及推广应用。</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3、负责全县农作物种子信息收集、整理与发布。</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二、机构设置</w:t>
      </w:r>
      <w:r>
        <w:rPr>
          <w:rFonts w:hint="eastAsia" w:ascii="仿宋_GB2312" w:hAnsi="仿宋_GB2312" w:cs="仿宋_GB2312"/>
          <w:color w:val="000000"/>
          <w:kern w:val="0"/>
          <w:sz w:val="28"/>
          <w:szCs w:val="28"/>
        </w:rPr>
        <w:t>及决算单位构成</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val="en-US" w:eastAsia="zh-CN"/>
        </w:rPr>
      </w:pPr>
      <w:r>
        <w:rPr>
          <w:rFonts w:hint="eastAsia" w:ascii="仿宋_GB2312" w:hAnsi="仿宋_GB2312" w:cs="仿宋_GB2312"/>
          <w:color w:val="000000"/>
          <w:kern w:val="0"/>
          <w:sz w:val="28"/>
          <w:szCs w:val="28"/>
        </w:rPr>
        <w:t>（一）内设机构设置。道县种子技术推广服务站内设办公室1个职能股室，下设蔬菜技术推广中心。事业编制</w:t>
      </w:r>
      <w:r>
        <w:rPr>
          <w:rFonts w:hint="eastAsia" w:ascii="仿宋_GB2312" w:hAnsi="仿宋_GB2312" w:cs="仿宋_GB2312"/>
          <w:color w:val="000000"/>
          <w:kern w:val="0"/>
          <w:sz w:val="28"/>
          <w:szCs w:val="28"/>
          <w:lang w:val="en-US" w:eastAsia="zh-CN"/>
        </w:rPr>
        <w:t>25</w:t>
      </w:r>
      <w:r>
        <w:rPr>
          <w:rFonts w:hint="eastAsia" w:ascii="仿宋_GB2312" w:hAnsi="仿宋_GB2312" w:cs="仿宋_GB2312"/>
          <w:color w:val="000000"/>
          <w:kern w:val="0"/>
          <w:sz w:val="28"/>
          <w:szCs w:val="28"/>
        </w:rPr>
        <w:t>人。</w:t>
      </w:r>
      <w:r>
        <w:rPr>
          <w:rFonts w:hint="eastAsia" w:ascii="仿宋_GB2312" w:hAnsi="仿宋_GB2312" w:cs="仿宋_GB2312"/>
          <w:color w:val="000000"/>
          <w:kern w:val="0"/>
          <w:sz w:val="28"/>
          <w:szCs w:val="28"/>
          <w:lang w:eastAsia="zh-CN"/>
        </w:rPr>
        <w:t>年终</w:t>
      </w:r>
      <w:r>
        <w:rPr>
          <w:rFonts w:hint="eastAsia" w:ascii="仿宋_GB2312" w:hAnsi="仿宋_GB2312" w:cs="仿宋_GB2312"/>
          <w:color w:val="000000"/>
          <w:kern w:val="0"/>
          <w:sz w:val="28"/>
          <w:szCs w:val="28"/>
        </w:rPr>
        <w:t>实有人数3</w:t>
      </w:r>
      <w:r>
        <w:rPr>
          <w:rFonts w:hint="eastAsia" w:ascii="仿宋_GB2312" w:hAnsi="仿宋_GB2312" w:cs="仿宋_GB2312"/>
          <w:color w:val="000000"/>
          <w:kern w:val="0"/>
          <w:sz w:val="28"/>
          <w:szCs w:val="28"/>
          <w:lang w:val="en-US" w:eastAsia="zh-CN"/>
        </w:rPr>
        <w:t>4</w:t>
      </w:r>
      <w:r>
        <w:rPr>
          <w:rFonts w:hint="eastAsia" w:ascii="仿宋_GB2312" w:hAnsi="仿宋_GB2312" w:cs="仿宋_GB2312"/>
          <w:color w:val="000000"/>
          <w:kern w:val="0"/>
          <w:sz w:val="28"/>
          <w:szCs w:val="28"/>
        </w:rPr>
        <w:t>人。</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（二）决算单位构成。道县种子技术推广服务站只有本级，没有其他二级预算单位，因此，纳入201</w:t>
      </w:r>
      <w:r>
        <w:rPr>
          <w:rFonts w:hint="eastAsia" w:ascii="仿宋_GB2312" w:hAnsi="仿宋_GB2312" w:cs="仿宋_GB2312"/>
          <w:color w:val="000000"/>
          <w:kern w:val="0"/>
          <w:sz w:val="28"/>
          <w:szCs w:val="28"/>
          <w:lang w:val="en-US" w:eastAsia="zh-CN"/>
        </w:rPr>
        <w:t>8</w:t>
      </w:r>
      <w:r>
        <w:rPr>
          <w:rFonts w:hint="eastAsia" w:ascii="仿宋_GB2312" w:hAnsi="仿宋_GB2312" w:cs="仿宋_GB2312"/>
          <w:color w:val="000000"/>
          <w:kern w:val="0"/>
          <w:sz w:val="28"/>
          <w:szCs w:val="28"/>
        </w:rPr>
        <w:t>年部门</w:t>
      </w:r>
      <w:r>
        <w:rPr>
          <w:rFonts w:hint="eastAsia" w:ascii="仿宋_GB2312" w:hAnsi="仿宋_GB2312" w:cs="仿宋_GB2312"/>
          <w:color w:val="000000"/>
          <w:kern w:val="0"/>
          <w:sz w:val="28"/>
          <w:szCs w:val="28"/>
          <w:lang w:eastAsia="zh-CN"/>
        </w:rPr>
        <w:t>决</w:t>
      </w:r>
      <w:r>
        <w:rPr>
          <w:rFonts w:hint="eastAsia" w:ascii="仿宋_GB2312" w:hAnsi="仿宋_GB2312" w:cs="仿宋_GB2312"/>
          <w:color w:val="000000"/>
          <w:kern w:val="0"/>
          <w:sz w:val="28"/>
          <w:szCs w:val="28"/>
        </w:rPr>
        <w:t>算编制范围的只有道县种子技术推广服务站本级。</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ind w:firstLine="1280" w:firstLineChars="400"/>
        <w:rPr>
          <w:rFonts w:ascii="Times New Roman" w:hAnsi="Times New Roman" w:eastAsia="黑体" w:cs="Times New Roman"/>
          <w:bCs/>
          <w:kern w:val="0"/>
          <w:sz w:val="32"/>
          <w:szCs w:val="32"/>
        </w:rPr>
      </w:pPr>
    </w:p>
    <w:p>
      <w:pPr>
        <w:widowControl/>
        <w:spacing w:line="600" w:lineRule="exact"/>
        <w:rPr>
          <w:rFonts w:ascii="Times New Roman" w:hAnsi="Times New Roman" w:eastAsia="黑体" w:cs="Times New Roman"/>
          <w:bCs/>
          <w:kern w:val="0"/>
          <w:sz w:val="32"/>
          <w:szCs w:val="32"/>
        </w:rPr>
      </w:pPr>
    </w:p>
    <w:p>
      <w:pPr>
        <w:numPr>
          <w:ilvl w:val="0"/>
          <w:numId w:val="1"/>
        </w:numPr>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部门决算表</w:t>
      </w:r>
    </w:p>
    <w:p>
      <w:pPr>
        <w:widowControl w:val="0"/>
        <w:numPr>
          <w:ilvl w:val="0"/>
          <w:numId w:val="0"/>
        </w:numPr>
        <w:jc w:val="center"/>
        <w:rPr>
          <w:rFonts w:ascii="Times New Roman" w:hAnsi="Times New Roman" w:eastAsia="黑体" w:cs="Times New Roman"/>
          <w:bCs/>
          <w:kern w:val="0"/>
          <w:sz w:val="32"/>
          <w:szCs w:val="32"/>
        </w:rPr>
      </w:pPr>
    </w:p>
    <w:p>
      <w:pPr>
        <w:widowControl w:val="0"/>
        <w:numPr>
          <w:ilvl w:val="0"/>
          <w:numId w:val="0"/>
        </w:numPr>
        <w:jc w:val="center"/>
        <w:rPr>
          <w:rFonts w:ascii="Times New Roman" w:hAnsi="Times New Roman" w:eastAsia="黑体" w:cs="Times New Roman"/>
          <w:bCs/>
          <w:kern w:val="0"/>
          <w:sz w:val="32"/>
          <w:szCs w:val="32"/>
        </w:rPr>
      </w:pPr>
    </w:p>
    <w:p>
      <w:pPr>
        <w:widowControl w:val="0"/>
        <w:numPr>
          <w:ilvl w:val="0"/>
          <w:numId w:val="0"/>
        </w:numPr>
        <w:jc w:val="center"/>
        <w:rPr>
          <w:rFonts w:ascii="Times New Roman" w:hAnsi="Times New Roman" w:eastAsia="黑体" w:cs="Times New Roman"/>
          <w:bCs/>
          <w:kern w:val="0"/>
          <w:sz w:val="32"/>
          <w:szCs w:val="32"/>
        </w:rPr>
      </w:pPr>
    </w:p>
    <w:p>
      <w:pPr>
        <w:widowControl w:val="0"/>
        <w:numPr>
          <w:ilvl w:val="0"/>
          <w:numId w:val="0"/>
        </w:numPr>
        <w:jc w:val="center"/>
        <w:rPr>
          <w:rFonts w:ascii="Times New Roman" w:hAnsi="Times New Roman" w:eastAsia="黑体" w:cs="Times New Roman"/>
          <w:bCs/>
          <w:kern w:val="0"/>
          <w:sz w:val="32"/>
          <w:szCs w:val="32"/>
        </w:rPr>
      </w:pPr>
    </w:p>
    <w:p>
      <w:pPr>
        <w:numPr>
          <w:ilvl w:val="0"/>
          <w:numId w:val="0"/>
        </w:numPr>
        <w:ind w:firstLine="1440" w:firstLineChars="400"/>
        <w:jc w:val="both"/>
        <w:rPr>
          <w:rFonts w:ascii="黑体" w:hAnsi="黑体" w:eastAsia="黑体"/>
          <w:sz w:val="36"/>
          <w:szCs w:val="32"/>
        </w:rPr>
      </w:pPr>
      <w:r>
        <w:rPr>
          <w:rFonts w:hint="eastAsia" w:ascii="方正小标宋_GBK" w:hAnsi="黑体" w:eastAsia="方正小标宋_GBK"/>
          <w:sz w:val="36"/>
          <w:szCs w:val="32"/>
          <w:lang w:val="en-US" w:eastAsia="zh-CN"/>
        </w:rPr>
        <w:t xml:space="preserve">                     </w:t>
      </w:r>
      <w:r>
        <w:rPr>
          <w:rFonts w:hint="eastAsia" w:ascii="方正小标宋_GBK" w:hAnsi="黑体" w:eastAsia="方正小标宋_GBK"/>
          <w:sz w:val="36"/>
          <w:szCs w:val="32"/>
        </w:rPr>
        <w:t>部门</w:t>
      </w:r>
      <w:r>
        <w:rPr>
          <w:rFonts w:hint="eastAsia" w:ascii="黑体" w:hAnsi="黑体" w:eastAsia="黑体"/>
          <w:sz w:val="36"/>
          <w:szCs w:val="32"/>
        </w:rPr>
        <w:t>收支决算总表</w:t>
      </w:r>
    </w:p>
    <w:p>
      <w:pPr>
        <w:widowControl/>
        <w:spacing w:line="320" w:lineRule="exact"/>
        <w:ind w:right="198"/>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5"/>
        <w:tblW w:w="14061" w:type="dxa"/>
        <w:jc w:val="center"/>
        <w:tblLayout w:type="autofit"/>
        <w:tblCellMar>
          <w:top w:w="0" w:type="dxa"/>
          <w:left w:w="108" w:type="dxa"/>
          <w:bottom w:w="0" w:type="dxa"/>
          <w:right w:w="108" w:type="dxa"/>
        </w:tblCellMar>
      </w:tblPr>
      <w:tblGrid>
        <w:gridCol w:w="2792"/>
        <w:gridCol w:w="471"/>
        <w:gridCol w:w="3595"/>
        <w:gridCol w:w="2542"/>
        <w:gridCol w:w="1530"/>
        <w:gridCol w:w="313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支出</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项    目</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0"/>
                <w:lang w:val="en-US" w:eastAsia="zh-CN" w:bidi="ar-SA"/>
              </w:rPr>
            </w:pPr>
            <w:r>
              <w:rPr>
                <w:rFonts w:hint="eastAsia" w:ascii="宋体" w:hAnsi="宋体" w:eastAsia="宋体" w:cs="宋体"/>
                <w:kern w:val="0"/>
                <w:sz w:val="18"/>
                <w:szCs w:val="20"/>
              </w:rPr>
              <w:t>行次</w:t>
            </w:r>
          </w:p>
        </w:tc>
        <w:tc>
          <w:tcPr>
            <w:tcW w:w="359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决算数</w:t>
            </w:r>
          </w:p>
        </w:tc>
        <w:tc>
          <w:tcPr>
            <w:tcW w:w="254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项    目</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0"/>
                <w:lang w:val="en-US" w:eastAsia="zh-CN" w:bidi="ar-SA"/>
              </w:rPr>
            </w:pPr>
            <w:r>
              <w:rPr>
                <w:rFonts w:hint="eastAsia" w:ascii="宋体" w:hAnsi="宋体" w:eastAsia="宋体" w:cs="宋体"/>
                <w:kern w:val="0"/>
                <w:sz w:val="18"/>
                <w:szCs w:val="20"/>
              </w:rPr>
              <w:t>行次</w:t>
            </w:r>
          </w:p>
        </w:tc>
        <w:tc>
          <w:tcPr>
            <w:tcW w:w="31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决算数</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栏    次</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　</w:t>
            </w:r>
          </w:p>
        </w:tc>
        <w:tc>
          <w:tcPr>
            <w:tcW w:w="359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1</w:t>
            </w:r>
          </w:p>
        </w:tc>
        <w:tc>
          <w:tcPr>
            <w:tcW w:w="254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栏    次</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　</w:t>
            </w:r>
          </w:p>
        </w:tc>
        <w:tc>
          <w:tcPr>
            <w:tcW w:w="31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szCs w:val="24"/>
              </w:rPr>
              <w:t>2</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一、财政拨款收入</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r>
              <w:rPr>
                <w:rFonts w:ascii="Times New Roman" w:hAnsi="Times New Roman" w:eastAsia="仿宋_GB2312" w:cs="Times New Roman"/>
                <w:kern w:val="0"/>
                <w:szCs w:val="21"/>
              </w:rPr>
              <w:t>　</w:t>
            </w:r>
            <w:r>
              <w:rPr>
                <w:rFonts w:hint="eastAsia" w:ascii="宋体" w:hAnsi="宋体" w:eastAsia="宋体" w:cs="宋体"/>
                <w:kern w:val="0"/>
                <w:sz w:val="18"/>
              </w:rPr>
              <w:t xml:space="preserve">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一、一般公共服务支出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29</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二、上级补助收入</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二、外交支出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30</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三、事业收入</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三、国防支出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31</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四、经营收入</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四、公共安全支出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32</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五、附属单位上缴收入</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五、教育支出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33</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六、其他收入</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6</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六、科学技术支出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34</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7</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七、文化体育与传媒支出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35</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8</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八、社会保障和就业支出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36</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9</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九、医疗卫生与计划生育支出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37</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10</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十、节能环保支出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38</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11</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十一、城乡社区支出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39</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12</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十二、农林水支出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40</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r>
              <w:rPr>
                <w:rFonts w:ascii="Times New Roman" w:hAnsi="Times New Roman" w:eastAsia="仿宋_GB2312" w:cs="Times New Roman"/>
                <w:kern w:val="0"/>
                <w:szCs w:val="21"/>
              </w:rPr>
              <w:t>　</w:t>
            </w:r>
            <w:r>
              <w:rPr>
                <w:rFonts w:hint="eastAsia" w:ascii="宋体" w:hAnsi="宋体" w:eastAsia="宋体" w:cs="宋体"/>
                <w:kern w:val="0"/>
                <w:sz w:val="18"/>
              </w:rPr>
              <w:t xml:space="preserve"> </w:t>
            </w:r>
          </w:p>
        </w:tc>
      </w:tr>
      <w:tr>
        <w:trPr>
          <w:trHeight w:val="340" w:hRule="atLeast"/>
          <w:jc w:val="center"/>
        </w:trPr>
        <w:tc>
          <w:tcPr>
            <w:tcW w:w="279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47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13</w:t>
            </w:r>
          </w:p>
        </w:tc>
        <w:tc>
          <w:tcPr>
            <w:tcW w:w="3595"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25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十三、交通运输支出</w:t>
            </w:r>
          </w:p>
        </w:tc>
        <w:tc>
          <w:tcPr>
            <w:tcW w:w="15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41</w:t>
            </w:r>
          </w:p>
        </w:tc>
        <w:tc>
          <w:tcPr>
            <w:tcW w:w="3131" w:type="dxa"/>
            <w:tcBorders>
              <w:top w:val="nil"/>
              <w:left w:val="nil"/>
              <w:bottom w:val="single" w:color="auto" w:sz="4" w:space="0"/>
              <w:right w:val="single" w:color="auto" w:sz="4" w:space="0"/>
            </w:tcBorders>
            <w:noWrap/>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14</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十四、资源勘探信息等支出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十五、商业服务业等支出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43</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十六、金融支出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44</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17</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十七、援助其他地区支出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18</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十八、国土海洋气象等支出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19</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十九、住房保障支出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47</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二十、粮油物资储备支出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48</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21</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二十一、其他支出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49</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二十二、债务还本支出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23</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24"/>
                <w:lang w:val="en-US" w:eastAsia="zh-CN" w:bidi="ar-SA"/>
              </w:rPr>
            </w:pPr>
            <w:r>
              <w:rPr>
                <w:rFonts w:hint="eastAsia" w:ascii="宋体" w:hAnsi="宋体" w:eastAsia="宋体" w:cs="宋体"/>
                <w:color w:val="000000"/>
                <w:kern w:val="0"/>
                <w:sz w:val="18"/>
              </w:rPr>
              <w:t>二十三、债务付息支出</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51</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b/>
                <w:bCs/>
                <w:kern w:val="0"/>
                <w:sz w:val="18"/>
                <w:szCs w:val="24"/>
                <w:lang w:val="en-US" w:eastAsia="zh-CN" w:bidi="ar-SA"/>
              </w:rPr>
            </w:pPr>
            <w:r>
              <w:rPr>
                <w:rFonts w:hint="eastAsia" w:ascii="宋体" w:hAnsi="宋体" w:eastAsia="宋体" w:cs="宋体"/>
                <w:b/>
                <w:bCs/>
                <w:kern w:val="0"/>
                <w:sz w:val="18"/>
              </w:rPr>
              <w:t>本年收入合计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24</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r>
              <w:rPr>
                <w:rFonts w:ascii="Times New Roman" w:hAnsi="Times New Roman" w:eastAsia="仿宋_GB2312" w:cs="Times New Roman"/>
                <w:kern w:val="0"/>
                <w:szCs w:val="21"/>
              </w:rPr>
              <w:t>　</w:t>
            </w:r>
            <w:r>
              <w:rPr>
                <w:rFonts w:hint="eastAsia" w:ascii="宋体" w:hAnsi="宋体" w:eastAsia="宋体" w:cs="宋体"/>
                <w:kern w:val="0"/>
                <w:sz w:val="18"/>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 w:val="18"/>
                <w:szCs w:val="24"/>
                <w:lang w:val="en-US" w:eastAsia="zh-CN" w:bidi="ar-SA"/>
              </w:rPr>
            </w:pPr>
            <w:r>
              <w:rPr>
                <w:rFonts w:hint="eastAsia" w:ascii="宋体" w:hAnsi="宋体" w:eastAsia="宋体" w:cs="宋体"/>
                <w:b/>
                <w:bCs/>
                <w:kern w:val="0"/>
                <w:sz w:val="18"/>
              </w:rPr>
              <w:t>本年支出合计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r>
              <w:rPr>
                <w:rFonts w:ascii="Times New Roman" w:hAnsi="Times New Roman" w:eastAsia="仿宋_GB2312" w:cs="Times New Roman"/>
                <w:kern w:val="0"/>
                <w:szCs w:val="21"/>
              </w:rPr>
              <w:t>　</w:t>
            </w:r>
          </w:p>
        </w:tc>
      </w:tr>
      <w:tr>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xml:space="preserve">   用事业基金弥补收支差额</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xml:space="preserve">          结余分配</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53</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xml:space="preserve">   年初结转和结余</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xml:space="preserve">         年末结转和结余</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54</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lang w:val="en-US" w:eastAsia="zh-CN"/>
              </w:rPr>
              <w:t>0.00</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27</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24"/>
                <w:lang w:val="en-US" w:eastAsia="zh-CN" w:bidi="ar-SA"/>
              </w:rPr>
            </w:pPr>
            <w:r>
              <w:rPr>
                <w:rFonts w:hint="eastAsia" w:ascii="宋体" w:hAnsi="宋体" w:eastAsia="宋体" w:cs="宋体"/>
                <w:kern w:val="0"/>
                <w:sz w:val="18"/>
              </w:rPr>
              <w:t>　</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 w:val="18"/>
                <w:szCs w:val="24"/>
                <w:lang w:val="en-US" w:eastAsia="zh-CN" w:bidi="ar-SA"/>
              </w:rPr>
            </w:pPr>
            <w:r>
              <w:rPr>
                <w:rFonts w:hint="eastAsia" w:ascii="宋体" w:hAnsi="宋体" w:eastAsia="宋体" w:cs="宋体"/>
                <w:b/>
                <w:bCs/>
                <w:kern w:val="0"/>
                <w:sz w:val="18"/>
              </w:rPr>
              <w:t>总计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28</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b/>
                <w:bCs/>
                <w:kern w:val="0"/>
                <w:sz w:val="18"/>
                <w:szCs w:val="24"/>
                <w:lang w:val="en-US" w:eastAsia="zh-CN" w:bidi="ar-SA"/>
              </w:rPr>
            </w:pPr>
            <w:r>
              <w:rPr>
                <w:rFonts w:hint="eastAsia" w:ascii="宋体" w:hAnsi="宋体" w:cs="宋体"/>
                <w:b/>
                <w:bCs/>
                <w:kern w:val="0"/>
                <w:sz w:val="18"/>
                <w:lang w:val="en-US" w:eastAsia="zh-CN"/>
              </w:rPr>
              <w:t>306.47</w:t>
            </w:r>
            <w:r>
              <w:rPr>
                <w:rFonts w:ascii="Times New Roman" w:hAnsi="Times New Roman" w:eastAsia="仿宋_GB2312" w:cs="Times New Roman"/>
                <w:kern w:val="0"/>
                <w:szCs w:val="21"/>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 w:val="18"/>
                <w:szCs w:val="24"/>
                <w:lang w:val="en-US" w:eastAsia="zh-CN" w:bidi="ar-SA"/>
              </w:rPr>
            </w:pPr>
            <w:r>
              <w:rPr>
                <w:rFonts w:hint="eastAsia" w:ascii="宋体" w:hAnsi="宋体" w:eastAsia="宋体" w:cs="宋体"/>
                <w:b/>
                <w:bCs/>
                <w:kern w:val="0"/>
                <w:sz w:val="18"/>
              </w:rPr>
              <w:t>总计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24"/>
                <w:lang w:val="en-US" w:eastAsia="zh-CN" w:bidi="ar-SA"/>
              </w:rPr>
            </w:pPr>
            <w:r>
              <w:rPr>
                <w:rFonts w:hint="eastAsia" w:ascii="宋体" w:hAnsi="宋体" w:eastAsia="宋体" w:cs="宋体"/>
                <w:kern w:val="0"/>
                <w:sz w:val="18"/>
              </w:rPr>
              <w:t>56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b/>
                <w:bCs/>
                <w:kern w:val="0"/>
                <w:sz w:val="18"/>
                <w:szCs w:val="24"/>
                <w:lang w:val="en-US" w:eastAsia="zh-CN" w:bidi="ar-SA"/>
              </w:rPr>
            </w:pPr>
            <w:r>
              <w:rPr>
                <w:rFonts w:hint="eastAsia" w:ascii="宋体" w:hAnsi="宋体" w:cs="宋体"/>
                <w:b/>
                <w:bCs/>
                <w:kern w:val="0"/>
                <w:sz w:val="18"/>
                <w:lang w:val="en-US" w:eastAsia="zh-CN"/>
              </w:rPr>
              <w:t>306.47</w:t>
            </w:r>
            <w:r>
              <w:rPr>
                <w:rFonts w:ascii="Times New Roman" w:hAnsi="Times New Roman" w:eastAsia="仿宋_GB2312" w:cs="Times New Roman"/>
                <w:kern w:val="0"/>
                <w:szCs w:val="21"/>
              </w:rPr>
              <w:t>　</w:t>
            </w:r>
          </w:p>
        </w:tc>
      </w:tr>
    </w:tbl>
    <w:p>
      <w:pPr>
        <w:widowControl/>
        <w:ind w:firstLine="630" w:firstLineChars="300"/>
        <w:jc w:val="left"/>
        <w:rPr>
          <w:rFonts w:eastAsia="仿宋_GB2312"/>
          <w:kern w:val="0"/>
          <w:szCs w:val="21"/>
        </w:rPr>
      </w:pPr>
      <w:r>
        <w:rPr>
          <w:rFonts w:hint="eastAsia" w:eastAsia="仿宋_GB2312"/>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eastAsia="黑体"/>
          <w:bCs/>
          <w:kern w:val="0"/>
          <w:sz w:val="32"/>
          <w:szCs w:val="32"/>
        </w:rPr>
        <w:br w:type="page"/>
      </w:r>
    </w:p>
    <w:p>
      <w:pPr>
        <w:widowControl/>
        <w:ind w:firstLine="6120" w:firstLineChars="1700"/>
        <w:jc w:val="both"/>
        <w:rPr>
          <w:rFonts w:ascii="Times New Roman" w:hAnsi="Times New Roman" w:eastAsia="方正小标宋_GBK" w:cs="Times New Roman"/>
          <w:color w:val="000000"/>
          <w:kern w:val="0"/>
          <w:sz w:val="36"/>
          <w:szCs w:val="36"/>
        </w:rPr>
      </w:pPr>
      <w:r>
        <w:rPr>
          <w:rFonts w:hint="eastAsia" w:ascii="方正小标宋_GBK" w:hAnsi="黑体" w:eastAsia="方正小标宋_GBK"/>
          <w:sz w:val="36"/>
          <w:szCs w:val="32"/>
        </w:rPr>
        <w:t>部门</w:t>
      </w: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公开02表</w:t>
      </w:r>
    </w:p>
    <w:p>
      <w:pPr>
        <w:widowControl/>
        <w:ind w:firstLine="13440" w:firstLineChars="64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3813" w:type="dxa"/>
        <w:jc w:val="center"/>
        <w:tblLayout w:type="fixed"/>
        <w:tblCellMar>
          <w:top w:w="0" w:type="dxa"/>
          <w:left w:w="108" w:type="dxa"/>
          <w:bottom w:w="0" w:type="dxa"/>
          <w:right w:w="108" w:type="dxa"/>
        </w:tblCellMar>
      </w:tblPr>
      <w:tblGrid>
        <w:gridCol w:w="1197"/>
        <w:gridCol w:w="1366"/>
        <w:gridCol w:w="1498"/>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563"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498"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36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49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36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9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563"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49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563"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4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w:t>
            </w:r>
          </w:p>
        </w:tc>
        <w:tc>
          <w:tcPr>
            <w:tcW w:w="13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农林水支出</w:t>
            </w:r>
          </w:p>
        </w:tc>
        <w:tc>
          <w:tcPr>
            <w:tcW w:w="14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21301</w:t>
            </w:r>
          </w:p>
        </w:tc>
        <w:tc>
          <w:tcPr>
            <w:tcW w:w="13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农业</w:t>
            </w:r>
          </w:p>
        </w:tc>
        <w:tc>
          <w:tcPr>
            <w:tcW w:w="14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2130104</w:t>
            </w:r>
          </w:p>
        </w:tc>
        <w:tc>
          <w:tcPr>
            <w:tcW w:w="13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事业支行</w:t>
            </w:r>
          </w:p>
        </w:tc>
        <w:tc>
          <w:tcPr>
            <w:tcW w:w="14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6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98"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方正小标宋_GBK" w:hAnsi="黑体" w:eastAsia="方正小标宋_GBK"/>
          <w:sz w:val="36"/>
          <w:szCs w:val="32"/>
        </w:rPr>
        <w:t>部门</w:t>
      </w: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Times New Roman" w:hAnsi="Times New Roman" w:eastAsia="仿宋_GB2312" w:cs="Times New Roman"/>
          <w:kern w:val="0"/>
          <w:szCs w:val="21"/>
          <w:lang w:eastAsia="zh-CN"/>
        </w:rPr>
        <w:t>道县种子技术推广服务站</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5"/>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369"/>
        <w:gridCol w:w="165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7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65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36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65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36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65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7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65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7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w:t>
            </w:r>
          </w:p>
        </w:tc>
        <w:tc>
          <w:tcPr>
            <w:tcW w:w="136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农林水支出</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21301</w:t>
            </w:r>
          </w:p>
        </w:tc>
        <w:tc>
          <w:tcPr>
            <w:tcW w:w="136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农业</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9"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2130104</w:t>
            </w:r>
          </w:p>
        </w:tc>
        <w:tc>
          <w:tcPr>
            <w:tcW w:w="136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事业支行</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6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6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6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5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道县种子技术推广服务站</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项    目</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行次</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金额</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项    目</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行次</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合计</w:t>
            </w:r>
          </w:p>
        </w:tc>
        <w:tc>
          <w:tcPr>
            <w:tcW w:w="16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一般公共预算财政拨款</w:t>
            </w:r>
          </w:p>
        </w:tc>
        <w:tc>
          <w:tcPr>
            <w:tcW w:w="157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栏    次</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栏    次</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一、一般公共预算财政拨款</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Times New Roman" w:hAnsi="Times New Roman" w:eastAsia="仿宋_GB2312" w:cs="Times New Roman"/>
                <w:kern w:val="0"/>
                <w:szCs w:val="21"/>
                <w:lang w:val="en-US" w:eastAsia="zh-CN"/>
              </w:rPr>
              <w:t>306.47</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一、一般公共服务支出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30</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二、政府性基金预算财政拨款</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二、外交支出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三、国防支出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四、公共安全支出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五、教育支出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34</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6</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六、科学技术支出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35</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7</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七、文化体育与传媒支出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36</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8</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八、社会保障和就业支出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37</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9</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九、医疗卫生与计划生育支出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38</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10</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十、节能环保支出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39</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十一、城乡社区支出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40</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十二、农林水支出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Times New Roman" w:hAnsi="Times New Roman" w:eastAsia="仿宋_GB2312" w:cs="Times New Roman"/>
                <w:kern w:val="0"/>
                <w:szCs w:val="21"/>
                <w:lang w:val="en-US" w:eastAsia="zh-CN"/>
              </w:rPr>
              <w:t>306.47</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Times New Roman" w:hAnsi="Times New Roman" w:eastAsia="仿宋_GB2312" w:cs="Times New Roman"/>
                <w:kern w:val="0"/>
                <w:szCs w:val="21"/>
                <w:lang w:val="en-US" w:eastAsia="zh-CN"/>
              </w:rPr>
              <w:t>306.47</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十三、交通运输支出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14</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十四、资源勘探信息等支出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15</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十五、商业服务业等支出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44</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16</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十六、金融支出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45</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17</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十七、援助其他地区支出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46</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18</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十八、国土海洋气象等支出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47</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19</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十九、住房保障支出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48</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二十、粮油物资储备支出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49</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21</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二十一、其他支出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22</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二十二、债务还本支出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51</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23</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二十三、债务付息支出</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52</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center"/>
              <w:rPr>
                <w:rFonts w:ascii="宋体" w:hAnsi="宋体" w:eastAsia="宋体" w:cs="宋体"/>
                <w:b/>
                <w:bCs/>
                <w:kern w:val="0"/>
                <w:sz w:val="18"/>
                <w:szCs w:val="18"/>
                <w:lang w:val="en-US" w:eastAsia="zh-CN" w:bidi="ar-SA"/>
              </w:rPr>
            </w:pPr>
            <w:r>
              <w:rPr>
                <w:rFonts w:hint="eastAsia" w:ascii="宋体" w:hAnsi="宋体" w:eastAsia="宋体" w:cs="宋体"/>
                <w:b/>
                <w:bCs/>
                <w:kern w:val="0"/>
                <w:sz w:val="18"/>
                <w:szCs w:val="18"/>
              </w:rPr>
              <w:t>本年收入合计</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24</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Times New Roman" w:hAnsi="Times New Roman" w:eastAsia="仿宋_GB2312" w:cs="Times New Roman"/>
                <w:kern w:val="0"/>
                <w:szCs w:val="21"/>
                <w:lang w:val="en-US" w:eastAsia="zh-CN"/>
              </w:rPr>
              <w:t>306.47</w:t>
            </w:r>
            <w:r>
              <w:rPr>
                <w:rFonts w:hint="eastAsia" w:ascii="宋体" w:hAnsi="宋体" w:eastAsia="宋体" w:cs="宋体"/>
                <w:kern w:val="0"/>
                <w:sz w:val="18"/>
                <w:szCs w:val="18"/>
              </w:rPr>
              <w:t xml:space="preserve"> </w:t>
            </w:r>
          </w:p>
        </w:tc>
        <w:tc>
          <w:tcPr>
            <w:tcW w:w="0" w:type="auto"/>
            <w:noWrap w:val="0"/>
            <w:vAlign w:val="center"/>
          </w:tcPr>
          <w:p>
            <w:pPr>
              <w:widowControl/>
              <w:jc w:val="center"/>
              <w:rPr>
                <w:rFonts w:ascii="宋体" w:hAnsi="宋体" w:eastAsia="宋体" w:cs="宋体"/>
                <w:b/>
                <w:bCs/>
                <w:kern w:val="0"/>
                <w:sz w:val="18"/>
                <w:szCs w:val="18"/>
                <w:lang w:val="en-US" w:eastAsia="zh-CN" w:bidi="ar-SA"/>
              </w:rPr>
            </w:pPr>
            <w:r>
              <w:rPr>
                <w:rFonts w:hint="eastAsia" w:ascii="宋体" w:hAnsi="宋体" w:eastAsia="宋体" w:cs="宋体"/>
                <w:b/>
                <w:bCs/>
                <w:kern w:val="0"/>
                <w:sz w:val="18"/>
                <w:szCs w:val="18"/>
              </w:rPr>
              <w:t>本年支出合计</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53</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Times New Roman" w:hAnsi="Times New Roman" w:eastAsia="仿宋_GB2312" w:cs="Times New Roman"/>
                <w:kern w:val="0"/>
                <w:szCs w:val="21"/>
                <w:lang w:val="en-US" w:eastAsia="zh-CN"/>
              </w:rPr>
              <w:t>306.47</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Times New Roman" w:hAnsi="Times New Roman" w:eastAsia="仿宋_GB2312" w:cs="Times New Roman"/>
                <w:kern w:val="0"/>
                <w:szCs w:val="21"/>
                <w:lang w:val="en-US" w:eastAsia="zh-CN"/>
              </w:rPr>
              <w:t>306.47</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年初财政拨款结转和结余</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25</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年末财政拨款结转和结余</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54</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xml:space="preserve">      一般公共预算财政拨款</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26</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55</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xml:space="preserve">        政府性基金预算财政拨款</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27</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lang w:val="en-US" w:eastAsia="zh-CN"/>
              </w:rPr>
              <w:t>0.00</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56</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28</w:t>
            </w:r>
          </w:p>
        </w:tc>
        <w:tc>
          <w:tcPr>
            <w:tcW w:w="0" w:type="auto"/>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57</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0" w:type="auto"/>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0" w:type="auto"/>
            <w:noWrap w:val="0"/>
            <w:vAlign w:val="center"/>
          </w:tcPr>
          <w:p>
            <w:pPr>
              <w:widowControl/>
              <w:jc w:val="center"/>
              <w:rPr>
                <w:rFonts w:ascii="宋体" w:hAnsi="宋体" w:eastAsia="宋体" w:cs="宋体"/>
                <w:b/>
                <w:bCs/>
                <w:kern w:val="0"/>
                <w:sz w:val="18"/>
                <w:szCs w:val="18"/>
                <w:lang w:val="en-US" w:eastAsia="zh-CN" w:bidi="ar-SA"/>
              </w:rPr>
            </w:pPr>
            <w:r>
              <w:rPr>
                <w:rFonts w:hint="eastAsia" w:ascii="宋体" w:hAnsi="宋体" w:eastAsia="宋体" w:cs="宋体"/>
                <w:b/>
                <w:bCs/>
                <w:kern w:val="0"/>
                <w:sz w:val="18"/>
                <w:szCs w:val="18"/>
              </w:rPr>
              <w:t>总计</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29</w:t>
            </w:r>
          </w:p>
        </w:tc>
        <w:tc>
          <w:tcPr>
            <w:tcW w:w="0" w:type="auto"/>
            <w:noWrap w:val="0"/>
            <w:vAlign w:val="center"/>
          </w:tcPr>
          <w:p>
            <w:pPr>
              <w:widowControl/>
              <w:jc w:val="right"/>
              <w:rPr>
                <w:rFonts w:ascii="宋体" w:hAnsi="宋体" w:eastAsia="宋体" w:cs="宋体"/>
                <w:b/>
                <w:bCs/>
                <w:kern w:val="0"/>
                <w:sz w:val="18"/>
                <w:szCs w:val="18"/>
                <w:lang w:val="en-US" w:eastAsia="zh-CN" w:bidi="ar-SA"/>
              </w:rPr>
            </w:pPr>
            <w:r>
              <w:rPr>
                <w:rFonts w:hint="eastAsia" w:ascii="宋体" w:hAnsi="宋体" w:cs="宋体"/>
                <w:b/>
                <w:bCs/>
                <w:kern w:val="0"/>
                <w:sz w:val="18"/>
                <w:lang w:val="en-US" w:eastAsia="zh-CN"/>
              </w:rPr>
              <w:t>306.47</w:t>
            </w:r>
          </w:p>
        </w:tc>
        <w:tc>
          <w:tcPr>
            <w:tcW w:w="0" w:type="auto"/>
            <w:noWrap w:val="0"/>
            <w:vAlign w:val="center"/>
          </w:tcPr>
          <w:p>
            <w:pPr>
              <w:widowControl/>
              <w:jc w:val="center"/>
              <w:rPr>
                <w:rFonts w:ascii="宋体" w:hAnsi="宋体" w:eastAsia="宋体" w:cs="宋体"/>
                <w:b/>
                <w:bCs/>
                <w:kern w:val="0"/>
                <w:sz w:val="18"/>
                <w:szCs w:val="18"/>
                <w:lang w:val="en-US" w:eastAsia="zh-CN" w:bidi="ar-SA"/>
              </w:rPr>
            </w:pPr>
            <w:r>
              <w:rPr>
                <w:rFonts w:hint="eastAsia" w:ascii="宋体" w:hAnsi="宋体" w:eastAsia="宋体" w:cs="宋体"/>
                <w:b/>
                <w:bCs/>
                <w:kern w:val="0"/>
                <w:sz w:val="18"/>
                <w:szCs w:val="18"/>
              </w:rPr>
              <w:t>总计</w:t>
            </w:r>
          </w:p>
        </w:tc>
        <w:tc>
          <w:tcPr>
            <w:tcW w:w="0" w:type="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58</w:t>
            </w:r>
          </w:p>
        </w:tc>
        <w:tc>
          <w:tcPr>
            <w:tcW w:w="0" w:type="auto"/>
            <w:noWrap w:val="0"/>
            <w:vAlign w:val="center"/>
          </w:tcPr>
          <w:p>
            <w:pPr>
              <w:widowControl/>
              <w:jc w:val="right"/>
              <w:rPr>
                <w:rFonts w:hint="default" w:ascii="宋体" w:hAnsi="宋体" w:cs="宋体"/>
                <w:b/>
                <w:bCs/>
                <w:kern w:val="0"/>
                <w:sz w:val="18"/>
                <w:lang w:val="en-US" w:eastAsia="zh-CN"/>
              </w:rPr>
            </w:pPr>
            <w:r>
              <w:rPr>
                <w:rFonts w:hint="eastAsia" w:ascii="宋体" w:hAnsi="宋体" w:cs="宋体"/>
                <w:b/>
                <w:bCs/>
                <w:kern w:val="0"/>
                <w:sz w:val="18"/>
                <w:lang w:val="en-US" w:eastAsia="zh-CN"/>
              </w:rPr>
              <w:t>306.47</w:t>
            </w:r>
          </w:p>
        </w:tc>
        <w:tc>
          <w:tcPr>
            <w:tcW w:w="0" w:type="auto"/>
            <w:noWrap w:val="0"/>
            <w:vAlign w:val="center"/>
          </w:tcPr>
          <w:p>
            <w:pPr>
              <w:widowControl/>
              <w:jc w:val="right"/>
              <w:rPr>
                <w:rFonts w:hint="eastAsia" w:ascii="宋体" w:hAnsi="宋体" w:cs="宋体"/>
                <w:b/>
                <w:bCs/>
                <w:kern w:val="0"/>
                <w:sz w:val="18"/>
                <w:lang w:val="en-US" w:eastAsia="zh-CN"/>
              </w:rPr>
            </w:pPr>
            <w:r>
              <w:rPr>
                <w:rFonts w:hint="eastAsia" w:ascii="宋体" w:hAnsi="宋体" w:cs="宋体"/>
                <w:b/>
                <w:bCs/>
                <w:kern w:val="0"/>
                <w:sz w:val="18"/>
                <w:lang w:val="en-US" w:eastAsia="zh-CN"/>
              </w:rPr>
              <w:t>306.47</w:t>
            </w:r>
          </w:p>
        </w:tc>
        <w:tc>
          <w:tcPr>
            <w:tcW w:w="0" w:type="auto"/>
            <w:noWrap w:val="0"/>
            <w:vAlign w:val="center"/>
          </w:tcPr>
          <w:p>
            <w:pPr>
              <w:widowControl/>
              <w:jc w:val="right"/>
              <w:rPr>
                <w:rFonts w:ascii="宋体" w:hAnsi="宋体" w:eastAsia="宋体" w:cs="宋体"/>
                <w:b/>
                <w:bCs/>
                <w:kern w:val="0"/>
                <w:sz w:val="18"/>
                <w:szCs w:val="18"/>
                <w:lang w:val="en-US" w:eastAsia="zh-CN" w:bidi="ar-SA"/>
              </w:rPr>
            </w:pPr>
            <w:r>
              <w:rPr>
                <w:rFonts w:hint="eastAsia" w:ascii="宋体" w:hAnsi="宋体" w:eastAsia="宋体" w:cs="宋体"/>
                <w:b/>
                <w:bCs/>
                <w:kern w:val="0"/>
                <w:sz w:val="18"/>
                <w:szCs w:val="18"/>
              </w:rPr>
              <w:t xml:space="preserve">0.00 </w:t>
            </w:r>
          </w:p>
        </w:tc>
      </w:tr>
    </w:tbl>
    <w:p>
      <w:pPr>
        <w:widowControl/>
        <w:ind w:firstLine="420" w:firstLineChars="200"/>
        <w:jc w:val="left"/>
        <w:rPr>
          <w:rFonts w:eastAsia="仿宋_GB2312"/>
          <w:kern w:val="0"/>
          <w:szCs w:val="21"/>
        </w:rPr>
      </w:pPr>
      <w:r>
        <w:rPr>
          <w:rFonts w:hint="eastAsia" w:eastAsia="仿宋_GB2312"/>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eastAsia="仿宋_GB2312"/>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农林水支出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21301</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农业</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2130104</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事业支行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3</w:t>
            </w:r>
            <w:r>
              <w:rPr>
                <w:rFonts w:hint="eastAsia" w:ascii="Times New Roman" w:hAnsi="Times New Roman" w:eastAsia="仿宋_GB2312" w:cs="Times New Roman"/>
                <w:kern w:val="0"/>
                <w:szCs w:val="21"/>
                <w:lang w:val="en-US" w:eastAsia="zh-CN"/>
              </w:rPr>
              <w:t>06.47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eastAsia="仿宋_GB2312"/>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公开06表</w:t>
      </w:r>
      <w:r>
        <w:rPr>
          <w:rFonts w:eastAsia="仿宋_GB2312"/>
          <w:color w:val="000000"/>
          <w:kern w:val="0"/>
          <w:szCs w:val="21"/>
        </w:rPr>
        <w:t xml:space="preserve">                                                                                                                                 </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5"/>
        <w:tblW w:w="15900" w:type="dxa"/>
        <w:tblInd w:w="93" w:type="dxa"/>
        <w:tblLayout w:type="fixed"/>
        <w:tblCellMar>
          <w:top w:w="0" w:type="dxa"/>
          <w:left w:w="108" w:type="dxa"/>
          <w:bottom w:w="0" w:type="dxa"/>
          <w:right w:w="108" w:type="dxa"/>
        </w:tblCellMar>
      </w:tblPr>
      <w:tblGrid>
        <w:gridCol w:w="1149"/>
        <w:gridCol w:w="3161"/>
        <w:gridCol w:w="1001"/>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161"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001"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w:t>
            </w:r>
          </w:p>
        </w:tc>
        <w:tc>
          <w:tcPr>
            <w:tcW w:w="3161"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1001"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287</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18.50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307</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30101</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基本工资</w:t>
            </w:r>
          </w:p>
        </w:tc>
        <w:tc>
          <w:tcPr>
            <w:tcW w:w="1001"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128.97</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30201</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0.4</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30701</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国内债务付息</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30102</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津贴补贴</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30202</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印刷费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0.4</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30702</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国外债务付息</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30103</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奖金</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30203</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咨询费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0.1</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30106</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伙食补助费</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30204</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手续费</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31001</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房屋建筑物购建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30107</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绩效工资</w:t>
            </w:r>
          </w:p>
        </w:tc>
        <w:tc>
          <w:tcPr>
            <w:tcW w:w="1001"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106.00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30205</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水费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0.2</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31002</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办公设备购置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30108</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机关事业单位基本养老保险费</w:t>
            </w:r>
          </w:p>
        </w:tc>
        <w:tc>
          <w:tcPr>
            <w:tcW w:w="1001"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41.04</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30206</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电费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0.2</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31003</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专用设备购置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30109</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职业年金缴费</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30207</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邮电费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0.1</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31005</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基础设施建设</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30110</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职工基本医疗保险缴费</w:t>
            </w:r>
          </w:p>
        </w:tc>
        <w:tc>
          <w:tcPr>
            <w:tcW w:w="1001"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10.99</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30208</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取暖费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0.1</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31006</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大型修缮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30111</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公务员医疗补助缴费</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30209</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物业管理费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31007</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信息网络及软件购置更新</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30112</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其他社会保障缴费</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30211</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差旅费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31008</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物资储备</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30113</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住房公积金</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30212</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因公出国（境）费用</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31009</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土地补偿</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30114</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30213</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维修（护）费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31010</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安置补助</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30199</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其他工资福利支出</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30214</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租赁费</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31011</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地上附着物和青苗补偿</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w:t>
            </w:r>
          </w:p>
        </w:tc>
        <w:tc>
          <w:tcPr>
            <w:tcW w:w="3161"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0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30215</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会议费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0.3</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31012</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拆迁补偿</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30301</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离休费</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30216</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培训费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0.3</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31013</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公务用车购置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30302</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退休费</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30217</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公务接待费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0.93</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31019</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其他交通工具购置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30303</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退职（役）费</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30218</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专用材料费</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31021</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文物和陈列品购置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30304</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抚恤金</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0.97</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30224</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被装购置费</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31022</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无形资产购置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30305</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生活补助</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30225</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专用燃料费</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31099</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其他资本性支出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30306</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救济费</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30226</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劳务费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5.0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30307</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医疗费补助</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30227</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委托业务费</w:t>
            </w:r>
          </w:p>
        </w:tc>
        <w:tc>
          <w:tcPr>
            <w:tcW w:w="856"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39906</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赠与</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30308</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助学金</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30228</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工会经费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39907</w:t>
            </w:r>
          </w:p>
        </w:tc>
        <w:tc>
          <w:tcPr>
            <w:tcW w:w="4394"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国家赔偿费用支出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奖励金</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noWrap/>
            <w:vAlign w:val="top"/>
          </w:tcPr>
          <w:p>
            <w:pPr>
              <w:widowControl/>
              <w:rPr>
                <w:rFonts w:hint="default" w:eastAsiaTheme="minorEastAsia"/>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1.0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39908</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个人农业生产补贴</w:t>
            </w:r>
          </w:p>
        </w:tc>
        <w:tc>
          <w:tcPr>
            <w:tcW w:w="1001" w:type="dxa"/>
            <w:tcBorders>
              <w:top w:val="nil"/>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noWrap/>
            <w:vAlign w:val="top"/>
          </w:tcPr>
          <w:p>
            <w:pPr>
              <w:widowControl/>
              <w:rPr>
                <w:rFonts w:hint="eastAsia" w:eastAsiaTheme="minorEastAsia"/>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0</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39999</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161" w:type="dxa"/>
            <w:tcBorders>
              <w:top w:val="single" w:color="auto" w:sz="8" w:space="0"/>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对其他个人和家庭的补助支出</w:t>
            </w:r>
          </w:p>
        </w:tc>
        <w:tc>
          <w:tcPr>
            <w:tcW w:w="1001" w:type="dxa"/>
            <w:tcBorders>
              <w:top w:val="single" w:color="auto" w:sz="8" w:space="0"/>
              <w:left w:val="nil"/>
              <w:bottom w:val="single" w:color="auto" w:sz="8" w:space="0"/>
              <w:right w:val="single" w:color="auto" w:sz="8" w:space="0"/>
            </w:tcBorders>
            <w:noWrap/>
            <w:vAlign w:val="top"/>
          </w:tcPr>
          <w:p>
            <w:pPr>
              <w:widowControl/>
              <w:ind w:firstLine="180" w:firstLineChars="100"/>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10" w:type="dxa"/>
            <w:tcBorders>
              <w:top w:val="single" w:color="auto" w:sz="8" w:space="0"/>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noWrap/>
            <w:vAlign w:val="top"/>
          </w:tcPr>
          <w:p>
            <w:pPr>
              <w:widowControl/>
              <w:rPr>
                <w:rFonts w:hint="default" w:eastAsiaTheme="minorEastAsia"/>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1.0</w:t>
            </w:r>
          </w:p>
        </w:tc>
        <w:tc>
          <w:tcPr>
            <w:tcW w:w="1076" w:type="dxa"/>
            <w:tcBorders>
              <w:top w:val="single" w:color="auto" w:sz="8" w:space="0"/>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4394" w:type="dxa"/>
            <w:tcBorders>
              <w:top w:val="single" w:color="auto" w:sz="8" w:space="0"/>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noWrap/>
            <w:vAlign w:val="top"/>
          </w:tcPr>
          <w:p>
            <w:pPr>
              <w:widowControl/>
              <w:rPr>
                <w:rFonts w:hint="default" w:eastAsiaTheme="minorEastAsia"/>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0.4</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161"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001" w:type="dxa"/>
            <w:tcBorders>
              <w:top w:val="nil"/>
              <w:left w:val="nil"/>
              <w:bottom w:val="single" w:color="auto" w:sz="8" w:space="0"/>
              <w:right w:val="single" w:color="auto" w:sz="8" w:space="0"/>
            </w:tcBorders>
            <w:noWrap/>
            <w:vAlign w:val="top"/>
          </w:tcPr>
          <w:p>
            <w:pPr>
              <w:widowControl/>
              <w:rPr>
                <w:rFonts w:hint="eastAsia" w:ascii="仿宋_GB2312" w:hAnsi="宋体" w:eastAsia="仿宋_GB2312" w:cs="宋体"/>
                <w:color w:val="000000"/>
                <w:kern w:val="0"/>
                <w:sz w:val="18"/>
                <w:szCs w:val="18"/>
                <w:lang w:val="en-US" w:eastAsia="zh-CN"/>
              </w:rPr>
            </w:pP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noWrap/>
            <w:vAlign w:val="top"/>
          </w:tcPr>
          <w:p>
            <w:pPr>
              <w:widowControl/>
              <w:rPr>
                <w:rFonts w:hint="default" w:eastAsiaTheme="minorEastAsia"/>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2.07</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310" w:type="dxa"/>
            <w:gridSpan w:val="2"/>
            <w:tcBorders>
              <w:top w:val="nil"/>
              <w:left w:val="single" w:color="auto" w:sz="8" w:space="0"/>
              <w:bottom w:val="single" w:color="auto" w:sz="8" w:space="0"/>
              <w:right w:val="single" w:color="auto" w:sz="8" w:space="0"/>
            </w:tcBorders>
            <w:noWrap/>
            <w:vAlign w:val="to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1001" w:type="dxa"/>
            <w:tcBorders>
              <w:top w:val="nil"/>
              <w:left w:val="nil"/>
              <w:bottom w:val="single" w:color="auto" w:sz="8" w:space="0"/>
              <w:right w:val="single" w:color="auto" w:sz="8" w:space="0"/>
            </w:tcBorders>
            <w:noWrap/>
            <w:vAlign w:val="center"/>
          </w:tcPr>
          <w:p>
            <w:pPr>
              <w:widowControl/>
              <w:rPr>
                <w:rFonts w:hint="default" w:eastAsiaTheme="minorEastAsia"/>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287.97</w:t>
            </w:r>
          </w:p>
        </w:tc>
        <w:tc>
          <w:tcPr>
            <w:tcW w:w="9733" w:type="dxa"/>
            <w:gridSpan w:val="5"/>
            <w:tcBorders>
              <w:top w:val="nil"/>
              <w:left w:val="nil"/>
              <w:bottom w:val="single" w:color="auto" w:sz="8" w:space="0"/>
              <w:right w:val="single" w:color="auto" w:sz="8" w:space="0"/>
            </w:tcBorders>
            <w:noWrap/>
            <w:vAlign w:val="top"/>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公用经费合计</w:t>
            </w:r>
            <w:r>
              <w:rPr>
                <w:rFonts w:hint="eastAsia" w:ascii="仿宋_GB2312" w:hAnsi="宋体" w:eastAsia="仿宋_GB2312" w:cs="宋体"/>
                <w:color w:val="000000"/>
                <w:kern w:val="0"/>
                <w:sz w:val="18"/>
                <w:szCs w:val="18"/>
                <w:lang w:val="en-US" w:eastAsia="zh-CN"/>
              </w:rPr>
              <w:t>18.50</w:t>
            </w:r>
          </w:p>
        </w:tc>
        <w:tc>
          <w:tcPr>
            <w:tcW w:w="856" w:type="dxa"/>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kern w:val="0"/>
                <w:sz w:val="18"/>
                <w:szCs w:val="18"/>
              </w:rPr>
            </w:pPr>
          </w:p>
        </w:tc>
      </w:tr>
    </w:tbl>
    <w:p>
      <w:pPr>
        <w:widowControl/>
        <w:jc w:val="left"/>
        <w:rPr>
          <w:rFonts w:ascii="黑体" w:hAnsi="黑体" w:eastAsia="黑体"/>
          <w:szCs w:val="21"/>
        </w:rPr>
      </w:pPr>
      <w:r>
        <w:rPr>
          <w:rFonts w:hint="eastAsia" w:ascii="楷体_GB2312" w:hAnsi="黑体" w:eastAsia="楷体_GB2312"/>
          <w:szCs w:val="21"/>
        </w:rPr>
        <w:t>注：本表反映部门年度一般公共预算财政拨款基本支出明细情况。</w:t>
      </w:r>
      <w:r>
        <w:rPr>
          <w:rFonts w:hint="eastAsia" w:ascii="楷体_GB2312" w:hAnsi="黑体" w:eastAsia="楷体_GB2312"/>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kern w:val="0"/>
          <w:szCs w:val="21"/>
          <w:lang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0.93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0.93</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eastAsia="zh-CN"/>
        </w:rPr>
        <w:t>道县种子技术推广服务站</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tabs>
                <w:tab w:val="center" w:pos="552"/>
              </w:tabs>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ab/>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道县种子技术推广服务站</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p>
    <w:p>
      <w:pPr>
        <w:widowControl/>
        <w:spacing w:line="600" w:lineRule="exact"/>
        <w:rPr>
          <w:rFonts w:ascii="Times New Roman" w:hAnsi="Times New Roman" w:eastAsia="黑体" w:cs="Times New Roman"/>
          <w:bCs/>
          <w:kern w:val="0"/>
          <w:sz w:val="32"/>
          <w:szCs w:val="32"/>
        </w:rPr>
      </w:pPr>
    </w:p>
    <w:p>
      <w:pPr>
        <w:widowControl/>
        <w:spacing w:line="60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第三部分</w:t>
      </w:r>
      <w:r>
        <w:rPr>
          <w:rFonts w:hint="eastAsia" w:ascii="Times New Roman" w:hAnsi="Times New Roman" w:eastAsia="黑体" w:cs="Times New Roman"/>
          <w:bCs/>
          <w:kern w:val="0"/>
          <w:sz w:val="32"/>
          <w:szCs w:val="32"/>
          <w:lang w:val="en-US" w:eastAsia="zh-CN"/>
        </w:rPr>
        <w:t xml:space="preserve"> </w:t>
      </w:r>
      <w:r>
        <w:rPr>
          <w:rFonts w:hint="eastAsia" w:ascii="Times New Roman" w:hAnsi="Times New Roman" w:eastAsia="黑体" w:cs="Times New Roman"/>
          <w:bCs/>
          <w:kern w:val="0"/>
          <w:sz w:val="32"/>
          <w:szCs w:val="32"/>
        </w:rPr>
        <w:t>道县种子技术推广服务站</w:t>
      </w:r>
      <w:r>
        <w:rPr>
          <w:rFonts w:ascii="Times New Roman" w:hAnsi="Times New Roman" w:eastAsia="黑体" w:cs="Times New Roman"/>
          <w:bCs/>
          <w:kern w:val="0"/>
          <w:sz w:val="32"/>
          <w:szCs w:val="32"/>
        </w:rPr>
        <w:t xml:space="preserve"> 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一、收入支出决算总体情况说明</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2018年本单位收入决算306.47万元，支出决算306.47万元，收支平衡。2017年本单位收入决算281.55万元，支出决算281.55万元。2018年决算收支比2017年增加24.92万元，</w:t>
      </w:r>
      <w:r>
        <w:rPr>
          <w:rFonts w:hint="eastAsia" w:asciiTheme="minorEastAsia" w:hAnsiTheme="minorEastAsia" w:eastAsiaTheme="minorEastAsia"/>
          <w:sz w:val="32"/>
          <w:szCs w:val="32"/>
        </w:rPr>
        <w:t>增长</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w:t>
      </w:r>
      <w:r>
        <w:rPr>
          <w:rFonts w:hint="eastAsia" w:asciiTheme="minorEastAsia" w:hAnsiTheme="minorEastAsia"/>
          <w:sz w:val="32"/>
          <w:szCs w:val="32"/>
          <w:lang w:val="en-US" w:eastAsia="zh-CN"/>
        </w:rPr>
        <w:t>.</w:t>
      </w:r>
      <w:r>
        <w:rPr>
          <w:rFonts w:hint="eastAsia" w:asciiTheme="minorEastAsia" w:hAnsiTheme="minorEastAsia" w:eastAsiaTheme="minorEastAsia"/>
          <w:sz w:val="32"/>
          <w:szCs w:val="32"/>
          <w:lang w:val="en-US" w:eastAsia="zh-CN"/>
        </w:rPr>
        <w:t>主要原因2018年人员经费上调和日常公用经费增加。</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二、收入决算情况说明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306.47万元</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306.47万元</w:t>
      </w:r>
      <w:r>
        <w:rPr>
          <w:rFonts w:hint="eastAsia" w:asciiTheme="minorEastAsia" w:hAnsiTheme="minorEastAsia"/>
          <w:sz w:val="32"/>
          <w:szCs w:val="32"/>
          <w:lang w:val="en-US" w:eastAsia="zh-CN"/>
        </w:rPr>
        <w:t>，</w:t>
      </w:r>
      <w:r>
        <w:rPr>
          <w:rFonts w:hint="eastAsia" w:asciiTheme="minorEastAsia" w:hAnsiTheme="minorEastAsia" w:eastAsiaTheme="minorEastAsia"/>
          <w:sz w:val="32"/>
          <w:szCs w:val="32"/>
          <w:lang w:val="en-US" w:eastAsia="zh-CN"/>
        </w:rPr>
        <w:t>占100%。比2017年增加24.92万元，</w:t>
      </w:r>
      <w:r>
        <w:rPr>
          <w:rFonts w:hint="eastAsia" w:asciiTheme="minorEastAsia" w:hAnsiTheme="minorEastAsia" w:eastAsiaTheme="minorEastAsia"/>
          <w:sz w:val="32"/>
          <w:szCs w:val="32"/>
        </w:rPr>
        <w:t>增长</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w:t>
      </w:r>
      <w:r>
        <w:rPr>
          <w:rFonts w:hint="eastAsia" w:asciiTheme="minorEastAsia" w:hAnsiTheme="minorEastAsia"/>
          <w:sz w:val="32"/>
          <w:szCs w:val="32"/>
          <w:lang w:val="en-US" w:eastAsia="zh-CN"/>
        </w:rPr>
        <w:t>.</w:t>
      </w:r>
      <w:r>
        <w:rPr>
          <w:rFonts w:hint="eastAsia" w:asciiTheme="minorEastAsia" w:hAnsiTheme="minorEastAsia" w:eastAsiaTheme="minorEastAsia"/>
          <w:sz w:val="32"/>
          <w:szCs w:val="32"/>
          <w:lang w:val="en-US" w:eastAsia="zh-CN"/>
        </w:rPr>
        <w:t>主要原因2018年人员经费上调和日常公用经费增加。上级补助收入 0  万元，占 0 %；事业收入 0  万元，占 0  %；经营收入  0 万元，占 0  %；附属单位上缴收入 0  万元，占  0 %；其他收入  0 万元，占  0 %。</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三、支出决算情况说明</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2018年支出决算数306.47万元。其中，基本支出306.47万元：人员经费287.97万元、日常公用经费18.5万元，支出较去年增加24.92万元，</w:t>
      </w:r>
      <w:r>
        <w:rPr>
          <w:rFonts w:hint="eastAsia" w:asciiTheme="minorEastAsia" w:hAnsiTheme="minorEastAsia" w:eastAsiaTheme="minorEastAsia"/>
          <w:sz w:val="32"/>
          <w:szCs w:val="32"/>
        </w:rPr>
        <w:t>增长</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w:t>
      </w:r>
      <w:r>
        <w:rPr>
          <w:rFonts w:hint="eastAsia" w:asciiTheme="minorEastAsia" w:hAnsiTheme="minorEastAsia"/>
          <w:sz w:val="32"/>
          <w:szCs w:val="32"/>
          <w:lang w:val="en-US" w:eastAsia="zh-CN"/>
        </w:rPr>
        <w:t>.</w:t>
      </w:r>
      <w:r>
        <w:rPr>
          <w:rFonts w:hint="eastAsia" w:asciiTheme="minorEastAsia" w:hAnsiTheme="minorEastAsia" w:eastAsiaTheme="minorEastAsia"/>
          <w:sz w:val="32"/>
          <w:szCs w:val="32"/>
          <w:lang w:val="en-US" w:eastAsia="zh-CN"/>
        </w:rPr>
        <w:t>主要原因2018年人员经费上调和日常公用经费增加。项目支出 0  万元，占 0  %；上缴上级支出   0万元，占 0  %；经营支出   0万元，占  0 %；对附属单位补助支出 0  万元，占 0  %。</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四、财政拨款收入支出决算总体情况说明</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2018年本单位财政拨款收入306.47万元，支出306.47万元。2017年本单位财政拨款收入281.55万元，支出281.55万元。2018年财政拨款比2017年增加24.92万元，</w:t>
      </w:r>
      <w:r>
        <w:rPr>
          <w:rFonts w:hint="eastAsia" w:asciiTheme="minorEastAsia" w:hAnsiTheme="minorEastAsia" w:eastAsiaTheme="minorEastAsia"/>
          <w:sz w:val="32"/>
          <w:szCs w:val="32"/>
        </w:rPr>
        <w:t>增长</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w:t>
      </w:r>
      <w:r>
        <w:rPr>
          <w:rFonts w:hint="eastAsia" w:asciiTheme="minorEastAsia" w:hAnsiTheme="minorEastAsia"/>
          <w:sz w:val="32"/>
          <w:szCs w:val="32"/>
          <w:lang w:val="en-US" w:eastAsia="zh-CN"/>
        </w:rPr>
        <w:t>.</w:t>
      </w:r>
      <w:r>
        <w:rPr>
          <w:rFonts w:hint="eastAsia" w:asciiTheme="minorEastAsia" w:hAnsiTheme="minorEastAsia" w:eastAsiaTheme="minorEastAsia"/>
          <w:sz w:val="32"/>
          <w:szCs w:val="32"/>
          <w:lang w:val="en-US" w:eastAsia="zh-CN"/>
        </w:rPr>
        <w:t>主要原因2018年人员经费上调和日常公用经费增加。</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五、一般公共预算财政拨款支出决算情况说明</w:t>
      </w:r>
    </w:p>
    <w:p>
      <w:pPr>
        <w:widowControl/>
        <w:spacing w:line="600" w:lineRule="exact"/>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（一）财政拨款支出决算总体情况。</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2018年本单位财政拨款支出306.47万元，占本年支出的100%。2017年本单位财政拨款支出281.55万元。2018年财政拨款支出比2017年增加24.92万元，增长8.9%.主要原因</w:t>
      </w:r>
      <w:r>
        <w:rPr>
          <w:rFonts w:hint="eastAsia" w:asciiTheme="minorEastAsia" w:hAnsiTheme="minorEastAsia"/>
          <w:sz w:val="32"/>
          <w:szCs w:val="32"/>
          <w:lang w:val="en-US" w:eastAsia="zh-CN"/>
        </w:rPr>
        <w:t>是</w:t>
      </w:r>
      <w:r>
        <w:rPr>
          <w:rFonts w:hint="eastAsia" w:asciiTheme="minorEastAsia" w:hAnsiTheme="minorEastAsia" w:eastAsiaTheme="minorEastAsia"/>
          <w:sz w:val="32"/>
          <w:szCs w:val="32"/>
          <w:lang w:val="en-US" w:eastAsia="zh-CN"/>
        </w:rPr>
        <w:t>2018年人员经费上调和日常公用经费增加。</w:t>
      </w:r>
    </w:p>
    <w:p>
      <w:pPr>
        <w:widowControl/>
        <w:spacing w:line="600" w:lineRule="exact"/>
        <w:ind w:firstLine="321"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sz w:val="32"/>
          <w:szCs w:val="32"/>
        </w:rPr>
        <w:t>（二）</w:t>
      </w:r>
      <w:r>
        <w:rPr>
          <w:rFonts w:hint="eastAsia" w:asciiTheme="minorEastAsia" w:hAnsiTheme="minorEastAsia" w:eastAsiaTheme="minorEastAsia"/>
          <w:sz w:val="32"/>
          <w:szCs w:val="32"/>
          <w:lang w:val="en-US" w:eastAsia="zh-CN"/>
        </w:rPr>
        <w:t>财政拨款支出决算结构情况。</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2018年本单位财政拨款决算支出306.47万元，</w:t>
      </w:r>
      <w:r>
        <w:rPr>
          <w:rFonts w:hint="eastAsia" w:ascii="宋体" w:hAnsi="宋体" w:eastAsia="宋体"/>
          <w:sz w:val="32"/>
          <w:szCs w:val="32"/>
          <w:lang w:eastAsia="zh-CN"/>
        </w:rPr>
        <w:t>主要用于以下方面：农林水支出（类）306.47   万元，占100%。</w:t>
      </w:r>
      <w:r>
        <w:rPr>
          <w:rFonts w:hint="eastAsia" w:ascii="宋体" w:hAnsi="宋体" w:eastAsia="宋体"/>
          <w:sz w:val="32"/>
          <w:szCs w:val="32"/>
        </w:rPr>
        <w:t>与201</w:t>
      </w:r>
      <w:r>
        <w:rPr>
          <w:rFonts w:hint="eastAsia" w:ascii="宋体" w:hAnsi="宋体" w:eastAsia="宋体"/>
          <w:sz w:val="32"/>
          <w:szCs w:val="32"/>
          <w:lang w:val="en-US" w:eastAsia="zh-CN"/>
        </w:rPr>
        <w:t>7</w:t>
      </w:r>
      <w:r>
        <w:rPr>
          <w:rFonts w:hint="eastAsia" w:ascii="宋体" w:hAnsi="宋体" w:eastAsia="宋体"/>
          <w:sz w:val="32"/>
          <w:szCs w:val="32"/>
        </w:rPr>
        <w:t>年相比，财政拨款支出</w:t>
      </w:r>
      <w:r>
        <w:rPr>
          <w:rFonts w:hint="eastAsia" w:asciiTheme="minorEastAsia" w:hAnsiTheme="minorEastAsia" w:eastAsiaTheme="minorEastAsia"/>
          <w:sz w:val="32"/>
          <w:szCs w:val="32"/>
          <w:lang w:val="en-US" w:eastAsia="zh-CN"/>
        </w:rPr>
        <w:t>增加24.92万元，增长8.9%.主要原因2018年人员经费上调和日常公用经费增加。</w:t>
      </w:r>
    </w:p>
    <w:p>
      <w:pPr>
        <w:widowControl/>
        <w:spacing w:line="600" w:lineRule="exact"/>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（三）财政拨款支出决算具体情况。</w:t>
      </w:r>
    </w:p>
    <w:p>
      <w:pPr>
        <w:pStyle w:val="10"/>
        <w:ind w:firstLine="800" w:firstLineChars="250"/>
        <w:rPr>
          <w:rFonts w:ascii="宋体" w:hAnsi="宋体" w:eastAsia="宋体"/>
          <w:sz w:val="32"/>
          <w:szCs w:val="32"/>
        </w:rPr>
      </w:pPr>
      <w:r>
        <w:rPr>
          <w:rFonts w:hint="eastAsia" w:asciiTheme="minorEastAsia" w:hAnsiTheme="minorEastAsia" w:eastAsiaTheme="minorEastAsia"/>
          <w:sz w:val="32"/>
          <w:szCs w:val="32"/>
          <w:lang w:val="en-US" w:eastAsia="zh-CN"/>
        </w:rPr>
        <w:t>2018年</w:t>
      </w:r>
      <w:r>
        <w:rPr>
          <w:rFonts w:hint="eastAsia" w:ascii="宋体" w:hAnsi="宋体" w:eastAsia="宋体"/>
          <w:sz w:val="32"/>
          <w:szCs w:val="32"/>
        </w:rPr>
        <w:t>财政拨款支出年初预算数为</w:t>
      </w:r>
      <w:r>
        <w:rPr>
          <w:rFonts w:hint="eastAsia" w:asciiTheme="minorEastAsia" w:hAnsiTheme="minorEastAsia" w:eastAsiaTheme="minorEastAsia"/>
          <w:sz w:val="32"/>
          <w:szCs w:val="32"/>
          <w:lang w:val="en-US" w:eastAsia="zh-CN"/>
        </w:rPr>
        <w:t>322.66万元，</w:t>
      </w:r>
      <w:r>
        <w:rPr>
          <w:rFonts w:hint="eastAsia" w:ascii="宋体" w:hAnsi="宋体" w:eastAsia="宋体"/>
          <w:sz w:val="32"/>
          <w:szCs w:val="32"/>
        </w:rPr>
        <w:t>支出决算数为</w:t>
      </w:r>
      <w:r>
        <w:rPr>
          <w:rFonts w:hint="eastAsia" w:ascii="宋体" w:hAnsi="宋体" w:eastAsia="宋体"/>
          <w:sz w:val="32"/>
          <w:szCs w:val="32"/>
          <w:lang w:val="en-US" w:eastAsia="zh-CN"/>
        </w:rPr>
        <w:t>3</w:t>
      </w:r>
      <w:r>
        <w:rPr>
          <w:rFonts w:hint="eastAsia" w:asciiTheme="minorEastAsia" w:hAnsiTheme="minorEastAsia" w:eastAsiaTheme="minorEastAsia"/>
          <w:sz w:val="32"/>
          <w:szCs w:val="32"/>
          <w:lang w:val="en-US" w:eastAsia="zh-CN"/>
        </w:rPr>
        <w:t>06.47万元。</w:t>
      </w:r>
      <w:r>
        <w:rPr>
          <w:rFonts w:hint="eastAsia" w:ascii="宋体" w:hAnsi="宋体" w:eastAsia="宋体"/>
          <w:sz w:val="32"/>
          <w:szCs w:val="32"/>
        </w:rPr>
        <w:t>完成年初预算的</w:t>
      </w:r>
      <w:r>
        <w:rPr>
          <w:rFonts w:hint="eastAsia" w:ascii="宋体" w:hAnsi="宋体" w:eastAsia="宋体"/>
          <w:sz w:val="32"/>
          <w:szCs w:val="32"/>
          <w:lang w:val="en-US" w:eastAsia="zh-CN"/>
        </w:rPr>
        <w:t>95</w:t>
      </w:r>
      <w:r>
        <w:rPr>
          <w:rFonts w:hint="eastAsia" w:ascii="宋体" w:hAnsi="宋体" w:eastAsia="宋体"/>
          <w:sz w:val="32"/>
          <w:szCs w:val="32"/>
        </w:rPr>
        <w:t>%，其中：</w:t>
      </w:r>
    </w:p>
    <w:p>
      <w:pPr>
        <w:pStyle w:val="10"/>
        <w:rPr>
          <w:rFonts w:hint="default" w:asciiTheme="minorEastAsia" w:hAnsiTheme="minorEastAsia" w:eastAsiaTheme="minorEastAsia"/>
          <w:sz w:val="32"/>
          <w:szCs w:val="32"/>
          <w:lang w:val="en-US" w:eastAsia="zh-CN"/>
        </w:rPr>
      </w:pPr>
      <w:r>
        <w:rPr>
          <w:rFonts w:hint="eastAsia" w:ascii="宋体" w:hAnsi="宋体" w:eastAsia="宋体"/>
          <w:sz w:val="32"/>
          <w:szCs w:val="32"/>
          <w:lang w:val="en-US" w:eastAsia="zh-CN"/>
        </w:rPr>
        <w:t xml:space="preserve"> 农林水支出</w:t>
      </w:r>
      <w:r>
        <w:rPr>
          <w:rFonts w:hint="eastAsia" w:ascii="宋体" w:hAnsi="宋体" w:eastAsia="宋体"/>
          <w:sz w:val="32"/>
          <w:szCs w:val="32"/>
        </w:rPr>
        <w:t>（类）</w:t>
      </w:r>
      <w:r>
        <w:rPr>
          <w:rFonts w:hint="eastAsia" w:ascii="宋体" w:hAnsi="宋体" w:eastAsia="宋体"/>
          <w:sz w:val="32"/>
          <w:szCs w:val="32"/>
          <w:lang w:eastAsia="zh-CN"/>
        </w:rPr>
        <w:t>农业</w:t>
      </w:r>
      <w:r>
        <w:rPr>
          <w:rFonts w:hint="eastAsia" w:ascii="宋体" w:hAnsi="宋体" w:eastAsia="宋体"/>
          <w:sz w:val="32"/>
          <w:szCs w:val="32"/>
        </w:rPr>
        <w:t>（款）</w:t>
      </w:r>
      <w:r>
        <w:rPr>
          <w:rFonts w:hint="eastAsia" w:ascii="宋体" w:hAnsi="宋体" w:eastAsia="宋体"/>
          <w:sz w:val="32"/>
          <w:szCs w:val="32"/>
          <w:lang w:eastAsia="zh-CN"/>
        </w:rPr>
        <w:t>事业</w:t>
      </w:r>
      <w:r>
        <w:rPr>
          <w:rFonts w:hint="eastAsia" w:ascii="宋体" w:hAnsi="宋体" w:eastAsia="宋体"/>
          <w:sz w:val="32"/>
          <w:szCs w:val="32"/>
          <w:lang w:val="en-US" w:eastAsia="zh-CN"/>
        </w:rPr>
        <w:t>运行</w:t>
      </w:r>
      <w:r>
        <w:rPr>
          <w:rFonts w:hint="eastAsia" w:ascii="宋体" w:hAnsi="宋体" w:eastAsia="宋体"/>
          <w:sz w:val="32"/>
          <w:szCs w:val="32"/>
        </w:rPr>
        <w:t>（项）年初预算为</w:t>
      </w:r>
      <w:r>
        <w:rPr>
          <w:rFonts w:hint="eastAsia" w:asciiTheme="minorEastAsia" w:hAnsiTheme="minorEastAsia" w:eastAsiaTheme="minorEastAsia"/>
          <w:sz w:val="32"/>
          <w:szCs w:val="32"/>
          <w:lang w:val="en-US" w:eastAsia="zh-CN"/>
        </w:rPr>
        <w:t>322.66</w:t>
      </w:r>
      <w:r>
        <w:rPr>
          <w:rFonts w:hint="eastAsia" w:ascii="宋体" w:hAnsi="宋体" w:eastAsia="宋体"/>
          <w:sz w:val="32"/>
          <w:szCs w:val="32"/>
        </w:rPr>
        <w:t>万元，支出决算为</w:t>
      </w:r>
      <w:r>
        <w:rPr>
          <w:rFonts w:hint="eastAsia" w:ascii="宋体" w:hAnsi="宋体" w:eastAsia="宋体"/>
          <w:sz w:val="32"/>
          <w:szCs w:val="32"/>
          <w:lang w:val="en-US" w:eastAsia="zh-CN"/>
        </w:rPr>
        <w:t>3</w:t>
      </w:r>
      <w:r>
        <w:rPr>
          <w:rFonts w:hint="eastAsia" w:asciiTheme="minorEastAsia" w:hAnsiTheme="minorEastAsia" w:eastAsiaTheme="minorEastAsia"/>
          <w:sz w:val="32"/>
          <w:szCs w:val="32"/>
          <w:lang w:val="en-US" w:eastAsia="zh-CN"/>
        </w:rPr>
        <w:t>06.47</w:t>
      </w:r>
      <w:r>
        <w:rPr>
          <w:rFonts w:hint="eastAsia" w:ascii="宋体" w:hAnsi="宋体" w:eastAsia="宋体"/>
          <w:sz w:val="32"/>
          <w:szCs w:val="32"/>
        </w:rPr>
        <w:t>万元，完成年初预算的</w:t>
      </w:r>
      <w:r>
        <w:rPr>
          <w:rFonts w:hint="eastAsia" w:ascii="宋体" w:hAnsi="宋体" w:eastAsia="宋体"/>
          <w:sz w:val="32"/>
          <w:szCs w:val="32"/>
          <w:lang w:val="en-US" w:eastAsia="zh-CN"/>
        </w:rPr>
        <w:t>95</w:t>
      </w:r>
      <w:r>
        <w:rPr>
          <w:rFonts w:hint="eastAsia" w:ascii="宋体" w:hAnsi="宋体" w:eastAsia="宋体"/>
          <w:sz w:val="32"/>
          <w:szCs w:val="32"/>
        </w:rPr>
        <w:t>%</w:t>
      </w:r>
      <w:r>
        <w:rPr>
          <w:rFonts w:hint="eastAsia" w:ascii="宋体" w:hAnsi="宋体" w:eastAsia="宋体"/>
          <w:sz w:val="32"/>
          <w:szCs w:val="32"/>
          <w:lang w:eastAsia="zh-CN"/>
        </w:rPr>
        <w:t>。主要是</w:t>
      </w:r>
      <w:r>
        <w:rPr>
          <w:rFonts w:hint="eastAsia" w:ascii="宋体" w:hAnsi="宋体" w:eastAsia="宋体"/>
          <w:sz w:val="32"/>
          <w:szCs w:val="32"/>
          <w:lang w:val="en-US" w:eastAsia="zh-CN"/>
        </w:rPr>
        <w:t>2018年中有4</w:t>
      </w:r>
      <w:r>
        <w:rPr>
          <w:rFonts w:hint="eastAsia" w:ascii="宋体" w:hAnsi="宋体" w:eastAsia="宋体"/>
          <w:sz w:val="32"/>
          <w:szCs w:val="32"/>
          <w:lang w:eastAsia="zh-CN"/>
        </w:rPr>
        <w:t>人退休，工资减少。</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六、一般公共预算财政拨款基本支出决算情况说明</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2018年一般公共预算财政拨款收入306.47万元，一般公共预算财政拨款支出306.47万元其中，基本支出306.47万元：人员经费287.97万元、占本年支出的93.6%.主要包括基本工资128.97万元、绩效工资106万元、养老保险41.04万元、医疗保险等10.99万元；</w:t>
      </w:r>
      <w:r>
        <w:rPr>
          <w:rFonts w:hint="eastAsia" w:asciiTheme="minorEastAsia" w:hAnsiTheme="minorEastAsia"/>
          <w:sz w:val="32"/>
          <w:szCs w:val="32"/>
          <w:lang w:val="en-US" w:eastAsia="zh-CN"/>
        </w:rPr>
        <w:t>抚恤金</w:t>
      </w:r>
      <w:r>
        <w:rPr>
          <w:rFonts w:hint="eastAsia" w:asciiTheme="minorEastAsia" w:hAnsiTheme="minorEastAsia" w:eastAsiaTheme="minorEastAsia"/>
          <w:sz w:val="32"/>
          <w:szCs w:val="32"/>
          <w:lang w:val="en-US" w:eastAsia="zh-CN"/>
        </w:rPr>
        <w:t>0.97万元，占本年支出的0.4%；日常公用经费18.5万元，占基本支出的6%，主要包括办公费0.4万元、印刷费0.4万元、咨询费0.1万元、水费0.2万元、电费0.2万元、邮电费0.1万元、取暖费0.1万元、物业管理费1万元、差旅费2万元、维修费2万元、会议费0.3万元、培训费0.3万元、公务接待费0.93万元、劳务费5万元、工会经费1万元、福利费1万元、其他交通费1万元、税金0.4万元、其他商品2.07万元等。支出较去年增加24.92万元，主要原因</w:t>
      </w:r>
      <w:r>
        <w:rPr>
          <w:rFonts w:hint="eastAsia" w:asciiTheme="minorEastAsia" w:hAnsiTheme="minorEastAsia"/>
          <w:sz w:val="32"/>
          <w:szCs w:val="32"/>
          <w:lang w:val="en-US" w:eastAsia="zh-CN"/>
        </w:rPr>
        <w:t>是</w:t>
      </w:r>
      <w:r>
        <w:rPr>
          <w:rFonts w:hint="eastAsia" w:asciiTheme="minorEastAsia" w:hAnsiTheme="minorEastAsia" w:eastAsiaTheme="minorEastAsia"/>
          <w:sz w:val="32"/>
          <w:szCs w:val="32"/>
          <w:lang w:val="en-US" w:eastAsia="zh-CN"/>
        </w:rPr>
        <w:t>2018年人员经费上调</w:t>
      </w:r>
      <w:r>
        <w:rPr>
          <w:rFonts w:hint="eastAsia" w:asciiTheme="minorEastAsia" w:hAnsiTheme="minorEastAsia"/>
          <w:sz w:val="32"/>
          <w:szCs w:val="32"/>
          <w:lang w:val="en-US" w:eastAsia="zh-CN"/>
        </w:rPr>
        <w:t>和</w:t>
      </w:r>
      <w:r>
        <w:rPr>
          <w:rFonts w:hint="eastAsia" w:asciiTheme="minorEastAsia" w:hAnsiTheme="minorEastAsia" w:eastAsiaTheme="minorEastAsia"/>
          <w:sz w:val="32"/>
          <w:szCs w:val="32"/>
          <w:lang w:val="en-US" w:eastAsia="zh-CN"/>
        </w:rPr>
        <w:t>日常公用费增加。</w:t>
      </w: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numPr>
          <w:ilvl w:val="0"/>
          <w:numId w:val="0"/>
        </w:numPr>
        <w:spacing w:line="600" w:lineRule="exact"/>
        <w:ind w:firstLine="643" w:firstLineChars="200"/>
        <w:rPr>
          <w:rFonts w:hint="eastAsia" w:hAnsi="黑体"/>
          <w:b/>
          <w:sz w:val="32"/>
          <w:szCs w:val="32"/>
        </w:rPr>
      </w:pPr>
      <w:r>
        <w:rPr>
          <w:rFonts w:hint="eastAsia" w:hAnsi="黑体"/>
          <w:b/>
          <w:sz w:val="32"/>
          <w:szCs w:val="32"/>
          <w:lang w:val="en-US" w:eastAsia="zh-CN"/>
        </w:rPr>
        <w:t>七、</w:t>
      </w:r>
      <w:r>
        <w:rPr>
          <w:rFonts w:hint="eastAsia" w:hAnsi="黑体"/>
          <w:b/>
          <w:sz w:val="32"/>
          <w:szCs w:val="32"/>
        </w:rPr>
        <w:t>一般公共预算财政拨款三公经费支出决算情况说明</w:t>
      </w:r>
    </w:p>
    <w:p>
      <w:pPr>
        <w:widowControl/>
        <w:numPr>
          <w:ilvl w:val="0"/>
          <w:numId w:val="0"/>
        </w:numPr>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2018年“三公”经费预算数为1.00万元。决算数是0.93万元，</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%，其中：</w:t>
      </w:r>
    </w:p>
    <w:p>
      <w:pPr>
        <w:pStyle w:val="10"/>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因公出国（境）费支出预算为 0  万元，支出决算为  0 万元，完成预算的  0 %，决算数大于（小于）年初预算数的主要原因是没有安排，与上年相比减少（增加）  0 万元，减少（增长） 0  %，减少（增长）的主要原因是没有安排。</w:t>
      </w:r>
    </w:p>
    <w:p>
      <w:pPr>
        <w:pStyle w:val="10"/>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公务接待费支出预算  1 万元，支出决算为 0.93 万元，完成预算的 93%，决算数小于年初预算数的主要原因是三公经费压缩，节约开支，与上年相比减少  0.02万元，减少2%,减少的主要原因是三公经费压缩，节约开支。</w:t>
      </w:r>
    </w:p>
    <w:p>
      <w:pPr>
        <w:pStyle w:val="10"/>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公务用车购置费及运行维护费支出预算为 0  万元，支出决算为 0  万元，完成预算的  0 %，决算数大于（小于）年初预算数的主要原因是没有安排，与上年相比减少（增加）  0 万元，减少（增长） 0  %,减少（增长）的主要原因是没有安排。</w:t>
      </w:r>
    </w:p>
    <w:p>
      <w:pPr>
        <w:widowControl/>
        <w:spacing w:line="600" w:lineRule="exact"/>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（二）“三公”经费财政拨款支出决算具体情况说明。</w:t>
      </w:r>
    </w:p>
    <w:p>
      <w:pPr>
        <w:pStyle w:val="10"/>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0.93</w:t>
      </w:r>
      <w:r>
        <w:rPr>
          <w:rFonts w:hint="eastAsia" w:asciiTheme="minorEastAsia" w:hAnsiTheme="minorEastAsia" w:eastAsiaTheme="minorEastAsia"/>
          <w:sz w:val="32"/>
          <w:szCs w:val="32"/>
        </w:rPr>
        <w:t>万元，占</w:t>
      </w:r>
      <w:bookmarkStart w:id="2" w:name="_GoBack"/>
      <w:bookmarkEnd w:id="2"/>
      <w:r>
        <w:rPr>
          <w:rFonts w:hint="eastAsia" w:asciiTheme="minorEastAsia" w:hAnsiTheme="minorEastAsia" w:eastAsiaTheme="minorEastAsia"/>
          <w:sz w:val="32"/>
          <w:szCs w:val="32"/>
          <w:lang w:val="en-US" w:eastAsia="zh-CN"/>
        </w:rPr>
        <w:t>100</w:t>
      </w:r>
      <w:r>
        <w:rPr>
          <w:rFonts w:hint="eastAsia" w:cs="黑体" w:asciiTheme="minorEastAsia" w:hAnsiTheme="minorEastAsia" w:eastAsiaTheme="minorEastAsia"/>
          <w:color w:val="000000"/>
          <w:kern w:val="0"/>
          <w:sz w:val="32"/>
          <w:szCs w:val="32"/>
          <w:lang w:val="en-US" w:eastAsia="zh-CN" w:bidi="ar-SA"/>
        </w:rPr>
        <w:t>%，因公出国（境）费支出决算  0 万元，占  0  %,公务用车购置费及运行维护费支出决算  0 万元，占  0  %。其中：</w:t>
      </w:r>
    </w:p>
    <w:p>
      <w:pPr>
        <w:pStyle w:val="10"/>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1、因公出国（境）费支出决算为 0  万元，全年安排因公出国（境）团组  0 个，累计 0  人次。</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cs="黑体" w:asciiTheme="minorEastAsia" w:hAnsiTheme="minorEastAsia" w:eastAsiaTheme="minorEastAsia"/>
          <w:color w:val="000000"/>
          <w:kern w:val="0"/>
          <w:sz w:val="32"/>
          <w:szCs w:val="32"/>
          <w:lang w:val="en-US" w:eastAsia="zh-CN" w:bidi="ar-SA"/>
        </w:rPr>
        <w:t>2、公务接待费支出决算为  0.93 万元，</w:t>
      </w:r>
      <w:r>
        <w:rPr>
          <w:rFonts w:hint="eastAsia" w:asciiTheme="minorEastAsia" w:hAnsiTheme="minorEastAsia" w:eastAsiaTheme="minorEastAsia"/>
          <w:sz w:val="32"/>
          <w:szCs w:val="32"/>
        </w:rPr>
        <w:t>全年共接待来访团组</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130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上级检查和基层来访</w:t>
      </w:r>
      <w:r>
        <w:rPr>
          <w:rFonts w:hint="eastAsia" w:asciiTheme="minorEastAsia" w:hAnsiTheme="minorEastAsia" w:eastAsiaTheme="minorEastAsia"/>
          <w:sz w:val="32"/>
          <w:szCs w:val="32"/>
        </w:rPr>
        <w:t>发生的接待支出</w:t>
      </w:r>
      <w:r>
        <w:rPr>
          <w:rFonts w:ascii="Times New Roman" w:hAnsi="Times New Roman" w:eastAsia="仿宋_GB2312" w:cs="Times New Roman"/>
          <w:color w:val="auto"/>
          <w:sz w:val="32"/>
          <w:szCs w:val="32"/>
        </w:rPr>
        <w:t>。</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eastAsia="仿宋_GB2312"/>
          <w:sz w:val="32"/>
          <w:szCs w:val="32"/>
        </w:rPr>
        <w:t>3、</w:t>
      </w:r>
      <w:r>
        <w:rPr>
          <w:rFonts w:hint="eastAsia" w:cs="黑体" w:asciiTheme="minorEastAsia" w:hAnsiTheme="minorEastAsia" w:eastAsiaTheme="minorEastAsia"/>
          <w:color w:val="000000"/>
          <w:kern w:val="0"/>
          <w:sz w:val="32"/>
          <w:szCs w:val="32"/>
          <w:lang w:val="en-US" w:eastAsia="zh-CN" w:bidi="ar-SA"/>
        </w:rPr>
        <w:t>公务用车购置费及运行维护费支出决算为  0 万元，其中：公务用车购置费  0 万元，更新公务用车  0 辆。公务用车运行维护费 0 万元，主要是没有车辆，截止201</w:t>
      </w:r>
      <w:r>
        <w:rPr>
          <w:rFonts w:hint="eastAsia" w:cs="黑体" w:asciiTheme="minorEastAsia" w:hAnsiTheme="minorEastAsia"/>
          <w:color w:val="000000"/>
          <w:kern w:val="0"/>
          <w:sz w:val="32"/>
          <w:szCs w:val="32"/>
          <w:lang w:val="en-US" w:eastAsia="zh-CN" w:bidi="ar-SA"/>
        </w:rPr>
        <w:t>8</w:t>
      </w:r>
      <w:r>
        <w:rPr>
          <w:rFonts w:hint="eastAsia" w:cs="黑体" w:asciiTheme="minorEastAsia" w:hAnsiTheme="minorEastAsia" w:eastAsiaTheme="minorEastAsia"/>
          <w:color w:val="000000"/>
          <w:kern w:val="0"/>
          <w:sz w:val="32"/>
          <w:szCs w:val="32"/>
          <w:lang w:val="en-US" w:eastAsia="zh-CN" w:bidi="ar-SA"/>
        </w:rPr>
        <w:t>年 12月31日，我单位开支财政拨款的公务用车保有量为 0  辆。</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八、政府性基金预算收入支出决算情况</w:t>
      </w:r>
    </w:p>
    <w:p>
      <w:pPr>
        <w:pStyle w:val="10"/>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w:t>
      </w:r>
      <w:r>
        <w:rPr>
          <w:rFonts w:hint="eastAsia" w:asciiTheme="minorEastAsia" w:hAnsiTheme="minorEastAsia" w:eastAsiaTheme="minorEastAsia"/>
          <w:sz w:val="32"/>
          <w:szCs w:val="32"/>
          <w:lang w:val="en-US" w:eastAsia="zh-CN"/>
        </w:rPr>
        <w:t>2018年度</w:t>
      </w:r>
      <w:r>
        <w:rPr>
          <w:rFonts w:hint="eastAsia" w:asciiTheme="minorEastAsia" w:hAnsiTheme="minorEastAsia" w:eastAsiaTheme="minorEastAsia"/>
          <w:sz w:val="32"/>
          <w:szCs w:val="32"/>
        </w:rPr>
        <w:t>无政府性基金收支</w:t>
      </w:r>
      <w:r>
        <w:rPr>
          <w:rFonts w:hint="eastAsia" w:asciiTheme="minorEastAsia" w:hAnsiTheme="minorEastAsia" w:eastAsiaTheme="minorEastAsia"/>
          <w:sz w:val="32"/>
          <w:szCs w:val="32"/>
          <w:lang w:eastAsia="zh-CN"/>
        </w:rPr>
        <w:t>。</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九、关于2018年度预算绩效情况说明</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按照财政部门预算绩效管理工作部署，上一级单位组织专门人员对2018年度部门整体支出数据进行核实，将2018年度和2017年度部门整体支出情况进行比较分析。查阅了2018年度预算安排、资金管理、经费支出、资产管理等相关文件资料和财务凭证，按评价内容逐项进行评价。201</w:t>
      </w:r>
      <w:r>
        <w:rPr>
          <w:rFonts w:hint="eastAsia" w:asciiTheme="minorEastAsia" w:hAnsiTheme="minorEastAsia"/>
          <w:sz w:val="32"/>
          <w:szCs w:val="32"/>
          <w:lang w:val="en-US" w:eastAsia="zh-CN"/>
        </w:rPr>
        <w:t>8</w:t>
      </w:r>
      <w:r>
        <w:rPr>
          <w:rFonts w:hint="eastAsia" w:asciiTheme="minorEastAsia" w:hAnsiTheme="minorEastAsia" w:eastAsiaTheme="minorEastAsia"/>
          <w:sz w:val="32"/>
          <w:szCs w:val="32"/>
          <w:lang w:val="en-US" w:eastAsia="zh-CN"/>
        </w:rPr>
        <w:t>年我单位推行部门整体和20万元以上项目绩效目标全覆盖。涉及一般公共预算拨款306.47万元，其中20万以上项目绩效目标无</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十、其他重要事项情况说明</w:t>
      </w:r>
    </w:p>
    <w:p>
      <w:pPr>
        <w:ind w:firstLine="640" w:firstLineChars="200"/>
        <w:rPr>
          <w:rFonts w:hint="eastAsia" w:cs="黑体" w:asciiTheme="minorEastAsia" w:hAnsiTheme="minorEastAsia"/>
          <w:color w:val="000000"/>
          <w:kern w:val="0"/>
          <w:sz w:val="32"/>
          <w:szCs w:val="32"/>
          <w:lang w:val="en-US" w:eastAsia="zh-CN"/>
        </w:rPr>
      </w:pPr>
      <w:r>
        <w:rPr>
          <w:rFonts w:hint="eastAsia" w:asciiTheme="minorEastAsia" w:hAnsiTheme="minorEastAsia" w:eastAsiaTheme="minorEastAsia"/>
          <w:sz w:val="32"/>
          <w:szCs w:val="32"/>
          <w:lang w:val="en-US" w:eastAsia="zh-CN"/>
        </w:rPr>
        <w:t>机关运行经费支出情况。本部门2018年度机关运行经费支出18.5 万元，</w:t>
      </w:r>
      <w:r>
        <w:rPr>
          <w:rFonts w:hint="eastAsia" w:cs="黑体" w:asciiTheme="minorEastAsia" w:hAnsiTheme="minorEastAsia"/>
          <w:color w:val="000000"/>
          <w:kern w:val="0"/>
          <w:sz w:val="32"/>
          <w:szCs w:val="32"/>
        </w:rPr>
        <w:t>比年初预算数增加（减少）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增长（降低） 0   %.主要原因是严格按照预算执行</w:t>
      </w:r>
    </w:p>
    <w:p>
      <w:pPr>
        <w:widowControl/>
        <w:spacing w:line="600" w:lineRule="exact"/>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（二）一般性支出情况</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w:t>
      </w:r>
      <w:r>
        <w:rPr>
          <w:rFonts w:hint="eastAsia" w:asciiTheme="minorEastAsia" w:hAnsiTheme="minorEastAsia"/>
          <w:sz w:val="32"/>
          <w:szCs w:val="32"/>
          <w:lang w:val="en-US" w:eastAsia="zh-CN"/>
        </w:rPr>
        <w:t>8</w:t>
      </w:r>
      <w:r>
        <w:rPr>
          <w:rFonts w:hint="eastAsia" w:asciiTheme="minorEastAsia" w:hAnsiTheme="minorEastAsia" w:eastAsiaTheme="minorEastAsia"/>
          <w:sz w:val="32"/>
          <w:szCs w:val="32"/>
          <w:lang w:val="en-US" w:eastAsia="zh-CN"/>
        </w:rPr>
        <w:t>年本部门开支会议费0.3万元，用于召开业务会议，人数65人，内容为种子推广及选育等费用开支；开支培训费0.3万元，用于开展农技人员培训，人数74人，内容为开展新型经营主体带头人、经营生产性职业培训。</w:t>
      </w:r>
    </w:p>
    <w:p>
      <w:pPr>
        <w:widowControl/>
        <w:numPr>
          <w:ilvl w:val="0"/>
          <w:numId w:val="0"/>
        </w:numPr>
        <w:spacing w:line="600" w:lineRule="exact"/>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（三）</w:t>
      </w:r>
      <w:r>
        <w:rPr>
          <w:rFonts w:hint="eastAsia" w:asciiTheme="minorEastAsia" w:hAnsiTheme="minorEastAsia" w:eastAsiaTheme="minorEastAsia"/>
          <w:sz w:val="32"/>
          <w:szCs w:val="32"/>
          <w:lang w:val="en-US" w:eastAsia="zh-CN"/>
        </w:rPr>
        <w:t>政府采购支出情况。</w:t>
      </w:r>
    </w:p>
    <w:p>
      <w:pPr>
        <w:ind w:firstLine="640" w:firstLineChars="200"/>
        <w:rPr>
          <w:rFonts w:hint="eastAsia" w:cs="黑体" w:asciiTheme="minorEastAsia" w:hAnsiTheme="minorEastAsia"/>
          <w:color w:val="000000"/>
          <w:kern w:val="0"/>
          <w:sz w:val="32"/>
          <w:szCs w:val="32"/>
          <w:lang w:val="en-US" w:eastAsia="zh-CN"/>
        </w:rPr>
      </w:pPr>
      <w:r>
        <w:rPr>
          <w:rFonts w:hint="eastAsia" w:asciiTheme="minorEastAsia" w:hAnsiTheme="minorEastAsia" w:eastAsiaTheme="minorEastAsia"/>
          <w:sz w:val="32"/>
          <w:szCs w:val="32"/>
          <w:lang w:val="en-US" w:eastAsia="zh-CN"/>
        </w:rPr>
        <w:t>本部门2018 年度无政府采购。</w:t>
      </w:r>
      <w:r>
        <w:rPr>
          <w:rFonts w:hint="eastAsia" w:cs="黑体" w:asciiTheme="minorEastAsia" w:hAnsiTheme="minorEastAsia"/>
          <w:color w:val="000000"/>
          <w:kern w:val="0"/>
          <w:sz w:val="32"/>
          <w:szCs w:val="32"/>
          <w:lang w:val="en-US" w:eastAsia="zh-CN"/>
        </w:rPr>
        <w:t>本部门2018年度政府采购支出总额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w:t>
      </w:r>
    </w:p>
    <w:p>
      <w:pPr>
        <w:widowControl/>
        <w:numPr>
          <w:ilvl w:val="0"/>
          <w:numId w:val="0"/>
        </w:numPr>
        <w:spacing w:line="600" w:lineRule="exact"/>
        <w:rPr>
          <w:rFonts w:hint="eastAsia" w:asciiTheme="minorEastAsia" w:hAnsiTheme="minorEastAsia" w:eastAsiaTheme="minorEastAsia"/>
          <w:sz w:val="32"/>
          <w:szCs w:val="32"/>
          <w:lang w:val="en-US" w:eastAsia="zh-CN"/>
        </w:rPr>
      </w:pPr>
    </w:p>
    <w:p>
      <w:pPr>
        <w:widowControl/>
        <w:spacing w:line="600" w:lineRule="exact"/>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（四）国有资产占用情况</w:t>
      </w:r>
    </w:p>
    <w:p>
      <w:p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截至2018年12月31日，本单位共有车辆 0  辆，其中，领导干部用车 0  辆、机要通信用车  0 辆、应急保障用车  0 辆、执法执勤用车   辆、特种专业技术用车 0  辆、其他用车  0 辆；单位价值50万元以上通用设备 0  台（套）；单位价值100万元以上专用设备  0 台（套）。</w:t>
      </w: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autoSpaceDE w:val="0"/>
        <w:autoSpaceDN w:val="0"/>
        <w:adjustRightInd w:val="0"/>
        <w:spacing w:line="520" w:lineRule="exact"/>
        <w:ind w:firstLine="1124" w:firstLineChars="4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20" w:lineRule="exact"/>
        <w:jc w:val="left"/>
        <w:rPr>
          <w:rFonts w:hint="eastAsia" w:ascii="黑体" w:hAnsi="黑体" w:eastAsia="黑体" w:cs="黑体"/>
          <w:b/>
          <w:color w:val="000000"/>
          <w:kern w:val="0"/>
          <w:sz w:val="28"/>
          <w:szCs w:val="28"/>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p>
    <w:p>
      <w:pPr>
        <w:widowControl/>
        <w:spacing w:line="600" w:lineRule="exact"/>
        <w:rPr>
          <w:rFonts w:hint="eastAsia" w:asciiTheme="minorEastAsia" w:hAnsiTheme="minorEastAsia" w:eastAsiaTheme="minorEastAsia"/>
          <w:sz w:val="32"/>
          <w:szCs w:val="32"/>
          <w:lang w:val="en-US" w:eastAsia="zh-CN"/>
        </w:rPr>
      </w:pP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第五部分</w:t>
      </w:r>
      <w:r>
        <w:rPr>
          <w:rFonts w:hint="eastAsia" w:asciiTheme="minorEastAsia" w:hAnsiTheme="minorEastAsia"/>
          <w:sz w:val="32"/>
          <w:szCs w:val="32"/>
          <w:lang w:val="en-US" w:eastAsia="zh-CN"/>
        </w:rPr>
        <w:t xml:space="preserve">  </w:t>
      </w:r>
      <w:r>
        <w:rPr>
          <w:rFonts w:hint="eastAsia" w:asciiTheme="minorEastAsia" w:hAnsiTheme="minorEastAsia" w:eastAsiaTheme="minorEastAsia"/>
          <w:sz w:val="32"/>
          <w:szCs w:val="32"/>
          <w:lang w:val="en-US" w:eastAsia="zh-CN"/>
        </w:rPr>
        <w:t>附件</w:t>
      </w:r>
    </w:p>
    <w:p>
      <w:pPr>
        <w:widowControl/>
        <w:spacing w:line="600" w:lineRule="exact"/>
        <w:rPr>
          <w:rFonts w:hint="eastAsia" w:asciiTheme="minorEastAsia" w:hAnsiTheme="minorEastAsia" w:eastAsiaTheme="minorEastAsia"/>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20</w:t>
      </w:r>
      <w:r>
        <w:rPr>
          <w:rFonts w:hint="eastAsia" w:ascii="黑体" w:hAnsi="黑体" w:eastAsia="黑体" w:cs="黑体"/>
          <w:color w:val="000000"/>
          <w:kern w:val="0"/>
          <w:sz w:val="44"/>
          <w:szCs w:val="44"/>
          <w:lang w:val="en-US" w:eastAsia="zh-CN"/>
        </w:rPr>
        <w:t>18</w:t>
      </w:r>
      <w:r>
        <w:rPr>
          <w:rFonts w:hint="eastAsia" w:ascii="黑体" w:hAnsi="黑体" w:eastAsia="黑体" w:cs="黑体"/>
          <w:color w:val="000000"/>
          <w:kern w:val="0"/>
          <w:sz w:val="44"/>
          <w:szCs w:val="44"/>
        </w:rPr>
        <w:t>年道</w:t>
      </w:r>
      <w:r>
        <w:rPr>
          <w:rFonts w:hint="eastAsia" w:ascii="黑体" w:hAnsi="黑体" w:eastAsia="黑体" w:cs="黑体"/>
          <w:color w:val="000000"/>
          <w:kern w:val="0"/>
          <w:sz w:val="44"/>
          <w:szCs w:val="44"/>
          <w:lang w:eastAsia="zh-CN"/>
        </w:rPr>
        <w:t>县种子技术推广服务站</w:t>
      </w:r>
      <w:r>
        <w:rPr>
          <w:rFonts w:hint="eastAsia" w:ascii="黑体" w:hAnsi="黑体" w:eastAsia="黑体" w:cs="黑体"/>
          <w:color w:val="000000"/>
          <w:kern w:val="0"/>
          <w:sz w:val="44"/>
          <w:szCs w:val="44"/>
        </w:rPr>
        <w:t>整体支出</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绩效</w:t>
      </w:r>
      <w:r>
        <w:rPr>
          <w:rFonts w:hint="eastAsia" w:ascii="黑体" w:hAnsi="黑体" w:eastAsia="黑体" w:cs="黑体"/>
          <w:color w:val="000000"/>
          <w:kern w:val="0"/>
          <w:sz w:val="44"/>
          <w:szCs w:val="44"/>
          <w:lang w:eastAsia="zh-CN"/>
        </w:rPr>
        <w:t>自评</w:t>
      </w:r>
      <w:r>
        <w:rPr>
          <w:rFonts w:hint="eastAsia" w:ascii="黑体" w:hAnsi="黑体" w:eastAsia="黑体" w:cs="黑体"/>
          <w:color w:val="000000"/>
          <w:kern w:val="0"/>
          <w:sz w:val="44"/>
          <w:szCs w:val="44"/>
        </w:rPr>
        <w:t>报告</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p>
    <w:p>
      <w:pPr>
        <w:pStyle w:val="11"/>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为了强化部门支出责任，推进单位财务管理科学化精细化，提高财政资金管理使用效益，提升管理水平，根据《中共中央 国务院关于全面实施预算绩效管理的意见》(中发[2018]34号）、《预算绩效管理工作考核办法》(湘财绩[2015]15号)、《永州市人民政府关于全面推进预算绩效管理的实施意见》（永政发〔2013〕24号）、《永州市预算绩效管理操作办法》、《道县人民政府关于全面推进预算绩效管理的意见》（道政发[2014]10号）要求，上一级领导及我单位高度重视，成立了评价工作小组，对2018年度我单位部门整体支出本着客观、公正、科学的原则进行了绩效评价。现将绩效评价情况及评价结果报告如下：</w:t>
      </w:r>
    </w:p>
    <w:p>
      <w:pPr>
        <w:pStyle w:val="11"/>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一、部门概况</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(一)主要工作职责</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 道县种子技术推广服务站是由农业农村局领导，其主要职能是：</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1、负责全县农作物种子资源及农作新品种的保护和管理。</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2、负责全县种业从业人员的技术培训工作组织农作物种子的选育、引进试验及推广应用。</w:t>
      </w:r>
    </w:p>
    <w:p>
      <w:pPr>
        <w:spacing w:line="56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3、负责全县农作物种子信息收集、整理与发布</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（二）机构设置情况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道县种子技术服务站内设办公室1个职能股室，下设蔬菜技术推广中心。事业编制</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人。现实有在编人数3</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二、部门整体支出使用情况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（一）基本支出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基本支出</w:t>
      </w:r>
      <w:r>
        <w:rPr>
          <w:rFonts w:hint="eastAsia" w:ascii="仿宋" w:hAnsi="仿宋" w:eastAsia="仿宋" w:cs="仿宋"/>
          <w:color w:val="auto"/>
          <w:sz w:val="32"/>
          <w:szCs w:val="32"/>
          <w:lang w:val="en-US" w:eastAsia="zh-CN"/>
        </w:rPr>
        <w:t>306.47</w:t>
      </w:r>
      <w:r>
        <w:rPr>
          <w:rFonts w:hint="eastAsia" w:ascii="仿宋" w:hAnsi="仿宋" w:eastAsia="仿宋" w:cs="仿宋"/>
          <w:color w:val="auto"/>
          <w:sz w:val="32"/>
          <w:szCs w:val="32"/>
        </w:rPr>
        <w:t>万元，包括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基本工资</w:t>
      </w:r>
      <w:r>
        <w:rPr>
          <w:rFonts w:hint="eastAsia" w:ascii="仿宋" w:hAnsi="仿宋" w:eastAsia="仿宋" w:cs="仿宋"/>
          <w:color w:val="auto"/>
          <w:sz w:val="32"/>
          <w:szCs w:val="32"/>
          <w:lang w:val="en-US" w:eastAsia="zh-CN"/>
        </w:rPr>
        <w:t>128.97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绩效工资</w:t>
      </w:r>
      <w:r>
        <w:rPr>
          <w:rFonts w:hint="eastAsia" w:ascii="仿宋" w:hAnsi="仿宋" w:eastAsia="仿宋" w:cs="仿宋"/>
          <w:color w:val="auto"/>
          <w:sz w:val="32"/>
          <w:szCs w:val="32"/>
          <w:lang w:val="en-US" w:eastAsia="zh-CN"/>
        </w:rPr>
        <w:t>106万元，养老保险41.04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，医疗保险</w:t>
      </w:r>
      <w:r>
        <w:rPr>
          <w:rFonts w:hint="eastAsia" w:ascii="仿宋" w:hAnsi="仿宋" w:eastAsia="仿宋" w:cs="仿宋"/>
          <w:color w:val="auto"/>
          <w:sz w:val="32"/>
          <w:szCs w:val="32"/>
          <w:lang w:val="en-US" w:eastAsia="zh-CN"/>
        </w:rPr>
        <w:t>10.99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以及办公费</w:t>
      </w:r>
      <w:r>
        <w:rPr>
          <w:rFonts w:hint="eastAsia" w:ascii="仿宋" w:hAnsi="仿宋" w:eastAsia="仿宋" w:cs="仿宋"/>
          <w:color w:val="auto"/>
          <w:sz w:val="32"/>
          <w:szCs w:val="32"/>
          <w:lang w:val="en-US" w:eastAsia="zh-CN"/>
        </w:rPr>
        <w:t>0.4万元</w:t>
      </w:r>
      <w:r>
        <w:rPr>
          <w:rFonts w:hint="eastAsia" w:ascii="仿宋" w:hAnsi="仿宋" w:eastAsia="仿宋" w:cs="仿宋"/>
          <w:color w:val="auto"/>
          <w:sz w:val="32"/>
          <w:szCs w:val="32"/>
        </w:rPr>
        <w:t>、印刷费</w:t>
      </w:r>
      <w:r>
        <w:rPr>
          <w:rFonts w:hint="eastAsia" w:ascii="仿宋" w:hAnsi="仿宋" w:eastAsia="仿宋" w:cs="仿宋"/>
          <w:color w:val="auto"/>
          <w:sz w:val="32"/>
          <w:szCs w:val="32"/>
          <w:lang w:val="en-US" w:eastAsia="zh-CN"/>
        </w:rPr>
        <w:t>0.4万元</w:t>
      </w:r>
      <w:r>
        <w:rPr>
          <w:rFonts w:hint="eastAsia" w:ascii="仿宋" w:hAnsi="仿宋" w:eastAsia="仿宋" w:cs="仿宋"/>
          <w:color w:val="auto"/>
          <w:sz w:val="32"/>
          <w:szCs w:val="32"/>
        </w:rPr>
        <w:t>、咨询费</w:t>
      </w:r>
      <w:r>
        <w:rPr>
          <w:rFonts w:hint="eastAsia" w:ascii="仿宋" w:hAnsi="仿宋" w:eastAsia="仿宋" w:cs="仿宋"/>
          <w:color w:val="auto"/>
          <w:sz w:val="32"/>
          <w:szCs w:val="32"/>
          <w:lang w:val="en-US" w:eastAsia="zh-CN"/>
        </w:rPr>
        <w:t>0.1万元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水费</w:t>
      </w:r>
      <w:r>
        <w:rPr>
          <w:rFonts w:hint="eastAsia" w:ascii="仿宋" w:hAnsi="仿宋" w:eastAsia="仿宋" w:cs="仿宋"/>
          <w:color w:val="auto"/>
          <w:sz w:val="32"/>
          <w:szCs w:val="32"/>
          <w:lang w:val="en-US" w:eastAsia="zh-CN"/>
        </w:rPr>
        <w:t>0.2万元、电费0.2万元、邮电费0.1万元、取暖费0.1万元、物业管理费1万元、差旅费2万元、维修费2万元、会议费0.3万元、培训费0.3万元、公务接待费0.93万元、</w:t>
      </w:r>
      <w:r>
        <w:rPr>
          <w:rFonts w:hint="eastAsia" w:ascii="仿宋" w:hAnsi="仿宋" w:eastAsia="仿宋" w:cs="仿宋"/>
          <w:color w:val="auto"/>
          <w:sz w:val="32"/>
          <w:szCs w:val="32"/>
          <w:lang w:eastAsia="zh-CN"/>
        </w:rPr>
        <w:t>劳务费</w:t>
      </w:r>
      <w:r>
        <w:rPr>
          <w:rFonts w:hint="eastAsia" w:ascii="仿宋" w:hAnsi="仿宋" w:eastAsia="仿宋" w:cs="仿宋"/>
          <w:color w:val="auto"/>
          <w:sz w:val="32"/>
          <w:szCs w:val="32"/>
          <w:lang w:val="en-US" w:eastAsia="zh-CN"/>
        </w:rPr>
        <w:t>5万元、工会经费1万元、福利费1万元、其他交通费1万元、税金0.4万元、其他商品2.07万元</w:t>
      </w:r>
      <w:r>
        <w:rPr>
          <w:rFonts w:hint="eastAsia" w:asciiTheme="minorEastAsia" w:hAnsiTheme="minorEastAsia" w:eastAsiaTheme="minorEastAsia"/>
          <w:sz w:val="32"/>
          <w:szCs w:val="32"/>
          <w:lang w:eastAsia="zh-CN"/>
        </w:rPr>
        <w:t>等</w:t>
      </w:r>
      <w:r>
        <w:rPr>
          <w:rFonts w:hint="eastAsia" w:asciiTheme="minorEastAsia" w:hAnsiTheme="minorEastAsia"/>
          <w:sz w:val="32"/>
          <w:szCs w:val="32"/>
          <w:lang w:eastAsia="zh-CN"/>
        </w:rPr>
        <w:t>，</w:t>
      </w:r>
      <w:r>
        <w:rPr>
          <w:rFonts w:hint="eastAsia" w:ascii="仿宋" w:hAnsi="仿宋" w:eastAsia="仿宋" w:cs="仿宋"/>
          <w:color w:val="auto"/>
          <w:sz w:val="32"/>
          <w:szCs w:val="32"/>
        </w:rPr>
        <w:t>日常公用经费</w:t>
      </w:r>
      <w:r>
        <w:rPr>
          <w:rFonts w:hint="eastAsia" w:ascii="仿宋" w:hAnsi="仿宋" w:eastAsia="仿宋" w:cs="仿宋"/>
          <w:color w:val="auto"/>
          <w:sz w:val="32"/>
          <w:szCs w:val="32"/>
          <w:lang w:val="en-US" w:eastAsia="zh-CN"/>
        </w:rPr>
        <w:t>15.3万元和抚恤金0.97万元。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年“三公”经费决算</w:t>
      </w:r>
      <w:r>
        <w:rPr>
          <w:rFonts w:hint="eastAsia" w:ascii="仿宋" w:hAnsi="仿宋" w:eastAsia="仿宋" w:cs="仿宋"/>
          <w:color w:val="auto"/>
          <w:sz w:val="32"/>
          <w:szCs w:val="32"/>
          <w:lang w:val="en-US" w:eastAsia="zh-CN"/>
        </w:rPr>
        <w:t>0.93</w:t>
      </w:r>
      <w:r>
        <w:rPr>
          <w:rFonts w:hint="eastAsia" w:ascii="仿宋" w:hAnsi="仿宋" w:eastAsia="仿宋" w:cs="仿宋"/>
          <w:color w:val="auto"/>
          <w:sz w:val="32"/>
          <w:szCs w:val="32"/>
        </w:rPr>
        <w:t>万元，其中：公务接待费</w:t>
      </w:r>
      <w:r>
        <w:rPr>
          <w:rFonts w:hint="eastAsia" w:ascii="仿宋" w:hAnsi="仿宋" w:eastAsia="仿宋" w:cs="仿宋"/>
          <w:color w:val="auto"/>
          <w:sz w:val="32"/>
          <w:szCs w:val="32"/>
          <w:lang w:val="en-US" w:eastAsia="zh-CN"/>
        </w:rPr>
        <w:t>0.93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国内公务接待</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批次，接待人数</w:t>
      </w:r>
      <w:r>
        <w:rPr>
          <w:rFonts w:hint="eastAsia" w:ascii="仿宋" w:hAnsi="仿宋" w:eastAsia="仿宋" w:cs="仿宋"/>
          <w:color w:val="auto"/>
          <w:sz w:val="32"/>
          <w:szCs w:val="32"/>
          <w:lang w:val="en-US" w:eastAsia="zh-CN"/>
        </w:rPr>
        <w:t>130</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相比减少</w:t>
      </w:r>
      <w:r>
        <w:rPr>
          <w:rFonts w:hint="eastAsia" w:ascii="仿宋" w:hAnsi="仿宋" w:eastAsia="仿宋" w:cs="仿宋"/>
          <w:color w:val="auto"/>
          <w:sz w:val="32"/>
          <w:szCs w:val="32"/>
          <w:lang w:val="en-US" w:eastAsia="zh-CN"/>
        </w:rPr>
        <w:t>0.02万元，主要是厉行节约的原则；</w:t>
      </w:r>
      <w:r>
        <w:rPr>
          <w:rFonts w:hint="eastAsia" w:ascii="仿宋" w:hAnsi="仿宋" w:eastAsia="仿宋" w:cs="仿宋"/>
          <w:color w:val="auto"/>
          <w:sz w:val="32"/>
          <w:szCs w:val="32"/>
        </w:rPr>
        <w:t>公务用车购置数</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台，车辆保有量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（二）项目支出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280" w:firstLineChars="4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无项目经费支出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部门整体支出管理情况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领导高度重视，制度执行比较到位，资金使用效益进一步提高。201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年度加强了财务管理，落实厉行节约的各项规定，“三公”经费实现了压缩，比去年压缩了</w:t>
      </w:r>
      <w:r>
        <w:rPr>
          <w:rFonts w:hint="eastAsia" w:ascii="仿宋" w:hAnsi="仿宋" w:eastAsia="仿宋" w:cs="仿宋"/>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对2018年度部门整体支出数据进行核实，将2018年度和2017年度部门整体支出情况进行比较分析。查阅2018年度预算安排、相关文件资料和财务凭证。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20" w:firstLineChars="1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我单位充分履行职责职能,严格按财经法规及制度使用管理资金,成效明显,主要体现在以下几个方面：</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一是狠抓资金使用效益。表现在: 1、保障了职工工资,津补贴的及时足额发放,没有出现拖欠职工工资,离退休费用等现象；2、保障了单位的正常运转,各项工作开展顺利,各项指标得到了增长,农民收入得到了提高；3、财政供养人员控制较好；4、资金使用无虚列支出及随意使用现象,无大额现金支付现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 二）是资金使用社会效益好。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1、选育、培育20个优质常规稻和20个杂交稻品种；2、搞好全县杂交水稻制种管理工作，确保水稻和其他农作品种供应；3发布种子信息2.3万份，、推广优质农作物种子240万公斤。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（三）是效率性高。用有限的资金全力保障了全县水稻种子的供应。农民收入得到了提高。单位生产生活稳定，职工安居乐业。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一）预算资金安排不足；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（二）资产管理方面没有经验，账务处理不及时、彻底。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、改进措施和有关建议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(一)改进措施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加强政策学习，提高思想认识。搞好人员培训，加强会计队伍建设。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规范账务处理，提高财务信息质量。进一步建章立制，确保会计核算规范化。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希望财政部门按进度拨付各项资金，保障各项工作顺利开展。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希望财政部门开展相关的业务工作培训，提高财务人员业务水平。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3840" w:firstLineChars="1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道县</w:t>
      </w:r>
      <w:r>
        <w:rPr>
          <w:rFonts w:hint="eastAsia" w:ascii="仿宋" w:hAnsi="仿宋" w:eastAsia="仿宋" w:cs="仿宋"/>
          <w:color w:val="auto"/>
          <w:sz w:val="32"/>
          <w:szCs w:val="32"/>
          <w:lang w:val="en-US" w:eastAsia="zh-CN"/>
        </w:rPr>
        <w:t>种子技术推广服务站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160" w:firstLineChars="13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7690"/>
    <w:multiLevelType w:val="singleLevel"/>
    <w:tmpl w:val="13CA7690"/>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6693D"/>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40C4BCB"/>
    <w:rsid w:val="06CB4EC4"/>
    <w:rsid w:val="0A543DCF"/>
    <w:rsid w:val="0E44213F"/>
    <w:rsid w:val="11452158"/>
    <w:rsid w:val="11B01B79"/>
    <w:rsid w:val="14546E7D"/>
    <w:rsid w:val="1A0561D0"/>
    <w:rsid w:val="1B9507C8"/>
    <w:rsid w:val="24592B08"/>
    <w:rsid w:val="29F7604E"/>
    <w:rsid w:val="2BE23FC5"/>
    <w:rsid w:val="2BF52824"/>
    <w:rsid w:val="319201FE"/>
    <w:rsid w:val="34D0693D"/>
    <w:rsid w:val="36F81116"/>
    <w:rsid w:val="4C3B43B0"/>
    <w:rsid w:val="53D025CA"/>
    <w:rsid w:val="54280F35"/>
    <w:rsid w:val="55497631"/>
    <w:rsid w:val="55FB694D"/>
    <w:rsid w:val="56B9224D"/>
    <w:rsid w:val="580E364A"/>
    <w:rsid w:val="659637EB"/>
    <w:rsid w:val="65E752F3"/>
    <w:rsid w:val="66742A2E"/>
    <w:rsid w:val="688B6CBC"/>
    <w:rsid w:val="6A7F2A63"/>
    <w:rsid w:val="6D2A71D7"/>
    <w:rsid w:val="75F63E6B"/>
    <w:rsid w:val="772D08C5"/>
    <w:rsid w:val="7F7E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No Spacing"/>
    <w:qFormat/>
    <w:uiPriority w:val="1"/>
    <w:pPr>
      <w:widowControl w:val="0"/>
      <w:jc w:val="both"/>
    </w:pPr>
    <w:rPr>
      <w:rFonts w:ascii="Calibri" w:hAnsi="Calibri"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4</TotalTime>
  <ScaleCrop>false</ScaleCrop>
  <LinksUpToDate>false</LinksUpToDate>
  <CharactersWithSpaces>1747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神枪手</cp:lastModifiedBy>
  <dcterms:modified xsi:type="dcterms:W3CDTF">2021-06-17T07:34:55Z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