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sz w:val="84"/>
          <w:szCs w:val="84"/>
        </w:rPr>
      </w:pPr>
    </w:p>
    <w:p>
      <w:pPr>
        <w:pStyle w:val="10"/>
        <w:jc w:val="center"/>
        <w:rPr>
          <w:sz w:val="30"/>
          <w:szCs w:val="30"/>
        </w:rPr>
      </w:pPr>
      <w:r>
        <w:rPr>
          <w:rFonts w:hint="eastAsia"/>
          <w:sz w:val="30"/>
          <w:szCs w:val="30"/>
        </w:rPr>
        <w:t>2019年度</w:t>
      </w:r>
    </w:p>
    <w:p>
      <w:pPr>
        <w:pStyle w:val="10"/>
        <w:jc w:val="center"/>
        <w:rPr>
          <w:sz w:val="30"/>
          <w:szCs w:val="30"/>
        </w:rPr>
      </w:pPr>
      <w:r>
        <w:rPr>
          <w:rFonts w:hint="eastAsia"/>
          <w:sz w:val="30"/>
          <w:szCs w:val="30"/>
        </w:rPr>
        <w:t>道县市场服务中心部门决算</w:t>
      </w:r>
    </w:p>
    <w:p>
      <w:pPr>
        <w:pStyle w:val="10"/>
        <w:spacing w:line="520" w:lineRule="exact"/>
        <w:ind w:firstLine="3360" w:firstLineChars="1200"/>
        <w:rPr>
          <w:sz w:val="28"/>
          <w:szCs w:val="28"/>
        </w:rPr>
      </w:pPr>
      <w:r>
        <w:rPr>
          <w:rFonts w:hint="eastAsia"/>
          <w:sz w:val="28"/>
          <w:szCs w:val="28"/>
        </w:rPr>
        <w:t>目录</w:t>
      </w:r>
    </w:p>
    <w:p>
      <w:pPr>
        <w:pStyle w:val="10"/>
        <w:spacing w:line="520" w:lineRule="exact"/>
        <w:rPr>
          <w:rFonts w:ascii="仿宋_GB2312" w:hAnsi="仿宋_GB2312" w:cs="仿宋_GB2312"/>
          <w:b/>
          <w:sz w:val="28"/>
          <w:szCs w:val="28"/>
        </w:rPr>
      </w:pPr>
      <w:r>
        <w:rPr>
          <w:rFonts w:hint="eastAsia"/>
          <w:b/>
          <w:sz w:val="28"/>
          <w:szCs w:val="28"/>
        </w:rPr>
        <w:t>第一部分 道县市场服务中心单位概况</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cs="仿宋_GB2312" w:asciiTheme="minorEastAsia" w:hAnsiTheme="minorEastAsia" w:eastAsiaTheme="minorEastAsia"/>
          <w:sz w:val="28"/>
          <w:szCs w:val="28"/>
        </w:rPr>
        <w:t>、部门职责</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cs="仿宋_GB2312" w:asciiTheme="minorEastAsia" w:hAnsiTheme="minorEastAsia" w:eastAsiaTheme="minorEastAsia"/>
          <w:sz w:val="28"/>
          <w:szCs w:val="28"/>
        </w:rPr>
        <w:t>、机构设置</w:t>
      </w:r>
    </w:p>
    <w:p>
      <w:pPr>
        <w:pStyle w:val="10"/>
        <w:spacing w:line="520" w:lineRule="exact"/>
        <w:rPr>
          <w:rFonts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部门</w:t>
      </w:r>
      <w:r>
        <w:rPr>
          <w:rFonts w:cs="仿宋_GB2312" w:asciiTheme="minorEastAsia" w:hAnsiTheme="minorEastAsia" w:eastAsiaTheme="minorEastAsia"/>
          <w:sz w:val="28"/>
          <w:szCs w:val="28"/>
        </w:rPr>
        <w:t>收支决算总表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部门</w:t>
      </w:r>
      <w:r>
        <w:rPr>
          <w:rFonts w:cs="仿宋_GB2312" w:asciiTheme="minorEastAsia" w:hAnsiTheme="minorEastAsia" w:eastAsiaTheme="minorEastAsia"/>
          <w:sz w:val="28"/>
          <w:szCs w:val="28"/>
        </w:rPr>
        <w:t>收入决算表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部门</w:t>
      </w:r>
      <w:r>
        <w:rPr>
          <w:rFonts w:cs="仿宋_GB2312" w:asciiTheme="minorEastAsia" w:hAnsiTheme="minorEastAsia" w:eastAsiaTheme="minorEastAsia"/>
          <w:sz w:val="28"/>
          <w:szCs w:val="28"/>
        </w:rPr>
        <w:t>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4</w:t>
      </w:r>
      <w:r>
        <w:rPr>
          <w:rFonts w:cs="仿宋_GB2312" w:asciiTheme="minorEastAsia" w:hAnsiTheme="minorEastAsia" w:eastAsiaTheme="minorEastAsia"/>
          <w:sz w:val="28"/>
          <w:szCs w:val="28"/>
        </w:rPr>
        <w:t>、财政拨款收支决算总表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5</w:t>
      </w:r>
      <w:r>
        <w:rPr>
          <w:rFonts w:cs="仿宋_GB2312" w:asciiTheme="minorEastAsia" w:hAnsiTheme="minorEastAsia" w:eastAsiaTheme="minorEastAsia"/>
          <w:sz w:val="28"/>
          <w:szCs w:val="28"/>
        </w:rPr>
        <w:t>、一般公共预算财政拨款支出决算表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6</w:t>
      </w:r>
      <w:r>
        <w:rPr>
          <w:rFonts w:cs="仿宋_GB2312" w:asciiTheme="minorEastAsia" w:hAnsiTheme="minorEastAsia" w:eastAsiaTheme="minorEastAsia"/>
          <w:sz w:val="28"/>
          <w:szCs w:val="28"/>
        </w:rPr>
        <w:t>、一般公共预算财政拨款基本支出决算表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7</w:t>
      </w:r>
      <w:r>
        <w:rPr>
          <w:rFonts w:cs="仿宋_GB2312" w:asciiTheme="minorEastAsia" w:hAnsiTheme="minorEastAsia" w:eastAsiaTheme="minorEastAsia"/>
          <w:sz w:val="28"/>
          <w:szCs w:val="28"/>
        </w:rPr>
        <w:t>、一般公共预算财政拨款“三公”经费支出决算表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8</w:t>
      </w:r>
      <w:r>
        <w:rPr>
          <w:rFonts w:cs="仿宋_GB2312" w:asciiTheme="minorEastAsia" w:hAnsiTheme="minorEastAsia" w:eastAsiaTheme="minorEastAsia"/>
          <w:sz w:val="28"/>
          <w:szCs w:val="28"/>
        </w:rPr>
        <w:t>、政府性基金预算财政拨款收入支出决算表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cs="仿宋_GB2312" w:asciiTheme="minorEastAsia" w:hAnsiTheme="minorEastAsia" w:eastAsiaTheme="minorEastAsia"/>
          <w:sz w:val="28"/>
          <w:szCs w:val="28"/>
        </w:rPr>
        <w:t>、收入支出决算总体情况说明</w:t>
      </w:r>
    </w:p>
    <w:p>
      <w:pPr>
        <w:spacing w:line="52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rPr>
        <w:t>2</w:t>
      </w:r>
      <w:r>
        <w:rPr>
          <w:rFonts w:ascii="仿宋_GB2312" w:hAnsi="仿宋_GB2312" w:cs="仿宋_GB2312"/>
          <w:sz w:val="28"/>
          <w:szCs w:val="28"/>
        </w:rPr>
        <w:t>、收入决算情况说明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3</w:t>
      </w:r>
      <w:r>
        <w:rPr>
          <w:rFonts w:ascii="仿宋_GB2312" w:hAnsi="仿宋_GB2312" w:cs="仿宋_GB2312"/>
          <w:color w:val="000000"/>
          <w:kern w:val="0"/>
          <w:sz w:val="28"/>
          <w:szCs w:val="28"/>
        </w:rPr>
        <w:t>、支出决算情况说明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4</w:t>
      </w:r>
      <w:r>
        <w:rPr>
          <w:rFonts w:ascii="仿宋_GB2312" w:hAnsi="仿宋_GB2312" w:cs="仿宋_GB2312"/>
          <w:color w:val="000000"/>
          <w:kern w:val="0"/>
          <w:sz w:val="28"/>
          <w:szCs w:val="28"/>
        </w:rPr>
        <w:t>、财政拨款收入支出决算总体情况说明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5</w:t>
      </w:r>
      <w:r>
        <w:rPr>
          <w:rFonts w:ascii="仿宋_GB2312" w:hAnsi="仿宋_GB2312" w:cs="仿宋_GB2312"/>
          <w:color w:val="000000"/>
          <w:kern w:val="0"/>
          <w:sz w:val="28"/>
          <w:szCs w:val="28"/>
        </w:rPr>
        <w:t>、一般公共预算财政拨款支出决算情况说明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6</w:t>
      </w:r>
      <w:r>
        <w:rPr>
          <w:rFonts w:ascii="仿宋_GB2312" w:hAnsi="仿宋_GB2312" w:cs="仿宋_GB2312"/>
          <w:color w:val="000000"/>
          <w:kern w:val="0"/>
          <w:sz w:val="28"/>
          <w:szCs w:val="28"/>
        </w:rPr>
        <w:t>、一般公共预算财政拨款基本支出决算情况说明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7</w:t>
      </w:r>
      <w:r>
        <w:rPr>
          <w:rFonts w:ascii="仿宋_GB2312" w:hAnsi="仿宋_GB2312" w:cs="仿宋_GB2312"/>
          <w:color w:val="000000"/>
          <w:kern w:val="0"/>
          <w:sz w:val="28"/>
          <w:szCs w:val="28"/>
        </w:rPr>
        <w:t>、一般公共预算财政拨款三公经费支出决算情况说明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8</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9</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10</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pStyle w:val="10"/>
        <w:rPr>
          <w:sz w:val="28"/>
          <w:szCs w:val="28"/>
        </w:rPr>
      </w:pPr>
    </w:p>
    <w:p>
      <w:pPr>
        <w:pStyle w:val="10"/>
        <w:jc w:val="center"/>
        <w:rPr>
          <w:sz w:val="28"/>
          <w:szCs w:val="28"/>
        </w:rPr>
      </w:pPr>
      <w:r>
        <w:rPr>
          <w:rFonts w:hint="eastAsia"/>
          <w:sz w:val="28"/>
          <w:szCs w:val="28"/>
        </w:rPr>
        <w:t>第一部分</w:t>
      </w:r>
    </w:p>
    <w:p>
      <w:pPr>
        <w:pStyle w:val="10"/>
        <w:jc w:val="center"/>
        <w:rPr>
          <w:sz w:val="28"/>
          <w:szCs w:val="28"/>
        </w:rPr>
      </w:pPr>
    </w:p>
    <w:p>
      <w:pPr>
        <w:pStyle w:val="10"/>
        <w:jc w:val="center"/>
        <w:rPr>
          <w:sz w:val="28"/>
          <w:szCs w:val="28"/>
        </w:rPr>
      </w:pPr>
      <w:r>
        <w:rPr>
          <w:rFonts w:hint="eastAsia"/>
          <w:sz w:val="28"/>
          <w:szCs w:val="28"/>
        </w:rPr>
        <w:t>道县市场服务中心部门概况</w:t>
      </w: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道县市场服务中心是2000年4月依照湘政发[1999]24号文件精神成立的直属县政府管理的正科级自收自支事业单位，实行企业化管理。主要职责：</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1、研究拟定市场服务中心的有关政策措施和规章制度。</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2、负责市场培育建设和市场交易服务工作；配合有关部门做好市场布局审批和规划，参与市场建设、市场开发。组织实施新建市场立项前的论证、审查、经审查同意后到有关单位办理相关手续。</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3、牵头组织有关部门取缔马路市场，组织实施同类商品市场的集约经营。</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4、负责市场经营者的思想政治工作和法制教育，教育、引导市场经营者依法依规文明经营。建立市场服务管理的规章制度，督促、检查规章制度的执行落实，对违章行为予以处罚。</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5、经营市场的资产，负责市场内的物业管理、市场规划、市场开发和维修。</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6、负责市场内治安、消防、卫生等日常服务。</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7、提供交易场所和服务设施，开展代储、代运、信息咨询和其他服务。</w:t>
      </w:r>
    </w:p>
    <w:p>
      <w:pPr>
        <w:ind w:firstLine="480" w:firstLineChars="150"/>
        <w:rPr>
          <w:rFonts w:cs="仿宋" w:asciiTheme="minorEastAsia" w:hAnsiTheme="minorEastAsia"/>
          <w:sz w:val="32"/>
          <w:szCs w:val="32"/>
        </w:rPr>
      </w:pPr>
      <w:r>
        <w:rPr>
          <w:rFonts w:hint="eastAsia" w:cs="仿宋" w:asciiTheme="minorEastAsia" w:hAnsiTheme="minorEastAsia"/>
          <w:sz w:val="32"/>
          <w:szCs w:val="32"/>
        </w:rPr>
        <w:t>8、收取市场设施租赁费、交易手续提成费和其他符合国家和省规定的有偿服务费。</w:t>
      </w:r>
    </w:p>
    <w:p>
      <w:pPr>
        <w:widowControl/>
        <w:spacing w:line="600" w:lineRule="exact"/>
        <w:rPr>
          <w:rFonts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320" w:firstLineChars="100"/>
        <w:rPr>
          <w:rFonts w:cs="仿宋" w:asciiTheme="minorEastAsia" w:hAnsiTheme="minorEastAsia"/>
          <w:sz w:val="32"/>
          <w:szCs w:val="32"/>
        </w:rPr>
      </w:pPr>
      <w:r>
        <w:rPr>
          <w:rFonts w:hint="eastAsia" w:cs="仿宋" w:asciiTheme="minorEastAsia" w:hAnsiTheme="minorEastAsia"/>
          <w:sz w:val="32"/>
          <w:szCs w:val="32"/>
        </w:rPr>
        <w:t>（一）内设机构设置。道县市场服务中心内设包括：办公室、政工股、规划建设股、市场经营股、治安消防股，下设城南、城北、梅花、寿雁、四马桥市场交易服务所。</w:t>
      </w:r>
    </w:p>
    <w:p>
      <w:pPr>
        <w:pStyle w:val="11"/>
        <w:ind w:firstLine="320" w:firstLineChars="100"/>
        <w:rPr>
          <w:rFonts w:ascii="黑体" w:hAnsi="黑体" w:eastAsia="黑体"/>
          <w:sz w:val="28"/>
          <w:szCs w:val="28"/>
        </w:rPr>
      </w:pPr>
      <w:r>
        <w:rPr>
          <w:rFonts w:hint="eastAsia" w:cs="仿宋" w:asciiTheme="minorEastAsia" w:hAnsiTheme="minorEastAsia"/>
          <w:bCs/>
          <w:color w:val="000000"/>
          <w:sz w:val="32"/>
          <w:szCs w:val="32"/>
        </w:rPr>
        <w:t>（二）决算单位构成。道县市场服务中无二级预算单位。因此，道县市场服务中心2019年部门决算即道县市场服务中心本级2019年部门决算。</w:t>
      </w:r>
    </w:p>
    <w:p>
      <w:pPr>
        <w:pStyle w:val="11"/>
        <w:widowControl/>
        <w:spacing w:line="600" w:lineRule="exact"/>
        <w:ind w:left="720" w:firstLine="0" w:firstLineChars="0"/>
        <w:rPr>
          <w:rFonts w:cs="仿宋" w:asciiTheme="minorEastAsia" w:hAnsiTheme="minorEastAsia"/>
          <w:bCs/>
          <w:kern w:val="0"/>
          <w:sz w:val="32"/>
          <w:szCs w:val="32"/>
        </w:rPr>
      </w:pPr>
      <w:r>
        <w:rPr>
          <w:rFonts w:hint="eastAsia" w:cs="仿宋" w:asciiTheme="minorEastAsia" w:hAnsiTheme="minorEastAsia"/>
          <w:bCs/>
          <w:color w:val="000000"/>
          <w:sz w:val="32"/>
          <w:szCs w:val="32"/>
        </w:rPr>
        <w:t>个</w:t>
      </w: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jc w:val="center"/>
        <w:rPr>
          <w:sz w:val="72"/>
          <w:szCs w:val="72"/>
        </w:rPr>
      </w:pPr>
    </w:p>
    <w:p>
      <w:pPr>
        <w:jc w:val="center"/>
        <w:rPr>
          <w:sz w:val="72"/>
          <w:szCs w:val="72"/>
        </w:rPr>
      </w:pPr>
    </w:p>
    <w:p>
      <w:pPr>
        <w:jc w:val="center"/>
        <w:rPr>
          <w:b/>
          <w:sz w:val="32"/>
          <w:szCs w:val="32"/>
        </w:rPr>
      </w:pPr>
    </w:p>
    <w:p>
      <w:pPr>
        <w:jc w:val="center"/>
        <w:rPr>
          <w:b/>
          <w:sz w:val="32"/>
          <w:szCs w:val="32"/>
        </w:rPr>
      </w:pPr>
      <w:r>
        <w:rPr>
          <w:rFonts w:hint="eastAsia"/>
          <w:b/>
          <w:sz w:val="32"/>
          <w:szCs w:val="32"/>
        </w:rPr>
        <w:t>第二部分</w:t>
      </w:r>
    </w:p>
    <w:p>
      <w:pPr>
        <w:jc w:val="center"/>
        <w:rPr>
          <w:b/>
          <w:sz w:val="32"/>
          <w:szCs w:val="32"/>
        </w:rPr>
        <w:sectPr>
          <w:pgSz w:w="11906" w:h="16838"/>
          <w:pgMar w:top="1440" w:right="1800" w:bottom="1440" w:left="1800" w:header="851" w:footer="992" w:gutter="0"/>
          <w:cols w:space="425" w:num="1"/>
          <w:docGrid w:type="lines" w:linePitch="312" w:charSpace="0"/>
        </w:sectPr>
      </w:pPr>
      <w:r>
        <w:rPr>
          <w:rFonts w:hint="eastAsia"/>
          <w:b/>
          <w:sz w:val="32"/>
          <w:szCs w:val="32"/>
        </w:rPr>
        <w:t>部门决算表</w:t>
      </w: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部门：道县市场服务中心公开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5"/>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29</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941.88</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31</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34</w:t>
            </w:r>
          </w:p>
        </w:tc>
        <w:tc>
          <w:tcPr>
            <w:tcW w:w="1681" w:type="dxa"/>
            <w:tcBorders>
              <w:top w:val="nil"/>
              <w:left w:val="nil"/>
              <w:bottom w:val="single" w:color="auto" w:sz="4" w:space="0"/>
              <w:right w:val="single" w:color="auto" w:sz="4" w:space="0"/>
            </w:tcBorders>
            <w:noWrap/>
            <w:vAlign w:val="center"/>
          </w:tcPr>
          <w:p>
            <w:pPr>
              <w:widowControl/>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七、文化旅游体育与传媒支出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c>
          <w:tcPr>
            <w:tcW w:w="1681" w:type="dxa"/>
            <w:tcBorders>
              <w:top w:val="nil"/>
              <w:left w:val="nil"/>
              <w:bottom w:val="single" w:color="auto" w:sz="4" w:space="0"/>
              <w:right w:val="single" w:color="auto" w:sz="4" w:space="0"/>
            </w:tcBorders>
            <w:noWrap/>
            <w:vAlign w:val="center"/>
          </w:tcPr>
          <w:p>
            <w:pPr>
              <w:widowControl/>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八、社会保障和就业支出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九、医疗卫生与计划生育支出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十、节能环保支出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十一、城乡社区支出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十二、农林水支出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十三、交通运输支出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十四、资源勘探信息等支出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42</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十五、商业服务业等支出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43</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十六、金融支出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44</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十七、援助其他地区支出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45</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十八、自然资源海洋气象等支出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46</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十九、住房保障支出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二十、粮油物资储备支出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48</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二十一、灾害防治及应急管理支出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49</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二十二、其他支出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23</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52</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kern w:val="0"/>
                <w:szCs w:val="21"/>
              </w:rPr>
              <w:t>1040.88</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56</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kern w:val="0"/>
                <w:szCs w:val="21"/>
              </w:rPr>
              <w:t>1040.88</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道县市场服务中心</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2410" w:type="dxa"/>
        <w:jc w:val="center"/>
        <w:tblLayout w:type="autofit"/>
        <w:tblCellMar>
          <w:top w:w="0" w:type="dxa"/>
          <w:left w:w="108" w:type="dxa"/>
          <w:bottom w:w="0" w:type="dxa"/>
          <w:right w:w="108" w:type="dxa"/>
        </w:tblCellMar>
      </w:tblPr>
      <w:tblGrid>
        <w:gridCol w:w="1197"/>
        <w:gridCol w:w="2696"/>
        <w:gridCol w:w="1004"/>
        <w:gridCol w:w="1241"/>
        <w:gridCol w:w="1274"/>
        <w:gridCol w:w="1209"/>
        <w:gridCol w:w="1417"/>
        <w:gridCol w:w="1391"/>
        <w:gridCol w:w="1276"/>
      </w:tblGrid>
      <w:tr>
        <w:tblPrEx>
          <w:tblCellMar>
            <w:top w:w="0" w:type="dxa"/>
            <w:left w:w="108" w:type="dxa"/>
            <w:bottom w:w="0" w:type="dxa"/>
            <w:right w:w="108" w:type="dxa"/>
          </w:tblCellMar>
        </w:tblPrEx>
        <w:trPr>
          <w:trHeight w:val="450" w:hRule="atLeast"/>
          <w:jc w:val="center"/>
        </w:trPr>
        <w:tc>
          <w:tcPr>
            <w:tcW w:w="3893"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70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241"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27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20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391"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1276"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7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76"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26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4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7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76"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3893"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3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76"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3893"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w:t>
            </w: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941.88</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941.88</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政府办公厅(室)及相关机构事务</w:t>
            </w:r>
          </w:p>
        </w:tc>
        <w:tc>
          <w:tcPr>
            <w:tcW w:w="709" w:type="dxa"/>
            <w:tcBorders>
              <w:top w:val="nil"/>
              <w:left w:val="nil"/>
              <w:bottom w:val="single" w:color="auto" w:sz="4"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10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其他政府办公厅（室）及相关机构事务支出</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241" w:type="dxa"/>
            <w:tcBorders>
              <w:top w:val="nil"/>
              <w:left w:val="nil"/>
              <w:bottom w:val="single" w:color="auto" w:sz="4" w:space="0"/>
              <w:right w:val="single" w:color="auto" w:sz="4" w:space="0"/>
            </w:tcBorders>
            <w:shd w:val="clear" w:color="auto" w:fill="auto"/>
            <w:noWrap/>
            <w:vAlign w:val="center"/>
          </w:tcPr>
          <w:p>
            <w:pPr>
              <w:widowControl/>
              <w:ind w:firstLine="210" w:firstLineChars="10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10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2019999</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10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城乡社区支出</w:t>
            </w:r>
          </w:p>
        </w:tc>
        <w:tc>
          <w:tcPr>
            <w:tcW w:w="709"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709"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420" w:firstLine="210" w:firstLineChars="10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2120501</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709"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商业服务业等支出</w:t>
            </w:r>
          </w:p>
        </w:tc>
        <w:tc>
          <w:tcPr>
            <w:tcW w:w="709"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21602</w:t>
            </w:r>
          </w:p>
        </w:tc>
        <w:tc>
          <w:tcPr>
            <w:tcW w:w="26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商业流通事务</w:t>
            </w:r>
          </w:p>
        </w:tc>
        <w:tc>
          <w:tcPr>
            <w:tcW w:w="709" w:type="dxa"/>
            <w:tcBorders>
              <w:top w:val="nil"/>
              <w:left w:val="nil"/>
              <w:bottom w:val="single" w:color="auto" w:sz="4"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241" w:type="dxa"/>
            <w:tcBorders>
              <w:top w:val="nil"/>
              <w:left w:val="nil"/>
              <w:bottom w:val="single" w:color="auto" w:sz="4"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27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2160299</w:t>
            </w:r>
          </w:p>
        </w:tc>
        <w:tc>
          <w:tcPr>
            <w:tcW w:w="269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其他商业流通事务支出</w:t>
            </w:r>
          </w:p>
        </w:tc>
        <w:tc>
          <w:tcPr>
            <w:tcW w:w="709" w:type="dxa"/>
            <w:tcBorders>
              <w:top w:val="nil"/>
              <w:left w:val="nil"/>
              <w:bottom w:val="single" w:color="auto" w:sz="8" w:space="0"/>
              <w:right w:val="single" w:color="auto" w:sz="4" w:space="0"/>
            </w:tcBorders>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241" w:type="dxa"/>
            <w:tcBorders>
              <w:top w:val="nil"/>
              <w:left w:val="nil"/>
              <w:bottom w:val="single" w:color="auto" w:sz="8" w:space="0"/>
              <w:right w:val="single" w:color="auto" w:sz="4" w:space="0"/>
            </w:tcBorders>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274"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09"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7"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91"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76"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241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 w:val="20"/>
          <w:szCs w:val="20"/>
        </w:rPr>
        <w:t>道县市场服务中心</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5"/>
        <w:tblW w:w="1356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02"/>
        <w:gridCol w:w="3426"/>
        <w:gridCol w:w="1358"/>
        <w:gridCol w:w="1134"/>
        <w:gridCol w:w="1418"/>
        <w:gridCol w:w="1559"/>
        <w:gridCol w:w="1701"/>
        <w:gridCol w:w="18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4528"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35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134"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41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55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701"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1864"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3426"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35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13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41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5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0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64"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342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35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13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41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5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01"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64"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4528"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59"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70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6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4528"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418" w:type="dxa"/>
            <w:shd w:val="clear" w:color="auto" w:fill="auto"/>
            <w:noWrap/>
            <w:vAlign w:val="center"/>
          </w:tcPr>
          <w:p>
            <w:pPr>
              <w:widowControl/>
              <w:ind w:right="42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404.00</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941.88</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政府办公厅(室)及相关机构事务</w:t>
            </w:r>
          </w:p>
        </w:tc>
        <w:tc>
          <w:tcPr>
            <w:tcW w:w="1358" w:type="dxa"/>
            <w:shd w:val="clear" w:color="auto" w:fill="auto"/>
            <w:noWrap/>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其他政府办公厅（室）及相关机构事务支出</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2019999</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135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城乡社区支出</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2120501</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1358" w:type="dxa"/>
            <w:shd w:val="clear" w:color="auto" w:fill="auto"/>
            <w:noWrap/>
            <w:vAlign w:val="center"/>
          </w:tcPr>
          <w:p>
            <w:pPr>
              <w:widowControl/>
              <w:wordWrap w:val="0"/>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商业服务业等支出</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21602</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商业流通事务</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2160299</w:t>
            </w:r>
          </w:p>
        </w:tc>
        <w:tc>
          <w:tcPr>
            <w:tcW w:w="3426"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其他商业流通事务支出</w:t>
            </w:r>
          </w:p>
        </w:tc>
        <w:tc>
          <w:tcPr>
            <w:tcW w:w="1358" w:type="dxa"/>
            <w:shd w:val="clear" w:color="auto" w:fill="auto"/>
            <w:noWrap/>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134" w:type="dxa"/>
            <w:shd w:val="clear" w:color="auto" w:fill="auto"/>
            <w:noWrap/>
            <w:vAlign w:val="center"/>
          </w:tcPr>
          <w:p>
            <w:pPr>
              <w:widowControl/>
              <w:jc w:val="center"/>
              <w:rPr>
                <w:rFonts w:ascii="Times New Roman" w:hAnsi="Times New Roman" w:eastAsia="仿宋_GB2312" w:cs="Times New Roman"/>
                <w:kern w:val="0"/>
                <w:szCs w:val="21"/>
              </w:rPr>
            </w:pPr>
          </w:p>
        </w:tc>
        <w:tc>
          <w:tcPr>
            <w:tcW w:w="141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559"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01"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道县市场服务中心</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5"/>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941.88</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941.88</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七、文化旅游体育与传媒支出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36</w:t>
            </w:r>
          </w:p>
        </w:tc>
        <w:tc>
          <w:tcPr>
            <w:tcW w:w="1880" w:type="dxa"/>
            <w:shd w:val="clear" w:color="auto" w:fill="auto"/>
            <w:noWrap/>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八、社会保障和就业支出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w:t>
            </w:r>
          </w:p>
        </w:tc>
        <w:tc>
          <w:tcPr>
            <w:tcW w:w="1880" w:type="dxa"/>
            <w:shd w:val="clear" w:color="auto" w:fill="auto"/>
            <w:noWrap/>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九、医疗卫生与计划生育支出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十、节能环保支出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十一、城乡社区支出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十二、农林水支出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十三、交通运输支出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十四、资源勘探信息等支出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十五、商业服务业等支出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十六、金融支出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十七、援助其他地区支出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十八、自然资源海洋气象等支出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十九、住房保障支出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二十、粮油物资储备支出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二十一、灾害防治及应急管理支出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二十二、其他支出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23</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1040.88</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1040.88</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1040.88</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道县市场服务中心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1040.88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941.88</w:t>
            </w:r>
          </w:p>
        </w:tc>
        <w:tc>
          <w:tcPr>
            <w:tcW w:w="3492" w:type="dxa"/>
            <w:tcBorders>
              <w:top w:val="nil"/>
              <w:left w:val="nil"/>
              <w:bottom w:val="single" w:color="auto" w:sz="4" w:space="0"/>
              <w:right w:val="single" w:color="auto" w:sz="4" w:space="0"/>
            </w:tcBorders>
            <w:shd w:val="clear" w:color="auto" w:fill="auto"/>
            <w:vAlign w:val="center"/>
          </w:tcPr>
          <w:p>
            <w:pPr>
              <w:widowControl/>
              <w:ind w:firstLine="1365" w:firstLineChars="65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3000" w:type="dxa"/>
            <w:tcBorders>
              <w:top w:val="nil"/>
              <w:left w:val="nil"/>
              <w:bottom w:val="single" w:color="auto" w:sz="4" w:space="0"/>
              <w:right w:val="single" w:color="auto" w:sz="8" w:space="0"/>
            </w:tcBorders>
            <w:shd w:val="clear" w:color="auto" w:fill="auto"/>
            <w:vAlign w:val="center"/>
          </w:tcPr>
          <w:p>
            <w:pPr>
              <w:widowControl/>
              <w:ind w:right="420" w:firstLine="1260" w:firstLineChars="60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政府办公厅(室)及相关机构事务</w:t>
            </w:r>
          </w:p>
        </w:tc>
        <w:tc>
          <w:tcPr>
            <w:tcW w:w="3000" w:type="dxa"/>
            <w:tcBorders>
              <w:top w:val="nil"/>
              <w:left w:val="nil"/>
              <w:bottom w:val="single" w:color="auto" w:sz="4" w:space="0"/>
              <w:right w:val="single" w:color="auto" w:sz="4" w:space="0"/>
            </w:tcBorders>
            <w:shd w:val="clear" w:color="auto" w:fill="auto"/>
            <w:vAlign w:val="center"/>
          </w:tcPr>
          <w:p>
            <w:pPr>
              <w:widowControl/>
              <w:ind w:right="315"/>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2010399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其他政府办公厅（室）及相关机构事务支出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2019999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636.88</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城乡社区支出</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2120501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城乡社区环境卫生</w:t>
            </w:r>
          </w:p>
        </w:tc>
        <w:tc>
          <w:tcPr>
            <w:tcW w:w="3000" w:type="dxa"/>
            <w:tcBorders>
              <w:top w:val="nil"/>
              <w:left w:val="nil"/>
              <w:bottom w:val="single" w:color="auto" w:sz="4" w:space="0"/>
              <w:right w:val="single" w:color="auto" w:sz="4" w:space="0"/>
            </w:tcBorders>
            <w:shd w:val="clear" w:color="auto" w:fill="auto"/>
            <w:vAlign w:val="center"/>
          </w:tcPr>
          <w:p>
            <w:pPr>
              <w:widowControl/>
              <w:wordWrap w:val="0"/>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商业服务业等支出</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商业流通事务</w:t>
            </w:r>
          </w:p>
        </w:tc>
        <w:tc>
          <w:tcPr>
            <w:tcW w:w="3000" w:type="dxa"/>
            <w:tcBorders>
              <w:top w:val="nil"/>
              <w:left w:val="nil"/>
              <w:bottom w:val="single" w:color="auto" w:sz="4"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2160299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其他商业流通事务支出</w:t>
            </w:r>
          </w:p>
        </w:tc>
        <w:tc>
          <w:tcPr>
            <w:tcW w:w="3000" w:type="dxa"/>
            <w:tcBorders>
              <w:top w:val="nil"/>
              <w:left w:val="nil"/>
              <w:bottom w:val="single" w:color="auto" w:sz="8" w:space="0"/>
              <w:right w:val="single" w:color="auto" w:sz="4" w:space="0"/>
            </w:tcBorders>
            <w:shd w:val="clear" w:color="auto" w:fill="auto"/>
            <w:vAlign w:val="center"/>
          </w:tcPr>
          <w:p>
            <w:pPr>
              <w:widowControl/>
              <w:ind w:right="21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82</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ind w:firstLine="105" w:firstLineChar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道县市场服务中心</w:t>
      </w:r>
    </w:p>
    <w:p>
      <w:pPr>
        <w:widowControl/>
        <w:ind w:firstLine="14280" w:firstLineChars="68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0" w:type="auto"/>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360.26</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231.61</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160.33</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7.46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4.57</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8.44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25.79</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0.12</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64.39</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22.24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16.78</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32.59</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57.67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47</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12.57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3.35</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45.01</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0.42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40.45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0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16.64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rPr>
              <w:t>43.45</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10.15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0.31</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rPr>
              <w:t>1.14</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4.73</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30.68</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eastAsia" w:ascii="Times New Roman" w:hAnsi="Times New Roman" w:eastAsia="宋体" w:cs="Times New Roman"/>
                <w:color w:val="000000"/>
                <w:kern w:val="0"/>
                <w:sz w:val="18"/>
                <w:szCs w:val="18"/>
                <w:lang w:val="en-US" w:eastAsia="zh-CN"/>
              </w:rPr>
              <w:t>405.27</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231.61</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6.5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lang w:val="en-US" w:eastAsia="zh-CN"/>
              </w:rPr>
              <w:t>0.5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3.35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0.31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0.31</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3.04</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w:t>
      </w:r>
      <w:r>
        <w:rPr>
          <w:rFonts w:hint="eastAsia" w:ascii="Times New Roman" w:hAnsi="Times New Roman" w:eastAsia="仿宋_GB2312" w:cs="Times New Roman"/>
          <w:kern w:val="0"/>
          <w:szCs w:val="21"/>
        </w:rPr>
        <w:t>道县市场服务中心没有政府性基金收入，也没有使用政府性基金安排的支出，故本表无数据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32"/>
          <w:szCs w:val="32"/>
        </w:rPr>
      </w:pPr>
    </w:p>
    <w:p>
      <w:pPr>
        <w:pStyle w:val="10"/>
        <w:jc w:val="center"/>
        <w:rPr>
          <w:sz w:val="32"/>
          <w:szCs w:val="32"/>
        </w:rPr>
      </w:pPr>
      <w:r>
        <w:rPr>
          <w:rFonts w:hint="eastAsia"/>
          <w:sz w:val="32"/>
          <w:szCs w:val="32"/>
        </w:rPr>
        <w:t>第三部分</w:t>
      </w:r>
    </w:p>
    <w:p>
      <w:pPr>
        <w:pStyle w:val="10"/>
        <w:jc w:val="center"/>
        <w:rPr>
          <w:sz w:val="32"/>
          <w:szCs w:val="32"/>
        </w:rPr>
      </w:pPr>
    </w:p>
    <w:p>
      <w:pPr>
        <w:pStyle w:val="10"/>
        <w:jc w:val="center"/>
        <w:rPr>
          <w:sz w:val="32"/>
          <w:szCs w:val="32"/>
        </w:rPr>
      </w:pPr>
      <w:r>
        <w:rPr>
          <w:sz w:val="32"/>
          <w:szCs w:val="32"/>
        </w:rPr>
        <w:t>2019</w:t>
      </w:r>
      <w:r>
        <w:rPr>
          <w:rFonts w:hint="eastAsia"/>
          <w:sz w:val="32"/>
          <w:szCs w:val="32"/>
        </w:rPr>
        <w:t>年度部门决算情况说明</w:t>
      </w:r>
    </w:p>
    <w:p>
      <w:pPr>
        <w:widowControl/>
        <w:jc w:val="left"/>
        <w:rPr>
          <w:rFonts w:ascii="黑体" w:eastAsia="黑体" w:cs="黑体"/>
          <w:color w:val="000000"/>
          <w:kern w:val="0"/>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年度收、支总计1040.88万元。与2018年收支1096.01万元相比，减少55.13万元,减少5.03%，主要是因为奖励性绩效工资未发减少了人员经费233.28万元,日常公用经费减少了45万元,项目支出比上年增加了223.16万元。</w:t>
      </w:r>
    </w:p>
    <w:p>
      <w:pPr>
        <w:pStyle w:val="10"/>
        <w:rPr>
          <w:rFonts w:hAnsi="黑体"/>
          <w:b/>
          <w:sz w:val="32"/>
          <w:szCs w:val="32"/>
        </w:rPr>
      </w:pPr>
      <w:r>
        <w:rPr>
          <w:rFonts w:hint="eastAsia" w:hAnsi="黑体"/>
          <w:b/>
          <w:sz w:val="32"/>
          <w:szCs w:val="32"/>
        </w:rPr>
        <w:t>二、收入决算情况说明</w:t>
      </w:r>
    </w:p>
    <w:p>
      <w:pPr>
        <w:pStyle w:val="10"/>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本年收入合计1040.88万元，其中：财政拨款收入1040.88万元，占100%；</w:t>
      </w:r>
      <w:r>
        <w:rPr>
          <w:rFonts w:ascii="Times New Roman" w:hAnsi="Times New Roman" w:eastAsia="仿宋_GB2312" w:cs="Times New Roman"/>
          <w:color w:val="auto"/>
          <w:sz w:val="32"/>
          <w:szCs w:val="32"/>
        </w:rPr>
        <w:t>上</w:t>
      </w:r>
      <w:r>
        <w:rPr>
          <w:rFonts w:hint="eastAsia" w:asciiTheme="minorEastAsia" w:hAnsiTheme="minorEastAsia" w:eastAsiaTheme="minorEastAsia" w:cstheme="minorEastAsia"/>
          <w:color w:val="auto"/>
          <w:sz w:val="32"/>
          <w:szCs w:val="32"/>
        </w:rPr>
        <w:t>级补助收入0万元，占0%；事业收入0万元，占0%；经营收入0万元，占0%；附属单位上缴收入0万元，占0%；其他收入0万元，占0%</w:t>
      </w:r>
      <w:r>
        <w:rPr>
          <w:rFonts w:ascii="Times New Roman" w:hAnsi="Times New Roman" w:eastAsia="仿宋_GB2312" w:cs="Times New Roman"/>
          <w:color w:val="auto"/>
          <w:sz w:val="32"/>
          <w:szCs w:val="32"/>
        </w:rPr>
        <w:t>。</w:t>
      </w:r>
    </w:p>
    <w:p>
      <w:pPr>
        <w:pStyle w:val="10"/>
        <w:rPr>
          <w:rFonts w:hAnsi="黑体"/>
          <w:b/>
          <w:sz w:val="32"/>
          <w:szCs w:val="32"/>
        </w:rPr>
      </w:pPr>
      <w:r>
        <w:rPr>
          <w:rFonts w:hint="eastAsia" w:hAnsi="黑体"/>
          <w:b/>
          <w:sz w:val="32"/>
          <w:szCs w:val="32"/>
        </w:rPr>
        <w:t>三、支出决算情况说明</w:t>
      </w:r>
    </w:p>
    <w:p>
      <w:pPr>
        <w:pStyle w:val="10"/>
        <w:spacing w:line="600" w:lineRule="exact"/>
        <w:ind w:firstLine="640" w:firstLineChars="200"/>
        <w:rPr>
          <w:rFonts w:asciiTheme="minorEastAsia" w:hAnsiTheme="minorEastAsia" w:eastAsiaTheme="minorEastAsia" w:cstheme="minorEastAsia"/>
          <w:color w:val="auto"/>
          <w:sz w:val="32"/>
          <w:szCs w:val="32"/>
        </w:rPr>
      </w:pPr>
      <w:r>
        <w:rPr>
          <w:rFonts w:hint="eastAsia" w:asciiTheme="minorEastAsia" w:hAnsiTheme="minorEastAsia" w:eastAsiaTheme="minorEastAsia"/>
          <w:sz w:val="32"/>
          <w:szCs w:val="32"/>
        </w:rPr>
        <w:t>本年支出合计1040.88万元，其中：基本支出636.88万元，占61.19%；项目支出404万元，占38.81%；</w:t>
      </w:r>
      <w:r>
        <w:rPr>
          <w:rFonts w:hint="eastAsia" w:asciiTheme="minorEastAsia" w:hAnsiTheme="minorEastAsia" w:eastAsiaTheme="minorEastAsia" w:cstheme="minorEastAsia"/>
          <w:color w:val="auto"/>
          <w:sz w:val="32"/>
          <w:szCs w:val="32"/>
        </w:rPr>
        <w:t>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支总计1040.88万元，与2018年相比，减少55.13万元,减少5.03%，主要是因为奖励性绩效工资未发减少了人员经费233.28万元,日常公用经费减少了45万元,项目支出比上年增加了223.16万元,新建了虎子岩家禽市场和富园市场。</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1040.88万元，占本年支出合计的100%，与2018年相比，财政拨款支出减少55.13万元，减少5.03%，主要是因为奖励性绩效工资未发减少了人员经费233.28万元,日常公用经费减少了45万元,项目支出比上年增加了223.17万元,新建了虎子岩家禽市场和富园市场。</w:t>
      </w:r>
    </w:p>
    <w:p>
      <w:pPr>
        <w:pStyle w:val="10"/>
        <w:ind w:firstLine="800" w:firstLineChars="250"/>
        <w:rPr>
          <w:rFonts w:asciiTheme="minorEastAsia" w:hAnsiTheme="minorEastAsia" w:eastAsiaTheme="minorEastAsia"/>
          <w:sz w:val="32"/>
          <w:szCs w:val="32"/>
        </w:rPr>
      </w:pP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2019年度财政拨款支出1040.88万元，主要用于以下方面：一般公共服务支出941.88万元，占90.5%；城乡社区支出17万元,占1.62%；商业服务业支出82万元,占7.88%。</w:t>
      </w:r>
    </w:p>
    <w:p>
      <w:pPr>
        <w:pStyle w:val="10"/>
        <w:ind w:firstLine="800" w:firstLineChars="2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2019年度财政拨款支出年初预算数为938.48万元，支出决算数为1040.88万元，完成年初预算的110.91%，其中：</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1、一般公共服务支出（类）其他政府办公厅（室）及相关机构（款）其他政府办公厅（室）及相关机构事务支出(项)。</w:t>
      </w:r>
    </w:p>
    <w:p>
      <w:pPr>
        <w:pStyle w:val="10"/>
        <w:ind w:firstLine="800" w:firstLineChars="25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年初预算为200万元，支出决算为305万元，完成预算的152.5%，决算数大于年初预算数的主要原因是：单位新建了家禽市场和富园市场。</w:t>
      </w:r>
    </w:p>
    <w:p>
      <w:pPr>
        <w:pStyle w:val="10"/>
        <w:ind w:firstLine="800" w:firstLineChars="25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2、一般公共服务支出（类）其他一般公共服务支出（款）其他一般公共服务支出(项)。</w:t>
      </w:r>
    </w:p>
    <w:p>
      <w:pPr>
        <w:pStyle w:val="10"/>
        <w:ind w:firstLine="800" w:firstLineChars="25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年初预算为726.47万元，支出决算为636.88万元，完成年初预算的87.67%，决算数小于年初预算数的主要原因是：压缩资金，减少开支。</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3、城乡社区支出（类）城乡社区环境卫生（款）城乡社区环境卫生（项）。</w:t>
      </w:r>
    </w:p>
    <w:p>
      <w:pPr>
        <w:pStyle w:val="10"/>
        <w:ind w:firstLine="800" w:firstLineChars="25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年初预算为0万元，支出决算为17万元，超出预算17万元，决算数大于年初预算数的主要原因是：单位新建了家禽市场和富园市场。</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4、商品服务业等支出（类）其他商业流通事务（款）其他商业流通事务支出（项）。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stheme="minorEastAsia"/>
          <w:color w:val="auto"/>
          <w:sz w:val="32"/>
          <w:szCs w:val="32"/>
        </w:rPr>
        <w:t>年初预算为12.01万元，支出决算为82万元，完成预算的150.15%，决算数大于年初预算数的主要原因是：单位新建了家禽市场和富园市场。</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2019年度财政拨款基本支出636.88万元，其中：人员经费405.2</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占基本支出的63.63%,主要包括基本工资、津贴补贴、奖金、绩效工资,机关事业单位基本养老保险缴费、职工基本医疗保险缴费、住房公积金、其他工资福利支出、生活补助、奖励金、对其他个人和家庭的补助</w:t>
      </w:r>
      <w:bookmarkStart w:id="2" w:name="_GoBack"/>
      <w:bookmarkEnd w:id="2"/>
      <w:r>
        <w:rPr>
          <w:rFonts w:hint="eastAsia" w:asciiTheme="minorEastAsia" w:hAnsiTheme="minorEastAsia" w:eastAsiaTheme="minorEastAsia"/>
          <w:sz w:val="32"/>
          <w:szCs w:val="32"/>
        </w:rPr>
        <w:t>支出；公用经费231.61万元，占基本支出的36.37%，主要包括办公费、印刷费、咨询费、水费、电费、邮电费、物业管理费、差旅费、维修(护)费、租赁费、</w:t>
      </w:r>
      <w:r>
        <w:rPr>
          <w:rFonts w:hint="eastAsia" w:cs="Times New Roman" w:asciiTheme="minorEastAsia" w:hAnsiTheme="minorEastAsia" w:eastAsiaTheme="minorEastAsia"/>
          <w:sz w:val="32"/>
          <w:szCs w:val="32"/>
        </w:rPr>
        <w:t>培训费、</w:t>
      </w:r>
      <w:r>
        <w:rPr>
          <w:rFonts w:hint="eastAsia" w:asciiTheme="minorEastAsia" w:hAnsiTheme="minorEastAsia" w:eastAsiaTheme="minorEastAsia"/>
          <w:sz w:val="32"/>
          <w:szCs w:val="32"/>
        </w:rPr>
        <w:t>公务接待费、劳务费、工会经费、福利费、公车运行维护费、其他交通费、税金及附加费用、其他商品和服务支出。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“三公”经费财政拨款支出预算为6.5万元，支出决算为3.35万元，完成预算的51.53%，其中：</w:t>
      </w:r>
    </w:p>
    <w:p>
      <w:pPr>
        <w:pStyle w:val="10"/>
        <w:spacing w:line="600" w:lineRule="exact"/>
        <w:ind w:firstLine="640" w:firstLineChars="200"/>
        <w:rPr>
          <w:rFonts w:asciiTheme="majorEastAsia" w:hAnsiTheme="majorEastAsia" w:eastAsiaTheme="majorEastAsia" w:cstheme="majorEastAsia"/>
          <w:color w:val="auto"/>
          <w:sz w:val="32"/>
          <w:szCs w:val="32"/>
        </w:rPr>
      </w:pPr>
      <w:r>
        <w:rPr>
          <w:rFonts w:hint="eastAsia" w:asciiTheme="minorEastAsia" w:hAnsiTheme="minorEastAsia" w:eastAsiaTheme="minorEastAsia"/>
          <w:sz w:val="32"/>
          <w:szCs w:val="32"/>
        </w:rPr>
        <w:t>因公出国（境）费支出预算为0万元，支出决算为0万元，</w:t>
      </w:r>
      <w:r>
        <w:rPr>
          <w:rFonts w:hint="eastAsia" w:asciiTheme="majorEastAsia" w:hAnsiTheme="majorEastAsia" w:eastAsiaTheme="majorEastAsia" w:cstheme="majorEastAsia"/>
          <w:color w:val="auto"/>
          <w:sz w:val="32"/>
          <w:szCs w:val="32"/>
        </w:rPr>
        <w:t>完成预算的0%，与上年相比减少0万元，减少0%，减少的主要原因是本单位没有因公出国（境）费支出。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公务接待费支出预算为6万元，支出决算为3.04万元，完成预算的50.67%，决算数小于年初预算数的主要原因是节约开支，与上年相比减少1.31万元，减少30.1</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%,减少的主要原因是接待的次数和人数减少了。</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0.31万元，超出预算0.31万元，决算数大于年初预算数的主要原因是因工作需要租车产生的费用，与上年相比增加0.31万元，增长100%,增长的主要原因是因工作需要租车产生的费用。</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2019年度“三公”经费财政拨款支出决算中，公务接待费支出决算3.04万元，占90.75%,因公出国（境）费支出决算0万元，占0%,公务用车购置费及运行维护费支出决算0.31万元，占9.25%。其中：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2、公务接待费支出决算为3.04万元，全年共接待来访团组50个、来宾506人次，主要是兄弟县市交流学习,扶贫点协调工作。</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3、公务用车购置费及运行维护费支出决算为0.31万元，其中：公务用车购置费0万元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公务用车运行维护费0.31万元，主要是支出是为了开展工作租用车辆,发生的运行维护费，截止2019年12月31日，我单位开支财政拨款的公务用车保有量为0辆。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pStyle w:val="10"/>
        <w:spacing w:line="600" w:lineRule="exact"/>
        <w:ind w:firstLine="640" w:firstLineChars="200"/>
        <w:rPr>
          <w:rFonts w:asciiTheme="minorEastAsia" w:hAnsiTheme="minorEastAsia" w:eastAsiaTheme="minorEastAsia" w:cstheme="minorEastAsia"/>
          <w:i/>
          <w:color w:val="FF0000"/>
          <w:sz w:val="32"/>
          <w:szCs w:val="32"/>
        </w:rPr>
      </w:pPr>
      <w:r>
        <w:rPr>
          <w:rFonts w:hint="eastAsia" w:asciiTheme="minorEastAsia" w:hAnsiTheme="minorEastAsia" w:eastAsiaTheme="minorEastAsia" w:cstheme="minorEastAsia"/>
          <w:color w:val="auto"/>
          <w:sz w:val="32"/>
          <w:szCs w:val="32"/>
        </w:rPr>
        <w:t>2019年本单位无政府性基金收支</w:t>
      </w:r>
    </w:p>
    <w:p>
      <w:pPr>
        <w:pStyle w:val="10"/>
        <w:rPr>
          <w:rFonts w:hAnsi="黑体"/>
          <w:b/>
          <w:sz w:val="32"/>
          <w:szCs w:val="32"/>
        </w:rPr>
      </w:pPr>
      <w:r>
        <w:rPr>
          <w:rFonts w:hint="eastAsia" w:hAnsi="黑体"/>
          <w:b/>
          <w:sz w:val="32"/>
          <w:szCs w:val="32"/>
        </w:rPr>
        <w:t>九、关于2019年度预算绩效情况说明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本部门预算绩效管理开展情况、绩效目标和绩效评价报告等按照财政绩效部门要求已公开。2019年主要工作：保证市场正常运转，争</w:t>
      </w:r>
      <w:r>
        <w:rPr>
          <w:rFonts w:hint="eastAsia" w:cs="仿宋" w:asciiTheme="minorEastAsia" w:hAnsiTheme="minorEastAsia" w:eastAsiaTheme="minorEastAsia"/>
          <w:sz w:val="32"/>
          <w:szCs w:val="32"/>
        </w:rPr>
        <w:t>创国卫、创省文的重点责任单位，</w:t>
      </w:r>
      <w:r>
        <w:rPr>
          <w:rFonts w:hint="eastAsia" w:asciiTheme="minorEastAsia" w:hAnsiTheme="minorEastAsia" w:eastAsiaTheme="minorEastAsia"/>
          <w:sz w:val="32"/>
          <w:szCs w:val="32"/>
        </w:rPr>
        <w:t>本年收入合计1040.88万元，其中：财政拨款收入1040.88万元，</w:t>
      </w:r>
      <w:r>
        <w:rPr>
          <w:rFonts w:hint="eastAsia" w:cs="仿宋_GB2312" w:asciiTheme="minorEastAsia" w:hAnsiTheme="minorEastAsia" w:eastAsiaTheme="minorEastAsia"/>
          <w:sz w:val="32"/>
          <w:szCs w:val="32"/>
        </w:rPr>
        <w:t>2019年共支出1040.88万元，其中业务活动费用636.88万元（含工资福利支出360.26万元、商品和服务支出231.61万元、对个人和家庭的补助45.01万元）、项目支出404万元，</w:t>
      </w:r>
      <w:r>
        <w:rPr>
          <w:rFonts w:hint="eastAsia" w:asciiTheme="minorEastAsia" w:hAnsiTheme="minorEastAsia" w:eastAsiaTheme="minorEastAsia"/>
          <w:sz w:val="32"/>
          <w:szCs w:val="32"/>
        </w:rPr>
        <w:t>与2018年相比，财政拨款支出减少55.13万元，减少5.03%，主要是因为奖励性绩效工资未发减少了人员经费233.28万元,日常公用经费减少了45万元,项目支出比上年增加了223.17万元,新建了虎子岩家禽市场和富园市场。</w:t>
      </w:r>
    </w:p>
    <w:p>
      <w:pPr>
        <w:pStyle w:val="10"/>
        <w:ind w:firstLine="800" w:firstLineChars="25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年度机关运行经费支出231.61万元，比年初预算数增加了134.61万元，增长138.77%。主要原因是：为了市场正常运转增加了物业费和劳务费。</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spacing w:line="600" w:lineRule="exact"/>
        <w:ind w:firstLine="640" w:firstLineChars="200"/>
        <w:rPr>
          <w:rFonts w:cs="黑体" w:asciiTheme="minorEastAsia" w:hAnsiTheme="minorEastAsia"/>
          <w:color w:val="000000"/>
          <w:kern w:val="0"/>
          <w:sz w:val="32"/>
          <w:szCs w:val="32"/>
        </w:rPr>
      </w:pPr>
      <w:r>
        <w:rPr>
          <w:rFonts w:hint="eastAsia" w:asciiTheme="minorEastAsia" w:hAnsiTheme="minorEastAsia" w:cstheme="minorEastAsia"/>
          <w:kern w:val="0"/>
          <w:sz w:val="32"/>
          <w:szCs w:val="32"/>
        </w:rPr>
        <w:t>2019年 本部门开支会议费0万元，用于召开会议，人数0人；开支培训费2万元，用于开展</w:t>
      </w:r>
      <w:r>
        <w:rPr>
          <w:rFonts w:hint="eastAsia" w:asciiTheme="minorEastAsia" w:hAnsiTheme="minorEastAsia"/>
          <w:sz w:val="32"/>
          <w:szCs w:val="32"/>
        </w:rPr>
        <w:t>扶贫项目建设及新会计制度</w:t>
      </w:r>
      <w:r>
        <w:rPr>
          <w:rFonts w:hint="eastAsia" w:asciiTheme="minorEastAsia" w:hAnsiTheme="minorEastAsia" w:cstheme="minorEastAsia"/>
          <w:kern w:val="0"/>
          <w:sz w:val="32"/>
          <w:szCs w:val="32"/>
        </w:rPr>
        <w:t>培训，人数2人，内容为杨文去北京学习扶贫项目建设及陈荣吉去厦门学习新会计制度培训；举办节庆、晚会、论坛、赛事活动，开支0万元。</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spacing w:line="600" w:lineRule="exact"/>
        <w:ind w:firstLine="640" w:firstLineChars="200"/>
        <w:rPr>
          <w:rFonts w:cs="黑体" w:asciiTheme="minorEastAsia" w:hAnsiTheme="minorEastAsia"/>
          <w:i/>
          <w:color w:val="FF0000"/>
          <w:kern w:val="0"/>
          <w:sz w:val="32"/>
          <w:szCs w:val="32"/>
        </w:rPr>
      </w:pPr>
      <w:r>
        <w:rPr>
          <w:rFonts w:hint="eastAsia" w:asciiTheme="majorEastAsia" w:hAnsiTheme="majorEastAsia" w:eastAsiaTheme="majorEastAsia" w:cstheme="majorEastAsia"/>
          <w:kern w:val="0"/>
          <w:sz w:val="32"/>
          <w:szCs w:val="32"/>
        </w:rPr>
        <w:t>本部门2019年度政府采购支出总额0万元，其中：政府采购货物支出万元、政府采购工程支出0万元、政府采购服务支出0万元。授予中小企业合同金额0万元，占政府采购支出总额的0 %，其中：授予小微企业合同金额0万元，占政府采购支出总额的0%。</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spacing w:line="600" w:lineRule="exact"/>
        <w:ind w:firstLine="640" w:firstLineChars="200"/>
        <w:rPr>
          <w:rFonts w:asciiTheme="minorEastAsia" w:hAnsiTheme="minorEastAsia" w:cstheme="minorEastAsia"/>
          <w:kern w:val="0"/>
          <w:sz w:val="32"/>
          <w:szCs w:val="32"/>
        </w:rPr>
      </w:pPr>
      <w:r>
        <w:rPr>
          <w:rFonts w:hint="eastAsia" w:asciiTheme="minorEastAsia" w:hAnsiTheme="minorEastAsia" w:cstheme="minorEastAsia"/>
          <w:kern w:val="0"/>
          <w:sz w:val="32"/>
          <w:szCs w:val="32"/>
        </w:rPr>
        <w:t>截至2019年12月31日，本单位共有车辆0辆，其中，领导干部用车辆、机要通信用车0辆、应急保障用车0辆、执法执勤用车0辆、特种专业技术用车0辆、其他用车0辆，其他用车主要是0；单位价值50万元以上通用设备0台（套）；单位价值100万元以上专用设备0台（套）。</w:t>
      </w:r>
    </w:p>
    <w:p>
      <w:pPr>
        <w:widowControl/>
        <w:jc w:val="left"/>
        <w:rPr>
          <w:rFonts w:cs="黑体" w:asciiTheme="minorEastAsia" w:hAnsiTheme="minorEastAsia"/>
          <w:color w:val="000000"/>
          <w:kern w:val="0"/>
          <w:sz w:val="32"/>
          <w:szCs w:val="32"/>
        </w:rPr>
      </w:pPr>
    </w:p>
    <w:p>
      <w:pPr>
        <w:pStyle w:val="10"/>
        <w:jc w:val="center"/>
        <w:rPr>
          <w:sz w:val="32"/>
          <w:szCs w:val="32"/>
        </w:rPr>
      </w:pPr>
      <w:r>
        <w:rPr>
          <w:rFonts w:hint="eastAsia"/>
          <w:sz w:val="32"/>
          <w:szCs w:val="32"/>
        </w:rPr>
        <w:t>第四部分</w:t>
      </w:r>
    </w:p>
    <w:p>
      <w:pPr>
        <w:jc w:val="center"/>
        <w:rPr>
          <w:rFonts w:ascii="黑体" w:eastAsia="黑体" w:cs="黑体"/>
          <w:color w:val="000000"/>
          <w:kern w:val="0"/>
          <w:sz w:val="32"/>
          <w:szCs w:val="32"/>
        </w:rPr>
      </w:pPr>
      <w:r>
        <w:rPr>
          <w:rFonts w:hint="eastAsia" w:ascii="黑体" w:eastAsia="黑体" w:cs="黑体"/>
          <w:color w:val="000000"/>
          <w:kern w:val="0"/>
          <w:sz w:val="32"/>
          <w:szCs w:val="32"/>
        </w:rPr>
        <w:t>名词解释</w:t>
      </w:r>
    </w:p>
    <w:p>
      <w:pPr>
        <w:widowControl/>
        <w:ind w:firstLine="320" w:firstLineChars="100"/>
        <w:jc w:val="left"/>
        <w:rPr>
          <w:rFonts w:ascii="黑体" w:eastAsia="黑体" w:cs="黑体"/>
          <w:color w:val="000000"/>
          <w:kern w:val="0"/>
          <w:sz w:val="70"/>
          <w:szCs w:val="70"/>
        </w:rPr>
      </w:pPr>
      <w:r>
        <w:rPr>
          <w:rFonts w:hint="eastAsia" w:asciiTheme="minorEastAsia" w:hAnsiTheme="minorEastAsia" w:cstheme="minorEastAsia"/>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asciiTheme="minorEastAsia" w:hAnsiTheme="minorEastAsia" w:cstheme="minorEastAsia"/>
          <w:color w:val="000000"/>
          <w:kern w:val="0"/>
          <w:sz w:val="32"/>
          <w:szCs w:val="32"/>
        </w:rPr>
      </w:pPr>
      <w:r>
        <w:rPr>
          <w:rFonts w:hint="eastAsia" w:asciiTheme="minorEastAsia" w:hAnsiTheme="minorEastAsia" w:cstheme="minorEastAsia"/>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jc w:val="left"/>
        <w:rPr>
          <w:rFonts w:asciiTheme="minorEastAsia" w:hAnsiTheme="minorEastAsia" w:cstheme="minorEastAsia"/>
          <w:color w:val="000000"/>
          <w:kern w:val="0"/>
          <w:sz w:val="32"/>
          <w:szCs w:val="32"/>
        </w:rPr>
      </w:pPr>
    </w:p>
    <w:p>
      <w:pPr>
        <w:widowControl/>
        <w:jc w:val="left"/>
        <w:rPr>
          <w:rFonts w:asciiTheme="minorEastAsia" w:hAnsiTheme="minorEastAsia"/>
          <w:i/>
          <w:color w:val="FF0000"/>
          <w:sz w:val="32"/>
          <w:szCs w:val="32"/>
        </w:rPr>
      </w:pPr>
    </w:p>
    <w:p>
      <w:pPr>
        <w:pStyle w:val="10"/>
        <w:jc w:val="center"/>
        <w:rPr>
          <w:sz w:val="32"/>
          <w:szCs w:val="32"/>
        </w:rPr>
      </w:pPr>
      <w:r>
        <w:rPr>
          <w:rFonts w:hint="eastAsia"/>
          <w:sz w:val="32"/>
          <w:szCs w:val="32"/>
        </w:rPr>
        <w:t>第五部分</w:t>
      </w:r>
    </w:p>
    <w:p>
      <w:pPr>
        <w:jc w:val="center"/>
        <w:rPr>
          <w:rFonts w:ascii="黑体" w:eastAsia="黑体" w:cs="黑体"/>
          <w:color w:val="000000"/>
          <w:kern w:val="0"/>
          <w:sz w:val="32"/>
          <w:szCs w:val="32"/>
        </w:rPr>
      </w:pPr>
    </w:p>
    <w:p>
      <w:pPr>
        <w:jc w:val="center"/>
        <w:rPr>
          <w:rFonts w:ascii="黑体" w:eastAsia="黑体" w:cs="黑体"/>
          <w:color w:val="000000"/>
          <w:kern w:val="0"/>
          <w:sz w:val="32"/>
          <w:szCs w:val="32"/>
        </w:rPr>
      </w:pPr>
      <w:r>
        <w:rPr>
          <w:rFonts w:hint="eastAsia" w:ascii="黑体" w:eastAsia="黑体" w:cs="黑体"/>
          <w:color w:val="000000"/>
          <w:kern w:val="0"/>
          <w:sz w:val="32"/>
          <w:szCs w:val="32"/>
        </w:rPr>
        <w:t>附件</w:t>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adjustRightInd w:val="0"/>
        <w:snapToGrid w:val="0"/>
        <w:spacing w:line="600" w:lineRule="exact"/>
        <w:ind w:firstLine="640" w:firstLineChars="200"/>
        <w:rPr>
          <w:rFonts w:asciiTheme="minorEastAsia" w:hAnsiTheme="minorEastAsia"/>
          <w:sz w:val="32"/>
          <w:szCs w:val="32"/>
        </w:rPr>
      </w:pPr>
      <w:r>
        <w:rPr>
          <w:rFonts w:asciiTheme="minorEastAsia" w:hAnsiTheme="minorEastAsia"/>
          <w:sz w:val="32"/>
          <w:szCs w:val="32"/>
        </w:rPr>
        <w:t>一、</w:t>
      </w:r>
      <w:r>
        <w:rPr>
          <w:rFonts w:hint="eastAsia" w:asciiTheme="minorEastAsia" w:hAnsiTheme="minorEastAsia"/>
          <w:sz w:val="32"/>
          <w:szCs w:val="32"/>
        </w:rPr>
        <w:t>部门</w:t>
      </w:r>
      <w:r>
        <w:rPr>
          <w:rFonts w:asciiTheme="minorEastAsia" w:hAnsiTheme="minorEastAsia"/>
          <w:sz w:val="32"/>
          <w:szCs w:val="32"/>
        </w:rPr>
        <w:t>概况</w:t>
      </w:r>
    </w:p>
    <w:p>
      <w:pPr>
        <w:adjustRightInd w:val="0"/>
        <w:snapToGrid w:val="0"/>
        <w:spacing w:line="600" w:lineRule="exact"/>
        <w:ind w:firstLine="640" w:firstLineChars="200"/>
        <w:rPr>
          <w:rFonts w:asciiTheme="minorEastAsia" w:hAnsiTheme="minorEastAsia"/>
          <w:sz w:val="32"/>
          <w:szCs w:val="32"/>
        </w:rPr>
      </w:pPr>
      <w:r>
        <w:rPr>
          <w:rFonts w:asciiTheme="minorEastAsia" w:hAnsiTheme="minorEastAsia"/>
          <w:sz w:val="32"/>
          <w:szCs w:val="32"/>
        </w:rPr>
        <w:t>（一）</w:t>
      </w:r>
      <w:r>
        <w:rPr>
          <w:rFonts w:hint="eastAsia" w:asciiTheme="minorEastAsia" w:hAnsiTheme="minorEastAsia"/>
          <w:sz w:val="32"/>
          <w:szCs w:val="32"/>
        </w:rPr>
        <w:t>部门</w:t>
      </w:r>
      <w:r>
        <w:rPr>
          <w:rFonts w:asciiTheme="minorEastAsia" w:hAnsiTheme="minorEastAsia"/>
          <w:sz w:val="32"/>
          <w:szCs w:val="32"/>
        </w:rPr>
        <w:t>基本情况</w:t>
      </w:r>
    </w:p>
    <w:p>
      <w:pPr>
        <w:adjustRightInd w:val="0"/>
        <w:snapToGrid w:val="0"/>
        <w:spacing w:line="600" w:lineRule="exact"/>
        <w:ind w:firstLine="640" w:firstLineChars="200"/>
        <w:rPr>
          <w:rFonts w:asciiTheme="minorEastAsia" w:hAnsiTheme="minorEastAsia"/>
          <w:sz w:val="32"/>
        </w:rPr>
      </w:pPr>
      <w:r>
        <w:rPr>
          <w:rFonts w:hint="eastAsia" w:asciiTheme="minorEastAsia" w:hAnsiTheme="minorEastAsia"/>
          <w:sz w:val="32"/>
        </w:rPr>
        <w:t xml:space="preserve">道县市场服务中心是2000年4月依照湘政发[1999]24号文件精神成立的直属县政府管理的正科级自收自支事业单位，实行企业化管理。主要职责：经营管理市场资产；负责市场内的物业管理、市场规划、市场开发和维修；负责市场内治安、消防、卫生等日常服务；提供交易场所和服务设施，开展代储、代运、信息咨询和其他服务；收取市场设施租赁、交易手续和其他符合国家和省规定的有偿服务费。目前，中心设“四股一室”即：政工股、市场经营股、市场建设规划股、治安消防股和办公室，下设“五所”即：城北市场交易服务所、城南市场交易服务所、工业园市场交易服务所（暂定）、濂溪市场交易服务所（暂定）、家禽市场交易服务所（暂定）。摊位总共650个,2019上缴非税收入538万元.中心人员编制134人，现实有职工总人数99人（其中退休20人）。在职上班67人，外出创业12人，临时人员3人。  </w:t>
      </w:r>
    </w:p>
    <w:p>
      <w:pPr>
        <w:adjustRightInd w:val="0"/>
        <w:snapToGrid w:val="0"/>
        <w:spacing w:line="600" w:lineRule="exact"/>
        <w:ind w:firstLine="640" w:firstLineChars="200"/>
        <w:rPr>
          <w:rFonts w:asciiTheme="minorEastAsia" w:hAnsiTheme="minorEastAsia"/>
          <w:color w:val="FF0000"/>
          <w:sz w:val="32"/>
          <w:szCs w:val="32"/>
        </w:rPr>
      </w:pPr>
      <w:r>
        <w:rPr>
          <w:rFonts w:hint="eastAsia" w:asciiTheme="minorEastAsia" w:hAnsiTheme="minorEastAsia"/>
          <w:sz w:val="32"/>
        </w:rPr>
        <w:t>2016年起单位的湘M31869桑塔纳小车就报废没有公车了，2019年3月4日全县机构改革动员会宣布道县市场服务中心调整为道县商务局所属的副科级公益类事业单位，但直到现在还没有完成机构改革任务，仍按照之前的在运作。</w:t>
      </w:r>
    </w:p>
    <w:p>
      <w:pPr>
        <w:adjustRightInd w:val="0"/>
        <w:snapToGrid w:val="0"/>
        <w:spacing w:line="600" w:lineRule="exact"/>
        <w:ind w:firstLine="640" w:firstLineChars="200"/>
        <w:rPr>
          <w:rFonts w:asciiTheme="minorEastAsia" w:hAnsiTheme="minorEastAsia"/>
          <w:sz w:val="32"/>
          <w:szCs w:val="32"/>
        </w:rPr>
      </w:pPr>
      <w:r>
        <w:rPr>
          <w:rFonts w:asciiTheme="minorEastAsia" w:hAnsiTheme="minorEastAsia"/>
          <w:sz w:val="32"/>
          <w:szCs w:val="32"/>
        </w:rPr>
        <w:t>（二）</w:t>
      </w:r>
      <w:r>
        <w:rPr>
          <w:rFonts w:hint="eastAsia" w:asciiTheme="minorEastAsia" w:hAnsiTheme="minorEastAsia"/>
          <w:sz w:val="32"/>
          <w:szCs w:val="32"/>
        </w:rPr>
        <w:t>部门整体支出规模、使用方向</w:t>
      </w:r>
      <w:r>
        <w:rPr>
          <w:rFonts w:asciiTheme="minorEastAsia" w:hAnsiTheme="minorEastAsia"/>
          <w:sz w:val="32"/>
          <w:szCs w:val="32"/>
        </w:rPr>
        <w:t>和主要内容、涉及范围等。</w:t>
      </w:r>
    </w:p>
    <w:p>
      <w:pPr>
        <w:adjustRightInd w:val="0"/>
        <w:snapToGrid w:val="0"/>
        <w:spacing w:line="600" w:lineRule="exact"/>
        <w:rPr>
          <w:rFonts w:cs="仿宋_GB2312" w:asciiTheme="minorEastAsia" w:hAnsiTheme="minorEastAsia"/>
          <w:sz w:val="32"/>
          <w:szCs w:val="32"/>
        </w:rPr>
      </w:pPr>
      <w:r>
        <w:rPr>
          <w:rFonts w:hint="eastAsia" w:cs="仿宋_GB2312" w:asciiTheme="minorEastAsia" w:hAnsiTheme="minorEastAsia"/>
          <w:sz w:val="32"/>
          <w:szCs w:val="32"/>
        </w:rPr>
        <w:t xml:space="preserve">     2019年共支出1040.88万元，其中业务活动费用636.88万元（含工资福利支出360.26万元、商品和服务支出231.61万元、对个人和家庭的补助45.01万元）、项目支出404万元、单位管理费用0万元。</w:t>
      </w:r>
    </w:p>
    <w:p>
      <w:pPr>
        <w:adjustRightInd w:val="0"/>
        <w:snapToGrid w:val="0"/>
        <w:spacing w:line="600" w:lineRule="exact"/>
        <w:ind w:firstLine="640" w:firstLineChars="200"/>
        <w:rPr>
          <w:rFonts w:asciiTheme="minorEastAsia" w:hAnsiTheme="minorEastAsia"/>
          <w:sz w:val="32"/>
          <w:szCs w:val="32"/>
        </w:rPr>
      </w:pPr>
      <w:r>
        <w:rPr>
          <w:rFonts w:asciiTheme="minorEastAsia" w:hAnsiTheme="minorEastAsia"/>
          <w:sz w:val="32"/>
          <w:szCs w:val="32"/>
        </w:rPr>
        <w:t>二、</w:t>
      </w:r>
      <w:r>
        <w:rPr>
          <w:rFonts w:hint="eastAsia" w:asciiTheme="minorEastAsia" w:hAnsiTheme="minorEastAsia"/>
          <w:sz w:val="32"/>
          <w:szCs w:val="32"/>
        </w:rPr>
        <w:t>部门整体支出</w:t>
      </w:r>
      <w:r>
        <w:rPr>
          <w:rFonts w:asciiTheme="minorEastAsia" w:hAnsiTheme="minorEastAsia"/>
          <w:sz w:val="32"/>
          <w:szCs w:val="32"/>
        </w:rPr>
        <w:t>使用情况</w:t>
      </w:r>
    </w:p>
    <w:p>
      <w:pPr>
        <w:adjustRightInd w:val="0"/>
        <w:snapToGrid w:val="0"/>
        <w:spacing w:line="600" w:lineRule="exact"/>
        <w:ind w:firstLine="640" w:firstLineChars="200"/>
        <w:rPr>
          <w:rFonts w:asciiTheme="minorEastAsia" w:hAnsiTheme="minorEastAsia"/>
          <w:b/>
          <w:sz w:val="32"/>
          <w:szCs w:val="32"/>
        </w:rPr>
      </w:pPr>
      <w:r>
        <w:rPr>
          <w:rFonts w:hint="eastAsia" w:asciiTheme="minorEastAsia" w:hAnsiTheme="minorEastAsia"/>
          <w:b/>
          <w:sz w:val="32"/>
          <w:szCs w:val="32"/>
        </w:rPr>
        <w:t>（一）基本支出636.88万元</w:t>
      </w:r>
    </w:p>
    <w:p>
      <w:pPr>
        <w:ind w:firstLine="708" w:firstLineChars="236"/>
        <w:rPr>
          <w:rFonts w:asciiTheme="minorEastAsia" w:hAnsiTheme="minorEastAsia"/>
          <w:sz w:val="30"/>
          <w:szCs w:val="30"/>
        </w:rPr>
      </w:pPr>
      <w:r>
        <w:rPr>
          <w:rFonts w:hint="eastAsia" w:asciiTheme="minorEastAsia" w:hAnsiTheme="minorEastAsia"/>
          <w:sz w:val="30"/>
          <w:szCs w:val="30"/>
        </w:rPr>
        <w:t>1、2019年人员支出360.26万元。其中基本工资160.33万元、津贴补贴4.57万元、奖金25.79万元、绩效工资64.39万元、基本养老保险缴费22.24万元、基本医疗保险缴费32.59万元、住房公积金447万元、其他工资福利支出3.35万元及其他</w:t>
      </w:r>
      <w:r>
        <w:rPr>
          <w:rFonts w:hint="eastAsia" w:asciiTheme="minorEastAsia" w:hAnsiTheme="minorEastAsia"/>
          <w:bCs/>
          <w:sz w:val="30"/>
          <w:szCs w:val="30"/>
        </w:rPr>
        <w:t>对个人和家庭的补助支出45.01万元</w:t>
      </w:r>
      <w:r>
        <w:rPr>
          <w:rFonts w:hint="eastAsia" w:asciiTheme="minorEastAsia" w:hAnsiTheme="minorEastAsia"/>
          <w:b/>
          <w:sz w:val="30"/>
          <w:szCs w:val="30"/>
        </w:rPr>
        <w:t>。</w:t>
      </w:r>
    </w:p>
    <w:p>
      <w:pPr>
        <w:ind w:firstLine="750"/>
        <w:rPr>
          <w:rFonts w:asciiTheme="minorEastAsia" w:hAnsiTheme="minorEastAsia"/>
          <w:sz w:val="30"/>
          <w:szCs w:val="30"/>
        </w:rPr>
      </w:pPr>
      <w:r>
        <w:rPr>
          <w:rFonts w:hint="eastAsia" w:asciiTheme="minorEastAsia" w:hAnsiTheme="minorEastAsia"/>
          <w:sz w:val="30"/>
          <w:szCs w:val="30"/>
        </w:rPr>
        <w:t>2、单位运行支出231.61万元。其中：办公费7.46万元、印刷费8.44万元、咨询费0.12万元、水费12.6万元、电费16.78万元、邮电费1.44万元、物业管理费57.67万元、差旅费2.5万元、维修（护）费12.57万元、租赁费3万元、培训费2.33万元、公务接待费3.04万元、劳务费40.45万元、工会经费16.64万元、福利费10.15万元、公务用车运行维护费0.31万元、其他交通费用4.73万元、税金及附加费用0.7万元、其他商品服务支出30.68万元。</w:t>
      </w:r>
    </w:p>
    <w:p>
      <w:pPr>
        <w:ind w:firstLine="750"/>
        <w:rPr>
          <w:rFonts w:asciiTheme="minorEastAsia" w:hAnsiTheme="minorEastAsia"/>
          <w:sz w:val="30"/>
          <w:szCs w:val="30"/>
        </w:rPr>
      </w:pPr>
      <w:r>
        <w:rPr>
          <w:rFonts w:hint="eastAsia" w:asciiTheme="minorEastAsia" w:hAnsiTheme="minorEastAsia"/>
          <w:sz w:val="30"/>
          <w:szCs w:val="30"/>
        </w:rPr>
        <w:t>3、2019年“三公经费”实际支出3.35万元。其中公务用车运行维护费0.31万元、公务接待费3.04万元，较年初预算6万元减少2.65万元，主要是因为本单位严格执行中央八项规定，减少用车数量，减少公务接待费用支出。</w:t>
      </w:r>
    </w:p>
    <w:p>
      <w:pPr>
        <w:adjustRightInd w:val="0"/>
        <w:snapToGrid w:val="0"/>
        <w:spacing w:line="600" w:lineRule="exact"/>
        <w:ind w:firstLine="640" w:firstLineChars="200"/>
        <w:rPr>
          <w:rFonts w:asciiTheme="minorEastAsia" w:hAnsiTheme="minorEastAsia"/>
          <w:sz w:val="32"/>
          <w:szCs w:val="32"/>
        </w:rPr>
      </w:pPr>
      <w:r>
        <w:rPr>
          <w:rFonts w:asciiTheme="minorEastAsia" w:hAnsiTheme="minorEastAsia"/>
          <w:sz w:val="32"/>
          <w:szCs w:val="32"/>
        </w:rPr>
        <w:t>三、</w:t>
      </w:r>
      <w:r>
        <w:rPr>
          <w:rFonts w:hint="eastAsia" w:asciiTheme="minorEastAsia" w:hAnsiTheme="minorEastAsia"/>
          <w:sz w:val="32"/>
          <w:szCs w:val="32"/>
        </w:rPr>
        <w:t>部门整体支出管理情况</w:t>
      </w:r>
    </w:p>
    <w:p>
      <w:pPr>
        <w:ind w:left="140" w:leftChars="67" w:firstLine="480" w:firstLineChars="150"/>
        <w:rPr>
          <w:rFonts w:cs="宋体" w:asciiTheme="minorEastAsia" w:hAnsiTheme="minorEastAsia"/>
          <w:color w:val="010101"/>
          <w:kern w:val="0"/>
          <w:sz w:val="32"/>
          <w:szCs w:val="32"/>
        </w:rPr>
      </w:pPr>
      <w:r>
        <w:rPr>
          <w:rFonts w:hint="eastAsia" w:cs="宋体" w:asciiTheme="minorEastAsia" w:hAnsiTheme="minorEastAsia"/>
          <w:color w:val="010101"/>
          <w:kern w:val="0"/>
          <w:sz w:val="32"/>
          <w:szCs w:val="32"/>
        </w:rPr>
        <w:t>（一）建章建制，制度建立完善。</w:t>
      </w:r>
    </w:p>
    <w:p>
      <w:pPr>
        <w:ind w:left="140" w:leftChars="67" w:firstLine="480" w:firstLineChars="150"/>
        <w:rPr>
          <w:rFonts w:cs="宋体" w:asciiTheme="minorEastAsia" w:hAnsiTheme="minorEastAsia"/>
          <w:color w:val="010101"/>
          <w:kern w:val="0"/>
          <w:sz w:val="32"/>
          <w:szCs w:val="32"/>
        </w:rPr>
      </w:pPr>
      <w:r>
        <w:rPr>
          <w:rFonts w:hint="eastAsia" w:cs="宋体" w:asciiTheme="minorEastAsia" w:hAnsiTheme="minorEastAsia"/>
          <w:color w:val="010101"/>
          <w:kern w:val="0"/>
          <w:sz w:val="32"/>
          <w:szCs w:val="32"/>
        </w:rPr>
        <w:t>根据《会计法》、《预算法》、《行政单位会计制度》等法律和财政部及省财政厅有关财务规章的规定，该办先后制订了《财务管理制度》、等制度，制度明确了经费审批权限及程序，经费预算、核算管理、资产购置与处置、财务监督等，</w:t>
      </w:r>
      <w:r>
        <w:rPr>
          <w:rFonts w:hint="eastAsia" w:asciiTheme="minorEastAsia" w:hAnsiTheme="minorEastAsia"/>
          <w:sz w:val="32"/>
          <w:szCs w:val="32"/>
        </w:rPr>
        <w:t>针对“三公”经费建立公用经费标准定额体系，开展公用经费使用监督和绩效评估，领导重视，员工参与，</w:t>
      </w:r>
      <w:r>
        <w:rPr>
          <w:rFonts w:hint="eastAsia" w:cs="宋体" w:asciiTheme="minorEastAsia" w:hAnsiTheme="minorEastAsia"/>
          <w:color w:val="010101"/>
          <w:kern w:val="0"/>
          <w:sz w:val="32"/>
          <w:szCs w:val="32"/>
        </w:rPr>
        <w:t>制度建立完善。</w:t>
      </w:r>
    </w:p>
    <w:p>
      <w:pPr>
        <w:ind w:left="140" w:leftChars="67" w:firstLine="480" w:firstLineChars="150"/>
        <w:rPr>
          <w:rFonts w:cs="宋体" w:asciiTheme="minorEastAsia" w:hAnsiTheme="minorEastAsia"/>
          <w:color w:val="010101"/>
          <w:kern w:val="0"/>
          <w:sz w:val="32"/>
          <w:szCs w:val="32"/>
        </w:rPr>
      </w:pPr>
      <w:r>
        <w:rPr>
          <w:rFonts w:hint="eastAsia" w:cs="宋体" w:asciiTheme="minorEastAsia" w:hAnsiTheme="minorEastAsia"/>
          <w:color w:val="010101"/>
          <w:kern w:val="0"/>
          <w:sz w:val="32"/>
          <w:szCs w:val="32"/>
        </w:rPr>
        <w:t>（二）</w:t>
      </w:r>
      <w:r>
        <w:rPr>
          <w:rFonts w:hint="eastAsia" w:asciiTheme="minorEastAsia" w:hAnsiTheme="minorEastAsia"/>
          <w:sz w:val="32"/>
          <w:szCs w:val="32"/>
        </w:rPr>
        <w:t>制度执行比较到位，提高了资金使用效益。</w:t>
      </w:r>
    </w:p>
    <w:p>
      <w:pPr>
        <w:ind w:left="140" w:leftChars="67" w:firstLine="640" w:firstLineChars="200"/>
        <w:rPr>
          <w:rFonts w:asciiTheme="minorEastAsia" w:hAnsiTheme="minorEastAsia"/>
          <w:sz w:val="32"/>
          <w:szCs w:val="32"/>
        </w:rPr>
      </w:pPr>
      <w:r>
        <w:rPr>
          <w:rFonts w:hint="eastAsia" w:asciiTheme="minorEastAsia" w:hAnsiTheme="minorEastAsia"/>
          <w:sz w:val="32"/>
          <w:szCs w:val="32"/>
        </w:rPr>
        <w:t>2019年度加强了财务管理，落实厉行节约的各项规定。</w:t>
      </w:r>
    </w:p>
    <w:p>
      <w:pPr>
        <w:adjustRightInd w:val="0"/>
        <w:snapToGrid w:val="0"/>
        <w:spacing w:line="600" w:lineRule="exact"/>
        <w:ind w:firstLine="640" w:firstLineChars="200"/>
        <w:rPr>
          <w:rFonts w:asciiTheme="minorEastAsia" w:hAnsiTheme="minorEastAsia"/>
          <w:sz w:val="32"/>
          <w:szCs w:val="32"/>
        </w:rPr>
      </w:pPr>
      <w:r>
        <w:rPr>
          <w:rFonts w:asciiTheme="minorEastAsia" w:hAnsiTheme="minorEastAsia"/>
          <w:sz w:val="32"/>
          <w:szCs w:val="32"/>
        </w:rPr>
        <w:t>四、</w:t>
      </w:r>
      <w:r>
        <w:rPr>
          <w:rFonts w:hint="eastAsia" w:asciiTheme="minorEastAsia" w:hAnsiTheme="minorEastAsia"/>
          <w:sz w:val="32"/>
          <w:szCs w:val="32"/>
        </w:rPr>
        <w:t>部门整体支出</w:t>
      </w:r>
      <w:r>
        <w:rPr>
          <w:rFonts w:asciiTheme="minorEastAsia" w:hAnsiTheme="minorEastAsia"/>
          <w:sz w:val="32"/>
          <w:szCs w:val="32"/>
        </w:rPr>
        <w:t>绩效情况</w:t>
      </w:r>
    </w:p>
    <w:p>
      <w:pPr>
        <w:adjustRightInd w:val="0"/>
        <w:snapToGrid w:val="0"/>
        <w:spacing w:line="600" w:lineRule="exact"/>
        <w:ind w:firstLine="640" w:firstLineChars="200"/>
        <w:rPr>
          <w:rFonts w:cs="仿宋" w:asciiTheme="minorEastAsia" w:hAnsiTheme="minorEastAsia"/>
          <w:color w:val="000000"/>
          <w:sz w:val="32"/>
          <w:szCs w:val="32"/>
        </w:rPr>
      </w:pPr>
      <w:r>
        <w:rPr>
          <w:rFonts w:hint="eastAsia" w:cs="仿宋" w:asciiTheme="minorEastAsia" w:hAnsiTheme="minorEastAsia"/>
          <w:color w:val="000000"/>
          <w:sz w:val="32"/>
          <w:szCs w:val="32"/>
        </w:rPr>
        <w:t>1、确保了干部职工工资、社保金正常发放、缴纳和单位的正常运转，有利于维护社会稳定。</w:t>
      </w:r>
    </w:p>
    <w:p>
      <w:pPr>
        <w:adjustRightInd w:val="0"/>
        <w:snapToGrid w:val="0"/>
        <w:spacing w:line="600" w:lineRule="exact"/>
        <w:ind w:firstLine="640" w:firstLineChars="200"/>
        <w:rPr>
          <w:rFonts w:cs="仿宋" w:asciiTheme="minorEastAsia" w:hAnsiTheme="minorEastAsia"/>
          <w:color w:val="000000"/>
          <w:sz w:val="32"/>
          <w:szCs w:val="32"/>
        </w:rPr>
      </w:pPr>
      <w:r>
        <w:rPr>
          <w:rFonts w:hint="eastAsia" w:cs="仿宋" w:asciiTheme="minorEastAsia" w:hAnsiTheme="minorEastAsia"/>
          <w:color w:val="000000"/>
          <w:sz w:val="32"/>
          <w:szCs w:val="32"/>
        </w:rPr>
        <w:t>2、每月每季都按时完成了党建工作、学习和活动。</w:t>
      </w:r>
    </w:p>
    <w:p>
      <w:pPr>
        <w:adjustRightInd w:val="0"/>
        <w:snapToGrid w:val="0"/>
        <w:spacing w:line="600" w:lineRule="exact"/>
        <w:ind w:firstLine="640" w:firstLineChars="200"/>
        <w:rPr>
          <w:rFonts w:cs="仿宋" w:asciiTheme="minorEastAsia" w:hAnsiTheme="minorEastAsia"/>
          <w:color w:val="000000"/>
          <w:sz w:val="32"/>
          <w:szCs w:val="32"/>
        </w:rPr>
      </w:pPr>
      <w:r>
        <w:rPr>
          <w:rFonts w:hint="eastAsia" w:cs="仿宋" w:asciiTheme="minorEastAsia" w:hAnsiTheme="minorEastAsia"/>
          <w:color w:val="000000"/>
          <w:sz w:val="32"/>
          <w:szCs w:val="32"/>
        </w:rPr>
        <w:t>3、作为创国卫、创省文的重点责任单位，认真做好市场秩序和环境卫生，每天有专职人员负责清理打扫和清运垃圾，改善了交易环境，顺利通过上级的考核验收。</w:t>
      </w:r>
    </w:p>
    <w:p>
      <w:pPr>
        <w:adjustRightInd w:val="0"/>
        <w:snapToGrid w:val="0"/>
        <w:spacing w:line="600" w:lineRule="exact"/>
        <w:ind w:firstLine="640" w:firstLineChars="200"/>
        <w:rPr>
          <w:rFonts w:cs="仿宋" w:asciiTheme="minorEastAsia" w:hAnsiTheme="minorEastAsia"/>
          <w:color w:val="000000"/>
          <w:sz w:val="32"/>
          <w:szCs w:val="32"/>
        </w:rPr>
      </w:pPr>
      <w:r>
        <w:rPr>
          <w:rFonts w:hint="eastAsia" w:cs="仿宋" w:asciiTheme="minorEastAsia" w:hAnsiTheme="minorEastAsia"/>
          <w:color w:val="000000"/>
          <w:sz w:val="32"/>
          <w:szCs w:val="32"/>
        </w:rPr>
        <w:t>4、配合相关职能部门抓好农贸市场食品安全的监管工作，没有发生食品安全事件，保证了市民的“菜篮子”“米袋子”安全。</w:t>
      </w:r>
    </w:p>
    <w:p>
      <w:pPr>
        <w:adjustRightInd w:val="0"/>
        <w:snapToGrid w:val="0"/>
        <w:spacing w:line="600" w:lineRule="exact"/>
        <w:ind w:firstLine="480" w:firstLineChars="150"/>
        <w:rPr>
          <w:rFonts w:cs="仿宋" w:asciiTheme="minorEastAsia" w:hAnsiTheme="minorEastAsia"/>
          <w:color w:val="000000"/>
          <w:sz w:val="32"/>
          <w:szCs w:val="32"/>
        </w:rPr>
      </w:pPr>
      <w:r>
        <w:rPr>
          <w:rFonts w:hint="eastAsia" w:cs="仿宋" w:asciiTheme="minorEastAsia" w:hAnsiTheme="minorEastAsia"/>
          <w:color w:val="000000"/>
          <w:sz w:val="32"/>
          <w:szCs w:val="32"/>
        </w:rPr>
        <w:t xml:space="preserve"> 5、购置了消除器材，每月对市场的安全生产工作进行了巡查，发现问题及时整改，对一些损坏的市场设施及时进行了维修和维护，没有发现安全生产事故。</w:t>
      </w:r>
    </w:p>
    <w:p>
      <w:pPr>
        <w:adjustRightInd w:val="0"/>
        <w:snapToGrid w:val="0"/>
        <w:spacing w:line="600" w:lineRule="exact"/>
        <w:ind w:firstLine="480" w:firstLineChars="150"/>
        <w:rPr>
          <w:rFonts w:cs="仿宋" w:asciiTheme="minorEastAsia" w:hAnsiTheme="minorEastAsia"/>
          <w:color w:val="000000"/>
          <w:sz w:val="32"/>
          <w:szCs w:val="32"/>
        </w:rPr>
      </w:pPr>
      <w:r>
        <w:rPr>
          <w:rFonts w:hint="eastAsia" w:cs="仿宋" w:asciiTheme="minorEastAsia" w:hAnsiTheme="minorEastAsia"/>
          <w:color w:val="000000"/>
          <w:sz w:val="32"/>
          <w:szCs w:val="32"/>
        </w:rPr>
        <w:t>6、认真完成县委、县政府安排的扶贫、防汛抗旱等中心工作。本中心总共20个扶贫对象,截止2019年年底全部脱贫</w:t>
      </w:r>
      <w:r>
        <w:rPr>
          <w:rFonts w:hint="eastAsia" w:cs="宋体" w:asciiTheme="minorEastAsia" w:hAnsiTheme="minorEastAsia"/>
          <w:color w:val="010101"/>
          <w:kern w:val="0"/>
          <w:sz w:val="32"/>
          <w:szCs w:val="32"/>
        </w:rPr>
        <w:t>。</w:t>
      </w:r>
    </w:p>
    <w:p>
      <w:pPr>
        <w:adjustRightInd w:val="0"/>
        <w:snapToGrid w:val="0"/>
        <w:spacing w:line="600" w:lineRule="exact"/>
        <w:ind w:firstLine="640" w:firstLineChars="200"/>
        <w:rPr>
          <w:rFonts w:asciiTheme="minorEastAsia" w:hAnsiTheme="minorEastAsia"/>
          <w:sz w:val="30"/>
          <w:szCs w:val="30"/>
        </w:rPr>
      </w:pPr>
      <w:r>
        <w:rPr>
          <w:rFonts w:hint="eastAsia" w:asciiTheme="minorEastAsia" w:hAnsiTheme="minorEastAsia"/>
          <w:sz w:val="32"/>
          <w:szCs w:val="32"/>
        </w:rPr>
        <w:t>五、结合《部门整体支出绩效评价指标表》的评价结果, 摊主对市场服务中心的满意度92分,顾客对市场服务中心的满意度93分</w:t>
      </w:r>
      <w:r>
        <w:rPr>
          <w:rFonts w:hint="eastAsia" w:cs="宋体" w:asciiTheme="minorEastAsia" w:hAnsiTheme="minorEastAsia"/>
          <w:color w:val="010101"/>
          <w:kern w:val="0"/>
          <w:sz w:val="32"/>
          <w:szCs w:val="32"/>
        </w:rPr>
        <w:t>。</w:t>
      </w:r>
    </w:p>
    <w:p>
      <w:pPr>
        <w:adjustRightInd w:val="0"/>
        <w:snapToGrid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六、存在的主要问题</w:t>
      </w:r>
    </w:p>
    <w:p>
      <w:pPr>
        <w:adjustRightInd w:val="0"/>
        <w:snapToGrid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主要存在预算资金不够细，支出与预算不够专的问题。</w:t>
      </w:r>
    </w:p>
    <w:p>
      <w:pPr>
        <w:adjustRightInd w:val="0"/>
        <w:snapToGrid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七</w:t>
      </w:r>
      <w:r>
        <w:rPr>
          <w:rFonts w:asciiTheme="minorEastAsia" w:hAnsiTheme="minorEastAsia"/>
          <w:sz w:val="32"/>
          <w:szCs w:val="32"/>
        </w:rPr>
        <w:t>、</w:t>
      </w:r>
      <w:r>
        <w:rPr>
          <w:rFonts w:hint="eastAsia" w:asciiTheme="minorEastAsia" w:hAnsiTheme="minorEastAsia"/>
          <w:sz w:val="32"/>
          <w:szCs w:val="32"/>
        </w:rPr>
        <w:t>改进措施和有关建议</w:t>
      </w:r>
    </w:p>
    <w:p>
      <w:pPr>
        <w:ind w:firstLine="800" w:firstLineChars="250"/>
        <w:rPr>
          <w:rFonts w:cs="宋体" w:asciiTheme="minorEastAsia" w:hAnsiTheme="minorEastAsia"/>
          <w:color w:val="010101"/>
          <w:kern w:val="0"/>
          <w:sz w:val="32"/>
          <w:szCs w:val="32"/>
        </w:rPr>
      </w:pPr>
      <w:r>
        <w:rPr>
          <w:rFonts w:hint="eastAsia" w:cs="宋体" w:asciiTheme="minorEastAsia" w:hAnsiTheme="minorEastAsia"/>
          <w:bCs/>
          <w:color w:val="010101"/>
          <w:kern w:val="0"/>
          <w:sz w:val="32"/>
          <w:szCs w:val="32"/>
        </w:rPr>
        <w:t>（一）规范账务处理，提高财务信息质量</w:t>
      </w:r>
      <w:r>
        <w:rPr>
          <w:rFonts w:hint="eastAsia" w:cs="宋体" w:asciiTheme="minorEastAsia" w:hAnsiTheme="minorEastAsia"/>
          <w:color w:val="010101"/>
          <w:kern w:val="0"/>
          <w:sz w:val="32"/>
          <w:szCs w:val="32"/>
        </w:rPr>
        <w:t>。</w:t>
      </w:r>
    </w:p>
    <w:p>
      <w:pPr>
        <w:ind w:firstLine="800" w:firstLineChars="250"/>
        <w:rPr>
          <w:rFonts w:cs="宋体" w:asciiTheme="minorEastAsia" w:hAnsiTheme="minorEastAsia"/>
          <w:color w:val="010101"/>
          <w:kern w:val="0"/>
          <w:sz w:val="32"/>
          <w:szCs w:val="32"/>
        </w:rPr>
      </w:pPr>
      <w:r>
        <w:rPr>
          <w:rFonts w:hint="eastAsia" w:cs="宋体" w:asciiTheme="minorEastAsia" w:hAnsiTheme="minorEastAsia"/>
          <w:color w:val="010101"/>
          <w:kern w:val="0"/>
          <w:sz w:val="32"/>
          <w:szCs w:val="32"/>
        </w:rPr>
        <w:t>严格按照《会计法》、《行政单位会计制度》、《行政单位财务规则》等规定执行财务核算，并结合实际情况，完整、准确地披露相关信息，做到决算与预算相衔接。</w:t>
      </w:r>
    </w:p>
    <w:p>
      <w:pPr>
        <w:ind w:firstLine="800" w:firstLineChars="250"/>
        <w:rPr>
          <w:rFonts w:cs="宋体" w:asciiTheme="minorEastAsia" w:hAnsiTheme="minorEastAsia"/>
          <w:bCs/>
          <w:color w:val="010101"/>
          <w:kern w:val="0"/>
          <w:sz w:val="32"/>
          <w:szCs w:val="32"/>
        </w:rPr>
      </w:pPr>
      <w:r>
        <w:rPr>
          <w:rFonts w:hint="eastAsia" w:cs="宋体" w:asciiTheme="minorEastAsia" w:hAnsiTheme="minorEastAsia"/>
          <w:bCs/>
          <w:color w:val="010101"/>
          <w:kern w:val="0"/>
          <w:sz w:val="32"/>
          <w:szCs w:val="32"/>
        </w:rPr>
        <w:t>（二）落实管理制度，进一步加强接待管理。</w:t>
      </w:r>
    </w:p>
    <w:p>
      <w:pPr>
        <w:adjustRightInd w:val="0"/>
        <w:snapToGrid w:val="0"/>
        <w:spacing w:line="600" w:lineRule="exact"/>
        <w:ind w:firstLine="960" w:firstLineChars="300"/>
        <w:rPr>
          <w:rFonts w:asciiTheme="minorEastAsia" w:hAnsiTheme="minorEastAsia"/>
          <w:sz w:val="32"/>
          <w:szCs w:val="32"/>
        </w:rPr>
      </w:pPr>
      <w:r>
        <w:rPr>
          <w:rFonts w:hint="eastAsia" w:asciiTheme="minorEastAsia" w:hAnsiTheme="minorEastAsia"/>
          <w:sz w:val="32"/>
          <w:szCs w:val="32"/>
        </w:rPr>
        <w:t>按照《道县党政机关公务接待管理实施细则》的加强接待管理工作，对被接待单位人员要及时索取接待函对存在的问题。</w:t>
      </w:r>
    </w:p>
    <w:p>
      <w:pPr>
        <w:adjustRightInd w:val="0"/>
        <w:snapToGrid w:val="0"/>
        <w:spacing w:line="600" w:lineRule="exact"/>
        <w:ind w:firstLine="640"/>
        <w:rPr>
          <w:rFonts w:asciiTheme="minorEastAsia" w:hAnsiTheme="minorEastAsia"/>
          <w:sz w:val="32"/>
          <w:szCs w:val="32"/>
        </w:rPr>
      </w:pPr>
      <w:r>
        <w:rPr>
          <w:rFonts w:hint="eastAsia" w:asciiTheme="minorEastAsia" w:hAnsiTheme="minorEastAsia"/>
          <w:sz w:val="32"/>
          <w:szCs w:val="32"/>
        </w:rPr>
        <w:t>（三）加强会计机构队伍建设</w:t>
      </w:r>
    </w:p>
    <w:p>
      <w:pPr>
        <w:adjustRightInd w:val="0"/>
        <w:snapToGrid w:val="0"/>
        <w:spacing w:line="600" w:lineRule="exact"/>
        <w:ind w:firstLine="800" w:firstLineChars="250"/>
        <w:rPr>
          <w:rFonts w:asciiTheme="minorEastAsia" w:hAnsiTheme="minorEastAsia"/>
          <w:sz w:val="32"/>
          <w:szCs w:val="32"/>
        </w:rPr>
      </w:pPr>
      <w:r>
        <w:rPr>
          <w:rFonts w:hint="eastAsia" w:asciiTheme="minorEastAsia" w:hAnsiTheme="minorEastAsia"/>
          <w:sz w:val="32"/>
          <w:szCs w:val="32"/>
        </w:rPr>
        <w:t>按照《中华人民共和国会计法》要求建立会计机关，配备齐会计人员，做到不相容岗位分设，加强会计监督。</w:t>
      </w:r>
    </w:p>
    <w:p>
      <w:pPr>
        <w:adjustRightInd w:val="0"/>
        <w:snapToGrid w:val="0"/>
        <w:spacing w:line="600" w:lineRule="exact"/>
        <w:ind w:firstLine="640" w:firstLineChars="200"/>
        <w:rPr>
          <w:rFonts w:asciiTheme="minorEastAsia" w:hAnsiTheme="minorEastAsia"/>
          <w:sz w:val="32"/>
          <w:szCs w:val="32"/>
        </w:rPr>
      </w:pPr>
    </w:p>
    <w:p>
      <w:pPr>
        <w:adjustRightInd w:val="0"/>
        <w:snapToGrid w:val="0"/>
        <w:spacing w:line="600" w:lineRule="exact"/>
        <w:ind w:firstLine="640" w:firstLineChars="200"/>
        <w:rPr>
          <w:rFonts w:asciiTheme="minorEastAsia" w:hAnsiTheme="minorEastAsia"/>
          <w:sz w:val="32"/>
          <w:szCs w:val="32"/>
        </w:rPr>
      </w:pPr>
    </w:p>
    <w:p>
      <w:pPr>
        <w:adjustRightInd w:val="0"/>
        <w:snapToGrid w:val="0"/>
        <w:spacing w:line="600" w:lineRule="exact"/>
        <w:ind w:right="640" w:firstLine="640" w:firstLineChars="200"/>
        <w:jc w:val="center"/>
        <w:rPr>
          <w:rFonts w:asciiTheme="minorEastAsia" w:hAnsiTheme="minorEastAsia"/>
          <w:sz w:val="32"/>
          <w:szCs w:val="32"/>
        </w:rPr>
      </w:pPr>
    </w:p>
    <w:p>
      <w:pPr>
        <w:wordWrap w:val="0"/>
        <w:adjustRightInd w:val="0"/>
        <w:snapToGrid w:val="0"/>
        <w:spacing w:line="600" w:lineRule="exact"/>
        <w:ind w:right="640" w:firstLine="640" w:firstLineChars="200"/>
        <w:jc w:val="center"/>
        <w:rPr>
          <w:rFonts w:asciiTheme="minorEastAsia" w:hAnsiTheme="minorEastAsia"/>
          <w:sz w:val="32"/>
          <w:szCs w:val="3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6141"/>
    <w:rsid w:val="000273BD"/>
    <w:rsid w:val="000415B7"/>
    <w:rsid w:val="000658A3"/>
    <w:rsid w:val="00074155"/>
    <w:rsid w:val="000A3F69"/>
    <w:rsid w:val="000C1357"/>
    <w:rsid w:val="000C788B"/>
    <w:rsid w:val="000D43EA"/>
    <w:rsid w:val="001079A8"/>
    <w:rsid w:val="001113E7"/>
    <w:rsid w:val="00127558"/>
    <w:rsid w:val="00131125"/>
    <w:rsid w:val="00150F6D"/>
    <w:rsid w:val="00152C6D"/>
    <w:rsid w:val="00162D39"/>
    <w:rsid w:val="00175592"/>
    <w:rsid w:val="00183895"/>
    <w:rsid w:val="001A67DB"/>
    <w:rsid w:val="001A7A08"/>
    <w:rsid w:val="001D51E5"/>
    <w:rsid w:val="001F0C3B"/>
    <w:rsid w:val="0020605C"/>
    <w:rsid w:val="00214427"/>
    <w:rsid w:val="00225B64"/>
    <w:rsid w:val="00230372"/>
    <w:rsid w:val="00234CA5"/>
    <w:rsid w:val="00242F2A"/>
    <w:rsid w:val="00250824"/>
    <w:rsid w:val="00260123"/>
    <w:rsid w:val="00265724"/>
    <w:rsid w:val="0027426B"/>
    <w:rsid w:val="00277ECC"/>
    <w:rsid w:val="00280517"/>
    <w:rsid w:val="00285462"/>
    <w:rsid w:val="0029592C"/>
    <w:rsid w:val="0029759E"/>
    <w:rsid w:val="002A02FE"/>
    <w:rsid w:val="002A5790"/>
    <w:rsid w:val="002B0896"/>
    <w:rsid w:val="002F1053"/>
    <w:rsid w:val="0030621D"/>
    <w:rsid w:val="003218E7"/>
    <w:rsid w:val="00343DFE"/>
    <w:rsid w:val="003479BD"/>
    <w:rsid w:val="003510C5"/>
    <w:rsid w:val="003768D5"/>
    <w:rsid w:val="003941C0"/>
    <w:rsid w:val="003B70DD"/>
    <w:rsid w:val="003C6C1A"/>
    <w:rsid w:val="00404A1D"/>
    <w:rsid w:val="004151C9"/>
    <w:rsid w:val="004203FE"/>
    <w:rsid w:val="0042775F"/>
    <w:rsid w:val="00433563"/>
    <w:rsid w:val="004506F9"/>
    <w:rsid w:val="00465BA7"/>
    <w:rsid w:val="00470951"/>
    <w:rsid w:val="004717A2"/>
    <w:rsid w:val="00491741"/>
    <w:rsid w:val="004B5C53"/>
    <w:rsid w:val="004E2BA4"/>
    <w:rsid w:val="004F52ED"/>
    <w:rsid w:val="00500E5F"/>
    <w:rsid w:val="005022F3"/>
    <w:rsid w:val="005122EF"/>
    <w:rsid w:val="00517C33"/>
    <w:rsid w:val="00523644"/>
    <w:rsid w:val="0054069E"/>
    <w:rsid w:val="00540DD0"/>
    <w:rsid w:val="00540EB4"/>
    <w:rsid w:val="005432FC"/>
    <w:rsid w:val="00545187"/>
    <w:rsid w:val="00552DCA"/>
    <w:rsid w:val="00554483"/>
    <w:rsid w:val="005651CF"/>
    <w:rsid w:val="005718CC"/>
    <w:rsid w:val="005767CC"/>
    <w:rsid w:val="0058038F"/>
    <w:rsid w:val="00590D9F"/>
    <w:rsid w:val="00595D26"/>
    <w:rsid w:val="005972AD"/>
    <w:rsid w:val="005A0F74"/>
    <w:rsid w:val="005A74E6"/>
    <w:rsid w:val="005B7F25"/>
    <w:rsid w:val="005D4D54"/>
    <w:rsid w:val="005D4D55"/>
    <w:rsid w:val="005E16A4"/>
    <w:rsid w:val="005E2CFB"/>
    <w:rsid w:val="005F4971"/>
    <w:rsid w:val="00611FF7"/>
    <w:rsid w:val="0062378F"/>
    <w:rsid w:val="00651EEC"/>
    <w:rsid w:val="00655442"/>
    <w:rsid w:val="0066396C"/>
    <w:rsid w:val="00671666"/>
    <w:rsid w:val="006A351B"/>
    <w:rsid w:val="006B0422"/>
    <w:rsid w:val="006B4A38"/>
    <w:rsid w:val="006B61FF"/>
    <w:rsid w:val="006B6250"/>
    <w:rsid w:val="006C1B53"/>
    <w:rsid w:val="006D2100"/>
    <w:rsid w:val="006D7730"/>
    <w:rsid w:val="006E5284"/>
    <w:rsid w:val="006F3EB5"/>
    <w:rsid w:val="00700096"/>
    <w:rsid w:val="00701288"/>
    <w:rsid w:val="00702E34"/>
    <w:rsid w:val="00704395"/>
    <w:rsid w:val="007149FA"/>
    <w:rsid w:val="00720FF1"/>
    <w:rsid w:val="0074560D"/>
    <w:rsid w:val="007461E2"/>
    <w:rsid w:val="0076598D"/>
    <w:rsid w:val="0076782D"/>
    <w:rsid w:val="0078216C"/>
    <w:rsid w:val="007A5882"/>
    <w:rsid w:val="007D6660"/>
    <w:rsid w:val="007D6CF6"/>
    <w:rsid w:val="00812ED5"/>
    <w:rsid w:val="008277D9"/>
    <w:rsid w:val="00843856"/>
    <w:rsid w:val="00856FBC"/>
    <w:rsid w:val="00873E2F"/>
    <w:rsid w:val="00881C5C"/>
    <w:rsid w:val="008A3E8D"/>
    <w:rsid w:val="008D3AEF"/>
    <w:rsid w:val="008D728B"/>
    <w:rsid w:val="008E33FF"/>
    <w:rsid w:val="0091709D"/>
    <w:rsid w:val="009237C4"/>
    <w:rsid w:val="00925C11"/>
    <w:rsid w:val="009260DB"/>
    <w:rsid w:val="00932F60"/>
    <w:rsid w:val="00950252"/>
    <w:rsid w:val="00961FFF"/>
    <w:rsid w:val="00967F5D"/>
    <w:rsid w:val="00984A58"/>
    <w:rsid w:val="009A0F95"/>
    <w:rsid w:val="009B33DE"/>
    <w:rsid w:val="009B3ADF"/>
    <w:rsid w:val="009C3B52"/>
    <w:rsid w:val="009C5356"/>
    <w:rsid w:val="009D6D6A"/>
    <w:rsid w:val="00A06B9D"/>
    <w:rsid w:val="00A175A6"/>
    <w:rsid w:val="00A42218"/>
    <w:rsid w:val="00A51F0B"/>
    <w:rsid w:val="00A53746"/>
    <w:rsid w:val="00A540A9"/>
    <w:rsid w:val="00A55F09"/>
    <w:rsid w:val="00A70249"/>
    <w:rsid w:val="00A84D0B"/>
    <w:rsid w:val="00AC69F1"/>
    <w:rsid w:val="00AF225E"/>
    <w:rsid w:val="00AF27C2"/>
    <w:rsid w:val="00AF554D"/>
    <w:rsid w:val="00AF7D8B"/>
    <w:rsid w:val="00B14D97"/>
    <w:rsid w:val="00B16E25"/>
    <w:rsid w:val="00B24352"/>
    <w:rsid w:val="00B31FCD"/>
    <w:rsid w:val="00B33BEA"/>
    <w:rsid w:val="00B423A2"/>
    <w:rsid w:val="00B525BD"/>
    <w:rsid w:val="00B57C9F"/>
    <w:rsid w:val="00B845B3"/>
    <w:rsid w:val="00B85D8B"/>
    <w:rsid w:val="00BA74DF"/>
    <w:rsid w:val="00BC148F"/>
    <w:rsid w:val="00BE3674"/>
    <w:rsid w:val="00BF60E1"/>
    <w:rsid w:val="00C22EED"/>
    <w:rsid w:val="00C3049A"/>
    <w:rsid w:val="00C31B1E"/>
    <w:rsid w:val="00C32D67"/>
    <w:rsid w:val="00C34D05"/>
    <w:rsid w:val="00C364BF"/>
    <w:rsid w:val="00C77645"/>
    <w:rsid w:val="00CA69E7"/>
    <w:rsid w:val="00CD078A"/>
    <w:rsid w:val="00CD376D"/>
    <w:rsid w:val="00CD6132"/>
    <w:rsid w:val="00CE04C3"/>
    <w:rsid w:val="00CE76A0"/>
    <w:rsid w:val="00CF2877"/>
    <w:rsid w:val="00D03F77"/>
    <w:rsid w:val="00D12EA4"/>
    <w:rsid w:val="00D13428"/>
    <w:rsid w:val="00D148C6"/>
    <w:rsid w:val="00D36710"/>
    <w:rsid w:val="00D523BD"/>
    <w:rsid w:val="00D72029"/>
    <w:rsid w:val="00D92AC7"/>
    <w:rsid w:val="00DD06FF"/>
    <w:rsid w:val="00DD5FE9"/>
    <w:rsid w:val="00DD7DF2"/>
    <w:rsid w:val="00DE0797"/>
    <w:rsid w:val="00DF6E4F"/>
    <w:rsid w:val="00E00C7A"/>
    <w:rsid w:val="00E05ACE"/>
    <w:rsid w:val="00E12993"/>
    <w:rsid w:val="00E176CF"/>
    <w:rsid w:val="00E261E0"/>
    <w:rsid w:val="00E46C94"/>
    <w:rsid w:val="00E55B68"/>
    <w:rsid w:val="00E75C5C"/>
    <w:rsid w:val="00EA7420"/>
    <w:rsid w:val="00ED5365"/>
    <w:rsid w:val="00EE4970"/>
    <w:rsid w:val="00F15B20"/>
    <w:rsid w:val="00F65CED"/>
    <w:rsid w:val="00F70252"/>
    <w:rsid w:val="00F74360"/>
    <w:rsid w:val="00F953A6"/>
    <w:rsid w:val="00FB31DE"/>
    <w:rsid w:val="00FB462F"/>
    <w:rsid w:val="00FD435D"/>
    <w:rsid w:val="00FE16FA"/>
    <w:rsid w:val="00FE328A"/>
    <w:rsid w:val="02BA26A1"/>
    <w:rsid w:val="03E10634"/>
    <w:rsid w:val="04DB7492"/>
    <w:rsid w:val="07BD35E1"/>
    <w:rsid w:val="0A621BC2"/>
    <w:rsid w:val="0D35691A"/>
    <w:rsid w:val="114C0B25"/>
    <w:rsid w:val="1208440C"/>
    <w:rsid w:val="132D1724"/>
    <w:rsid w:val="13B07B71"/>
    <w:rsid w:val="14B52EFD"/>
    <w:rsid w:val="169C40AD"/>
    <w:rsid w:val="194B7EC2"/>
    <w:rsid w:val="19EE405F"/>
    <w:rsid w:val="1B6078F4"/>
    <w:rsid w:val="1BBC0E28"/>
    <w:rsid w:val="1DA21AC5"/>
    <w:rsid w:val="2192597D"/>
    <w:rsid w:val="260D6A2B"/>
    <w:rsid w:val="268A51FA"/>
    <w:rsid w:val="27B05B03"/>
    <w:rsid w:val="2A772054"/>
    <w:rsid w:val="2C837C26"/>
    <w:rsid w:val="2E8A7969"/>
    <w:rsid w:val="30D874A2"/>
    <w:rsid w:val="314264FC"/>
    <w:rsid w:val="31860F28"/>
    <w:rsid w:val="32CA0762"/>
    <w:rsid w:val="36D96B9B"/>
    <w:rsid w:val="37493236"/>
    <w:rsid w:val="37531B06"/>
    <w:rsid w:val="3A53059F"/>
    <w:rsid w:val="3DAD4091"/>
    <w:rsid w:val="412851EE"/>
    <w:rsid w:val="422F3119"/>
    <w:rsid w:val="42922388"/>
    <w:rsid w:val="46EC7B6F"/>
    <w:rsid w:val="487E2C0C"/>
    <w:rsid w:val="49A50FC4"/>
    <w:rsid w:val="51517DB8"/>
    <w:rsid w:val="54924387"/>
    <w:rsid w:val="57483B74"/>
    <w:rsid w:val="58A76859"/>
    <w:rsid w:val="5C1346FC"/>
    <w:rsid w:val="5CA50B92"/>
    <w:rsid w:val="5F3D0531"/>
    <w:rsid w:val="60580E37"/>
    <w:rsid w:val="619D35DD"/>
    <w:rsid w:val="63727694"/>
    <w:rsid w:val="64277697"/>
    <w:rsid w:val="6AB94D87"/>
    <w:rsid w:val="6B773935"/>
    <w:rsid w:val="6CD7202D"/>
    <w:rsid w:val="7322295E"/>
    <w:rsid w:val="739B7F38"/>
    <w:rsid w:val="77FD51FC"/>
    <w:rsid w:val="7B7E079B"/>
    <w:rsid w:val="7C7F7D3F"/>
    <w:rsid w:val="7E097AB0"/>
    <w:rsid w:val="7EAF33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A2F5E-7C76-4D29-B578-FA2E3D21F83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1893</Words>
  <Characters>10792</Characters>
  <Lines>89</Lines>
  <Paragraphs>25</Paragraphs>
  <TotalTime>120</TotalTime>
  <ScaleCrop>false</ScaleCrop>
  <LinksUpToDate>false</LinksUpToDate>
  <CharactersWithSpaces>12660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杨慈良</cp:lastModifiedBy>
  <cp:lastPrinted>2021-06-04T01:35:00Z</cp:lastPrinted>
  <dcterms:modified xsi:type="dcterms:W3CDTF">2021-06-17T06:43:38Z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9B09E64EE2474F2C8BD579C1705066E2</vt:lpwstr>
  </property>
</Properties>
</file>