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</w:rPr>
      </w:pPr>
      <w:r>
        <w:rPr>
          <w:rFonts w:ascii="黑体" w:hAnsi="黑体" w:eastAsia="黑体" w:cs="黑体"/>
          <w:bCs/>
          <w:kern w:val="0"/>
          <w:sz w:val="44"/>
          <w:szCs w:val="44"/>
        </w:rPr>
        <w:t>2020</w:t>
      </w:r>
      <w:r>
        <w:rPr>
          <w:rFonts w:hint="eastAsia" w:ascii="黑体" w:hAnsi="黑体" w:eastAsia="黑体" w:cs="黑体"/>
          <w:bCs/>
          <w:kern w:val="0"/>
          <w:sz w:val="44"/>
          <w:szCs w:val="44"/>
        </w:rPr>
        <w:t>年道县文联部门预算公开</w:t>
      </w:r>
    </w:p>
    <w:p>
      <w:pPr>
        <w:widowControl/>
        <w:spacing w:line="600" w:lineRule="exact"/>
        <w:rPr>
          <w:rFonts w:ascii="黑体" w:hAnsi="黑体" w:eastAsia="黑体" w:cs="黑体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</w:rPr>
      </w:pPr>
      <w:r>
        <w:rPr>
          <w:rFonts w:eastAsia="黑体"/>
          <w:bCs/>
          <w:kern w:val="0"/>
          <w:sz w:val="44"/>
          <w:szCs w:val="44"/>
        </w:rPr>
        <w:t>目录</w:t>
      </w:r>
    </w:p>
    <w:p>
      <w:pPr>
        <w:widowControl/>
        <w:spacing w:line="600" w:lineRule="exact"/>
        <w:ind w:firstLine="643" w:firstLineChars="200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第一部分</w:t>
      </w:r>
      <w:r>
        <w:rPr>
          <w:rFonts w:eastAsia="方正小标宋_GBK"/>
          <w:b/>
          <w:bCs/>
          <w:kern w:val="0"/>
          <w:sz w:val="32"/>
          <w:szCs w:val="32"/>
        </w:rPr>
        <w:t>2020</w:t>
      </w:r>
      <w:r>
        <w:rPr>
          <w:rFonts w:eastAsia="仿宋_GB2312"/>
          <w:b/>
          <w:bCs/>
          <w:kern w:val="0"/>
          <w:sz w:val="32"/>
          <w:szCs w:val="32"/>
        </w:rPr>
        <w:t>年部门预算说明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1、部门基本概况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2、部门预算单位构成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3、部门收支总体情况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4、一般公共预算拨款支出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5、</w:t>
      </w:r>
      <w:r>
        <w:rPr>
          <w:rFonts w:hint="eastAsia" w:eastAsia="仿宋_GB2312"/>
          <w:sz w:val="32"/>
          <w:szCs w:val="32"/>
        </w:rPr>
        <w:t>政府性基金预算支出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hint="eastAsia" w:eastAsia="仿宋_GB2312"/>
          <w:sz w:val="32"/>
          <w:szCs w:val="32"/>
        </w:rPr>
        <w:t>、其他重要事项的情况说明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0" w:firstLineChars="200"/>
        <w:rPr>
          <w:rFonts w:eastAsia="方正小标宋_GBK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</w:rPr>
      </w:pPr>
      <w:r>
        <w:rPr>
          <w:rFonts w:eastAsia="仿宋_GB2312"/>
          <w:b/>
          <w:bCs/>
          <w:kern w:val="0"/>
          <w:sz w:val="32"/>
          <w:szCs w:val="32"/>
        </w:rPr>
        <w:t>第二部分2020年部门预算表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bookmarkStart w:id="0" w:name="_Hlk73801863"/>
      <w:r>
        <w:rPr>
          <w:rFonts w:hint="eastAsia" w:eastAsia="仿宋_GB2312"/>
          <w:sz w:val="32"/>
          <w:szCs w:val="32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8、政府性基金预算支出情况表</w:t>
      </w:r>
    </w:p>
    <w:bookmarkEnd w:id="0"/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</w:rPr>
      </w:pPr>
      <w:r>
        <w:rPr>
          <w:rFonts w:eastAsia="仿宋_GB2312"/>
          <w:bCs/>
          <w:kern w:val="0"/>
          <w:sz w:val="32"/>
          <w:szCs w:val="32"/>
        </w:rPr>
        <w:t>注：以上部门预算报表中，空表表示本部门无相关收支情况。</w:t>
      </w:r>
    </w:p>
    <w:p>
      <w:pPr>
        <w:widowControl/>
        <w:spacing w:line="600" w:lineRule="exact"/>
        <w:jc w:val="center"/>
        <w:rPr>
          <w:rFonts w:ascii="黑体" w:hAnsi="黑体" w:eastAsia="黑体"/>
          <w:bCs/>
          <w:kern w:val="0"/>
          <w:sz w:val="36"/>
          <w:szCs w:val="36"/>
        </w:rPr>
      </w:pPr>
      <w:r>
        <w:rPr>
          <w:rFonts w:hint="eastAsia" w:ascii="黑体" w:hAnsi="黑体" w:eastAsia="黑体"/>
          <w:bCs/>
          <w:kern w:val="0"/>
          <w:sz w:val="36"/>
          <w:szCs w:val="36"/>
        </w:rPr>
        <w:t xml:space="preserve">第一部分    </w:t>
      </w:r>
      <w:r>
        <w:rPr>
          <w:rFonts w:ascii="黑体" w:hAnsi="黑体" w:eastAsia="黑体"/>
          <w:bCs/>
          <w:kern w:val="0"/>
          <w:sz w:val="36"/>
          <w:szCs w:val="36"/>
        </w:rPr>
        <w:t>部门预算说明</w:t>
      </w:r>
    </w:p>
    <w:p>
      <w:pPr>
        <w:widowControl/>
        <w:spacing w:line="600" w:lineRule="exact"/>
        <w:jc w:val="left"/>
        <w:rPr>
          <w:rFonts w:ascii="黑体" w:hAnsi="黑体" w:eastAsia="黑体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ascii="黑体" w:hAnsi="黑体" w:eastAsia="黑体"/>
          <w:bCs/>
          <w:kern w:val="0"/>
          <w:sz w:val="32"/>
          <w:szCs w:val="32"/>
        </w:rPr>
      </w:pPr>
      <w:r>
        <w:rPr>
          <w:rFonts w:ascii="黑体" w:hAnsi="黑体" w:eastAsia="黑体"/>
          <w:bCs/>
          <w:kern w:val="0"/>
          <w:sz w:val="32"/>
          <w:szCs w:val="32"/>
        </w:rPr>
        <w:t>一、部门基本概况</w:t>
      </w:r>
    </w:p>
    <w:p>
      <w:pPr>
        <w:widowControl/>
        <w:spacing w:line="600" w:lineRule="exact"/>
        <w:ind w:firstLine="630" w:firstLineChars="196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t>（一）职能职责。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加强党对文艺工作的领导，加强全县文艺队伍思想政治建设，制定出台到县文艺工作者采风创作制度，组织文艺工作者开展主题文艺实践活动。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（二）机构设置。</w:t>
      </w:r>
    </w:p>
    <w:p>
      <w:pPr>
        <w:autoSpaceDN w:val="0"/>
        <w:spacing w:line="30" w:lineRule="atLeast"/>
        <w:ind w:firstLine="640"/>
        <w:rPr>
          <w:rFonts w:hint="eastAsia" w:ascii="仿宋_GB2312" w:hAnsi="仿宋_GB2312" w:eastAsia="仿宋_GB2312" w:cs="仿宋_GB2312"/>
          <w:color w:val="030303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30303"/>
          <w:sz w:val="32"/>
          <w:szCs w:val="32"/>
        </w:rPr>
        <w:t>文联共有内设机构4个，分别为：办公室、组织联络室、权益保护与行业建设室。2019年编制数7人，现有在职人员4人。无公务用车。</w:t>
      </w:r>
    </w:p>
    <w:p>
      <w:pPr>
        <w:widowControl/>
        <w:spacing w:line="600" w:lineRule="exact"/>
        <w:ind w:firstLine="630" w:firstLineChars="196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文联只有本级，没有其他二级预算单位，因此，纳入2020年部门预算编制范围的只有单位本级。</w:t>
      </w: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（一）收入预算：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包括一般公共预算、政府性基金、国有资本经营预算等财政拨款收入，以及经营收入、事业收入等单位资金。2020年本部门收入预算45.04万元，其中，一般公共预算拨款45.04万元，政府性基金预算拨款 0万元，国有资本经营预算拨款 0万元，纳入专户管理的非税收入 0  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收入较去年增加45.04万元，主要是本单位为2020年新增单位,2019年无收入。</w:t>
      </w:r>
    </w:p>
    <w:p>
      <w:pPr>
        <w:widowControl/>
        <w:spacing w:line="600" w:lineRule="exact"/>
        <w:ind w:firstLine="630" w:firstLineChars="196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（二）支出预算：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2020年本部门支出预算45.04万元，其中，一般公共服务45.04万元，公共安全0万元，教育0万元，科学技术0万元。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支出较去年增加45.04万元，主要是本单位为2020年新增单位,2019年无支出。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2020年本部门一般公共预算拨款支出预算45.04万元，其中，一般公共服务支出45.04万元，占100 %；公共安全 0 万元，教育 0 万元，科学技术 0 万元。具体安排情况如下：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（一）基本支出：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2020年本部门基本支出预算数41.04万元，主要是为保障部门正常运转、完成日常工作任务而发生的各项支出，包括用于基本工资、津贴补贴等人员经费以及办公费、印刷费、水电费、办公设备购置等公用经费。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hd w:val="clear" w:color="auto" w:fill="FFFFFF"/>
        <w:ind w:firstLine="570"/>
        <w:jc w:val="left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（二）项目支出：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项目支出预算4万元，主要是部门为完成特定行政工作任务或事业发展目标而发生的支出，包括有关事业发展专项、专项业务费、基本建设支出等，只有一个《濂溪》杂志项目支出4万元，主要用于《濂溪》杂志编印工作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2020年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政府性基金预算数为0万元，本部门无政府性基金支出。</w:t>
      </w:r>
    </w:p>
    <w:p>
      <w:pPr>
        <w:widowControl/>
        <w:spacing w:line="600" w:lineRule="exact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bookmarkStart w:id="1" w:name="_GoBack"/>
    </w:p>
    <w:bookmarkEnd w:id="1"/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（一）机关运行经费：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2020年本部门机关本级行政事业单位的机关运行经费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万元，比上年预算增加5万元，上升100%，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主要是本单位为2020年新增单位,2019年无机关运行经费。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（二）“三公”经费预算：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机关本级行政事业单位“三公”经费预算数为1万元，其中，公务接待费1万元，公务用车购置及运行费0万元（其中，公务用车购置费0万元，公务用车运行费0万元），因公出国（境）费0万元。2020年“三公”经费预算较2019年增加1万元，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主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要是本单位为2020年新增单位,2019年无“三公”经费支出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。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（三）一般性支出情况：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2020年本部门会议费预算</w:t>
      </w:r>
      <w:r>
        <w:rPr>
          <w:rFonts w:hint="eastAsia" w:ascii="仿宋_GB2312" w:hAnsi="仿宋_GB2312" w:eastAsia="仿宋_GB2312" w:cs="仿宋_GB2312"/>
          <w:sz w:val="32"/>
          <w:szCs w:val="32"/>
        </w:rPr>
        <w:t>0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万元，无会议费支出。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（四）政府采购情况：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2020年本部门政府采购预算总额0万元，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无政府采购支出。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（五）国有资产占用使用及新增资产配置情况：</w:t>
      </w:r>
      <w:r>
        <w:rPr>
          <w:rFonts w:hint="eastAsia" w:ascii="仿宋_GB2312" w:hAnsi="仿宋_GB2312" w:eastAsia="仿宋_GB2312" w:cs="仿宋_GB2312"/>
          <w:sz w:val="32"/>
          <w:szCs w:val="32"/>
        </w:rPr>
        <w:t>截至2020年12月底，本部门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共有公务用车0辆；新增配备单位价值50万元以上通用设备0台，单位价值100万元以上专用设备0台。</w:t>
      </w: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60"/>
        <w:jc w:val="left"/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（六）预算绩效目标说明：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本部门所有支出实行绩效目标管理。纳入2020年部门整体支出绩效目标的金额为</w:t>
      </w:r>
      <w:r>
        <w:rPr>
          <w:rFonts w:hint="eastAsia" w:ascii="仿宋_GB2312" w:hAnsi="仿宋_GB2312" w:eastAsia="仿宋_GB2312" w:cs="仿宋_GB2312"/>
          <w:sz w:val="32"/>
          <w:szCs w:val="32"/>
        </w:rPr>
        <w:t>45.04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万元，其中，基本支出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41.04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万元，项目支出</w:t>
      </w: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万元。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七、名词解释</w:t>
      </w:r>
    </w:p>
    <w:p>
      <w:pPr>
        <w:widowControl/>
        <w:spacing w:line="600" w:lineRule="exact"/>
        <w:ind w:firstLine="66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“三公”经费：纳入省（市/县）财政预算管理的“三公”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numPr>
          <w:ilvl w:val="0"/>
          <w:numId w:val="1"/>
        </w:numPr>
        <w:ind w:firstLine="883" w:firstLineChars="200"/>
        <w:jc w:val="center"/>
        <w:rPr>
          <w:rFonts w:ascii="黑体" w:hAnsi="黑体" w:eastAsia="黑体"/>
          <w:b/>
          <w:bCs/>
          <w:kern w:val="0"/>
          <w:sz w:val="44"/>
          <w:szCs w:val="44"/>
        </w:rPr>
      </w:pPr>
      <w:r>
        <w:rPr>
          <w:rFonts w:ascii="黑体" w:hAnsi="黑体" w:eastAsia="黑体"/>
          <w:b/>
          <w:bCs/>
          <w:kern w:val="0"/>
          <w:sz w:val="44"/>
          <w:szCs w:val="44"/>
        </w:rPr>
        <w:t>部门预算表</w:t>
      </w:r>
    </w:p>
    <w:p>
      <w:pPr>
        <w:ind w:firstLine="2570" w:firstLineChars="800"/>
        <w:rPr>
          <w:rFonts w:ascii="黑体" w:hAnsi="黑体" w:eastAsia="黑体"/>
          <w:b/>
          <w:bCs/>
          <w:kern w:val="0"/>
          <w:sz w:val="32"/>
          <w:szCs w:val="32"/>
        </w:rPr>
      </w:pPr>
      <w:r>
        <w:rPr>
          <w:rFonts w:hint="eastAsia" w:ascii="黑体" w:hAnsi="黑体" w:eastAsia="黑体"/>
          <w:b/>
          <w:bCs/>
          <w:kern w:val="0"/>
          <w:sz w:val="32"/>
          <w:szCs w:val="32"/>
        </w:rPr>
        <w:t>（注：详情请见附表）</w:t>
      </w:r>
    </w:p>
    <w:p>
      <w:pPr>
        <w:ind w:firstLine="2570" w:firstLineChars="800"/>
        <w:rPr>
          <w:rFonts w:ascii="黑体" w:hAnsi="黑体" w:eastAsia="黑体"/>
          <w:b/>
          <w:bCs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BF5"/>
    <w:rsid w:val="0003506A"/>
    <w:rsid w:val="001348F5"/>
    <w:rsid w:val="00181B51"/>
    <w:rsid w:val="001B58C1"/>
    <w:rsid w:val="00201102"/>
    <w:rsid w:val="00217E46"/>
    <w:rsid w:val="00221229"/>
    <w:rsid w:val="00370BF5"/>
    <w:rsid w:val="003B30BC"/>
    <w:rsid w:val="003B4AD4"/>
    <w:rsid w:val="003F2977"/>
    <w:rsid w:val="004D1B44"/>
    <w:rsid w:val="00632BB8"/>
    <w:rsid w:val="0086712E"/>
    <w:rsid w:val="00885675"/>
    <w:rsid w:val="009710D8"/>
    <w:rsid w:val="00992729"/>
    <w:rsid w:val="00A31EE6"/>
    <w:rsid w:val="00B70FB2"/>
    <w:rsid w:val="00B91162"/>
    <w:rsid w:val="00BE1E68"/>
    <w:rsid w:val="00C55F94"/>
    <w:rsid w:val="00E90D96"/>
    <w:rsid w:val="0B622E84"/>
    <w:rsid w:val="1F333955"/>
    <w:rsid w:val="28683FC6"/>
    <w:rsid w:val="4BA17456"/>
    <w:rsid w:val="749C4A57"/>
    <w:rsid w:val="7B0556A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0FE4C96-EE59-4EC3-9907-25E98CF001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1806</Words>
  <Characters>216</Characters>
  <Lines>1</Lines>
  <Paragraphs>4</Paragraphs>
  <TotalTime>145</TotalTime>
  <ScaleCrop>false</ScaleCrop>
  <LinksUpToDate>false</LinksUpToDate>
  <CharactersWithSpaces>2018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黄滕酒</cp:lastModifiedBy>
  <cp:lastPrinted>2021-06-05T09:45:00Z</cp:lastPrinted>
  <dcterms:modified xsi:type="dcterms:W3CDTF">2021-06-06T00:32:30Z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723BE2791747492DBA0419756F746E8D</vt:lpwstr>
  </property>
</Properties>
</file>