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rPr>
          <w:rFonts w:eastAsia="方正小标宋_GBK"/>
          <w:sz w:val="36"/>
          <w:szCs w:val="36"/>
        </w:rPr>
      </w:pPr>
      <w:r>
        <w:rPr>
          <w:rFonts w:hint="eastAsia" w:eastAsia="方正小标宋_GBK"/>
          <w:sz w:val="36"/>
          <w:szCs w:val="36"/>
          <w:lang w:val="en-US" w:eastAsia="zh-CN"/>
        </w:rPr>
        <w:t>2020</w:t>
      </w:r>
      <w:r>
        <w:rPr>
          <w:rFonts w:hint="eastAsia" w:eastAsia="方正小标宋_GBK"/>
          <w:sz w:val="36"/>
          <w:szCs w:val="36"/>
        </w:rPr>
        <w:t>年度</w:t>
      </w:r>
      <w:r>
        <w:rPr>
          <w:rFonts w:hint="eastAsia" w:eastAsia="方正小标宋_GBK"/>
          <w:sz w:val="36"/>
          <w:szCs w:val="36"/>
          <w:lang w:val="en-US" w:eastAsia="zh-CN"/>
        </w:rPr>
        <w:t>道县发改局</w:t>
      </w:r>
      <w:r>
        <w:rPr>
          <w:rFonts w:hint="eastAsia" w:eastAsia="方正小标宋_GBK"/>
          <w:sz w:val="36"/>
          <w:szCs w:val="36"/>
        </w:rPr>
        <w:t>部门整体</w:t>
      </w:r>
      <w:r>
        <w:rPr>
          <w:rFonts w:eastAsia="方正小标宋_GBK"/>
          <w:sz w:val="36"/>
          <w:szCs w:val="36"/>
        </w:rPr>
        <w:t>支出绩效</w:t>
      </w:r>
      <w:r>
        <w:rPr>
          <w:rFonts w:hint="eastAsia" w:eastAsia="方正小标宋_GBK"/>
          <w:sz w:val="36"/>
          <w:szCs w:val="36"/>
        </w:rPr>
        <w:t>评价</w:t>
      </w:r>
      <w:r>
        <w:rPr>
          <w:rFonts w:eastAsia="方正小标宋_GBK"/>
          <w:sz w:val="36"/>
          <w:szCs w:val="36"/>
        </w:rPr>
        <w:t>报告</w:t>
      </w:r>
    </w:p>
    <w:p>
      <w:pPr>
        <w:adjustRightInd w:val="0"/>
        <w:spacing w:line="600" w:lineRule="exact"/>
        <w:rPr>
          <w:rFonts w:eastAsia="仿宋_GB2312"/>
          <w:sz w:val="32"/>
          <w:szCs w:val="32"/>
        </w:rPr>
      </w:pPr>
    </w:p>
    <w:p>
      <w:pPr>
        <w:numPr>
          <w:ilvl w:val="0"/>
          <w:numId w:val="1"/>
        </w:numPr>
        <w:adjustRightInd w:val="0"/>
        <w:snapToGrid w:val="0"/>
        <w:spacing w:line="600" w:lineRule="exact"/>
        <w:ind w:firstLine="640" w:firstLineChars="200"/>
        <w:rPr>
          <w:rFonts w:eastAsia="黑体"/>
          <w:sz w:val="32"/>
          <w:szCs w:val="32"/>
        </w:rPr>
      </w:pPr>
      <w:r>
        <w:rPr>
          <w:rFonts w:hint="eastAsia" w:eastAsia="黑体"/>
          <w:sz w:val="32"/>
          <w:szCs w:val="32"/>
          <w:lang w:eastAsia="zh-CN"/>
        </w:rPr>
        <w:t>基本情况</w:t>
      </w:r>
    </w:p>
    <w:p>
      <w:pPr>
        <w:numPr>
          <w:numId w:val="0"/>
        </w:numPr>
        <w:adjustRightInd w:val="0"/>
        <w:snapToGrid w:val="0"/>
        <w:spacing w:line="600" w:lineRule="exact"/>
        <w:rPr>
          <w:rFonts w:hint="default" w:eastAsia="黑体"/>
          <w:sz w:val="32"/>
          <w:szCs w:val="32"/>
          <w:lang w:val="en-US"/>
        </w:rPr>
      </w:pPr>
      <w:r>
        <w:rPr>
          <w:rFonts w:hint="eastAsia" w:eastAsia="黑体"/>
          <w:sz w:val="32"/>
          <w:szCs w:val="32"/>
          <w:lang w:val="en-US" w:eastAsia="zh-CN"/>
        </w:rPr>
        <w:t xml:space="preserve">   （一）部门基本情况</w:t>
      </w:r>
    </w:p>
    <w:p>
      <w:pPr>
        <w:snapToGrid w:val="0"/>
        <w:spacing w:line="579" w:lineRule="atLeast"/>
        <w:ind w:firstLine="640" w:firstLineChars="200"/>
        <w:rPr>
          <w:rFonts w:hint="eastAsia" w:eastAsia="仿宋_GB2312"/>
          <w:sz w:val="32"/>
          <w:szCs w:val="32"/>
        </w:rPr>
      </w:pPr>
      <w:r>
        <w:rPr>
          <w:rFonts w:hint="eastAsia" w:eastAsia="黑体"/>
          <w:sz w:val="32"/>
          <w:szCs w:val="32"/>
          <w:lang w:val="en-US" w:eastAsia="zh-CN"/>
        </w:rPr>
        <w:t xml:space="preserve"> </w:t>
      </w:r>
      <w:r>
        <w:rPr>
          <w:rFonts w:hint="eastAsia" w:eastAsia="仿宋_GB2312"/>
          <w:sz w:val="32"/>
          <w:szCs w:val="32"/>
          <w:lang w:eastAsia="zh-CN"/>
        </w:rPr>
        <w:t>道县发改</w:t>
      </w:r>
      <w:r>
        <w:rPr>
          <w:rFonts w:hint="eastAsia" w:eastAsia="仿宋_GB2312"/>
          <w:sz w:val="32"/>
          <w:szCs w:val="32"/>
          <w:lang w:val="en-US" w:eastAsia="zh-CN"/>
        </w:rPr>
        <w:t>局</w:t>
      </w:r>
      <w:r>
        <w:rPr>
          <w:rFonts w:eastAsia="仿宋_GB2312"/>
          <w:sz w:val="32"/>
          <w:szCs w:val="32"/>
        </w:rPr>
        <w:t>是</w:t>
      </w:r>
      <w:r>
        <w:rPr>
          <w:rFonts w:hint="eastAsia" w:eastAsia="仿宋_GB2312"/>
          <w:sz w:val="32"/>
          <w:szCs w:val="32"/>
          <w:lang w:eastAsia="zh-CN"/>
        </w:rPr>
        <w:t>道县人民</w:t>
      </w:r>
      <w:r>
        <w:rPr>
          <w:rFonts w:eastAsia="仿宋_GB2312"/>
          <w:sz w:val="32"/>
          <w:szCs w:val="32"/>
        </w:rPr>
        <w:t>政府</w:t>
      </w:r>
      <w:r>
        <w:rPr>
          <w:rFonts w:hint="eastAsia" w:eastAsia="仿宋_GB2312"/>
          <w:sz w:val="32"/>
          <w:szCs w:val="32"/>
          <w:lang w:val="en-US" w:eastAsia="zh-CN"/>
        </w:rPr>
        <w:t>的</w:t>
      </w:r>
      <w:r>
        <w:rPr>
          <w:rFonts w:hint="eastAsia" w:eastAsia="仿宋_GB2312"/>
          <w:sz w:val="32"/>
          <w:szCs w:val="32"/>
          <w:lang w:eastAsia="zh-CN"/>
        </w:rPr>
        <w:t>工作</w:t>
      </w:r>
      <w:r>
        <w:rPr>
          <w:rFonts w:eastAsia="仿宋_GB2312"/>
          <w:sz w:val="32"/>
          <w:szCs w:val="32"/>
        </w:rPr>
        <w:t>部门，主要职责是</w:t>
      </w:r>
      <w:r>
        <w:rPr>
          <w:rFonts w:hint="eastAsia" w:eastAsia="仿宋_GB2312"/>
          <w:sz w:val="32"/>
          <w:szCs w:val="32"/>
          <w:lang w:eastAsia="zh-CN"/>
        </w:rPr>
        <w:t>：</w:t>
      </w:r>
      <w:r>
        <w:rPr>
          <w:rFonts w:hint="eastAsia" w:eastAsia="仿宋_GB2312"/>
          <w:sz w:val="32"/>
          <w:szCs w:val="32"/>
        </w:rPr>
        <w:t>1、拟订并组织实施全县国民经济和社会发展战略、中长期规划和年度计划并监督管理；2、监测全县宏观经济和社会发展态势并协调解决宏观经济运行中的重大问题；3、产业政策、全口径外债、投资基金、企业债券的监督管理；4、协调促进专项经济体制改革；5、全县重大建设项目和固定资产投资的监督管理；6、服务业、全县物流、高新技术产业的监督管理；7、区域经济和城镇化发展管理；8、市场调控和国家战略物资监督管理；9、人口和计划生育、教育、文化、卫生、民政等发展政策的贯彻执行；10、负责节能减排的综合协调工作；11、组织实施国民经济动员和装备动员有关工作；1</w:t>
      </w:r>
      <w:r>
        <w:rPr>
          <w:rFonts w:hint="eastAsia" w:eastAsia="仿宋_GB2312"/>
          <w:sz w:val="32"/>
          <w:szCs w:val="32"/>
          <w:lang w:val="en-US" w:eastAsia="zh-CN"/>
        </w:rPr>
        <w:t>2</w:t>
      </w:r>
      <w:r>
        <w:rPr>
          <w:rFonts w:hint="eastAsia" w:eastAsia="仿宋_GB2312"/>
          <w:sz w:val="32"/>
          <w:szCs w:val="32"/>
        </w:rPr>
        <w:t>、指导和协调本行政区域内招标投标活动，并对重大建设项目的招投标活动进行监督检查执法；1</w:t>
      </w:r>
      <w:r>
        <w:rPr>
          <w:rFonts w:hint="eastAsia" w:eastAsia="仿宋_GB2312"/>
          <w:sz w:val="32"/>
          <w:szCs w:val="32"/>
          <w:lang w:val="en-US" w:eastAsia="zh-CN"/>
        </w:rPr>
        <w:t>3</w:t>
      </w:r>
      <w:r>
        <w:rPr>
          <w:rFonts w:hint="eastAsia" w:eastAsia="仿宋_GB2312"/>
          <w:sz w:val="32"/>
          <w:szCs w:val="32"/>
        </w:rPr>
        <w:t>、承办县人民政府交办的其他事项。</w:t>
      </w:r>
    </w:p>
    <w:p>
      <w:pPr>
        <w:snapToGrid w:val="0"/>
        <w:spacing w:line="579" w:lineRule="atLeast"/>
        <w:ind w:firstLine="640" w:firstLineChars="200"/>
        <w:rPr>
          <w:rFonts w:hint="eastAsia" w:eastAsia="仿宋_GB2312"/>
          <w:sz w:val="32"/>
          <w:szCs w:val="32"/>
          <w:lang w:val="en-US" w:eastAsia="zh-CN"/>
        </w:rPr>
      </w:pPr>
      <w:r>
        <w:rPr>
          <w:rFonts w:hint="eastAsia" w:eastAsia="仿宋_GB2312"/>
          <w:sz w:val="32"/>
          <w:szCs w:val="32"/>
          <w:lang w:eastAsia="zh-CN"/>
        </w:rPr>
        <w:t>道县发改</w:t>
      </w:r>
      <w:r>
        <w:rPr>
          <w:rFonts w:hint="eastAsia" w:eastAsia="仿宋_GB2312"/>
          <w:sz w:val="32"/>
          <w:szCs w:val="32"/>
          <w:lang w:val="en-US" w:eastAsia="zh-CN"/>
        </w:rPr>
        <w:t>局</w:t>
      </w:r>
      <w:r>
        <w:rPr>
          <w:rFonts w:hint="eastAsia" w:eastAsia="仿宋_GB2312"/>
          <w:sz w:val="32"/>
          <w:szCs w:val="32"/>
        </w:rPr>
        <w:t>内设机构10个：办公室（政工股）、综合规划和社会发展股、法规股（县公共资源交易管理委员会办公室）、固定资产投资股（加挂重大项目前期工作办公室牌子）、农村经济股、工交服务业股（县国民经济动员办公室）、能源股（挂道县能源局牌子）、资源节约和环境保护股（县节能减排工作领导小组办公室，加挂县节能监察中心牌子）、重大项目稽察股、价格管理股（道县价格调节基金管理办公室）</w:t>
      </w:r>
      <w:r>
        <w:rPr>
          <w:rFonts w:hint="eastAsia" w:eastAsia="仿宋_GB2312"/>
          <w:sz w:val="32"/>
          <w:szCs w:val="32"/>
          <w:lang w:eastAsia="zh-CN"/>
        </w:rPr>
        <w:t>。直属机构1个：道县价格监督检查局（副科级行政单位）；下属事业单位4个：道县经济信息中心（副科级公益一类事业单位）、道县重点建设工程领导小组办公室（副科级公益一类事业单位）、价格认证中心（正股级公益一类事业单位）、价格监测中心（正股级公益一类单位）。行政编制25人，事业编制21人，实有人员6</w:t>
      </w:r>
      <w:r>
        <w:rPr>
          <w:rFonts w:hint="eastAsia" w:eastAsia="仿宋_GB2312"/>
          <w:sz w:val="32"/>
          <w:szCs w:val="32"/>
          <w:lang w:val="en-US" w:eastAsia="zh-CN"/>
        </w:rPr>
        <w:t>1</w:t>
      </w:r>
      <w:r>
        <w:rPr>
          <w:rFonts w:hint="eastAsia" w:eastAsia="仿宋_GB2312"/>
          <w:sz w:val="32"/>
          <w:szCs w:val="32"/>
          <w:lang w:eastAsia="zh-CN"/>
        </w:rPr>
        <w:t>人。公务用车</w:t>
      </w:r>
      <w:r>
        <w:rPr>
          <w:rFonts w:hint="eastAsia" w:eastAsia="仿宋_GB2312"/>
          <w:sz w:val="32"/>
          <w:szCs w:val="32"/>
          <w:lang w:val="en-US" w:eastAsia="zh-CN"/>
        </w:rPr>
        <w:t>2辆。</w:t>
      </w:r>
    </w:p>
    <w:p>
      <w:pPr>
        <w:numPr>
          <w:ilvl w:val="0"/>
          <w:numId w:val="2"/>
        </w:numPr>
        <w:snapToGrid w:val="0"/>
        <w:spacing w:line="520" w:lineRule="exact"/>
        <w:ind w:firstLine="964" w:firstLineChars="300"/>
        <w:rPr>
          <w:rFonts w:hint="eastAsia" w:ascii="仿宋" w:hAnsi="仿宋" w:eastAsia="仿宋"/>
          <w:b/>
          <w:bCs/>
          <w:sz w:val="32"/>
          <w:szCs w:val="32"/>
          <w:lang w:eastAsia="zh-CN"/>
        </w:rPr>
      </w:pPr>
      <w:r>
        <w:rPr>
          <w:rFonts w:hint="eastAsia" w:ascii="仿宋" w:hAnsi="仿宋" w:eastAsia="仿宋"/>
          <w:b/>
          <w:bCs/>
          <w:sz w:val="32"/>
          <w:szCs w:val="32"/>
          <w:lang w:eastAsia="zh-CN"/>
        </w:rPr>
        <w:t>部门年度整体支出绩效目标</w:t>
      </w:r>
    </w:p>
    <w:p>
      <w:pPr>
        <w:numPr>
          <w:ilvl w:val="0"/>
          <w:numId w:val="0"/>
        </w:numPr>
        <w:snapToGrid w:val="0"/>
        <w:spacing w:line="520" w:lineRule="exact"/>
        <w:ind w:firstLine="960" w:firstLineChars="300"/>
        <w:rPr>
          <w:rFonts w:hint="eastAsia" w:ascii="仿宋" w:hAnsi="仿宋" w:eastAsia="仿宋"/>
          <w:sz w:val="32"/>
          <w:szCs w:val="32"/>
        </w:rPr>
      </w:pPr>
      <w:r>
        <w:rPr>
          <w:rFonts w:hint="eastAsia" w:ascii="仿宋" w:hAnsi="仿宋" w:eastAsia="仿宋"/>
          <w:sz w:val="32"/>
          <w:szCs w:val="32"/>
          <w:lang w:val="en-US" w:eastAsia="zh-CN"/>
        </w:rPr>
        <w:t>2020</w:t>
      </w:r>
      <w:r>
        <w:rPr>
          <w:rFonts w:hint="eastAsia" w:ascii="仿宋" w:hAnsi="仿宋" w:eastAsia="仿宋"/>
          <w:sz w:val="32"/>
          <w:szCs w:val="32"/>
        </w:rPr>
        <w:t>年，在县委、县政府的正确领导下，县发改</w:t>
      </w:r>
      <w:r>
        <w:rPr>
          <w:rFonts w:hint="eastAsia" w:ascii="仿宋" w:hAnsi="仿宋" w:eastAsia="仿宋"/>
          <w:sz w:val="32"/>
          <w:szCs w:val="32"/>
          <w:lang w:val="en-US" w:eastAsia="zh-CN"/>
        </w:rPr>
        <w:t>局</w:t>
      </w:r>
      <w:r>
        <w:rPr>
          <w:rFonts w:hint="eastAsia" w:ascii="仿宋" w:hAnsi="仿宋" w:eastAsia="仿宋"/>
          <w:sz w:val="32"/>
          <w:szCs w:val="32"/>
        </w:rPr>
        <w:t>紧紧围绕县委经济工作会议确定的总体目标，以经济建设为中心，坚持项目为王，聚焦“产业项目建设年”，科学谋划，狠抓落实，推动县域经济高质量发展。</w:t>
      </w:r>
    </w:p>
    <w:p>
      <w:pPr>
        <w:adjustRightInd w:val="0"/>
        <w:snapToGrid w:val="0"/>
        <w:spacing w:line="600" w:lineRule="exact"/>
        <w:ind w:firstLine="643" w:firstLineChars="200"/>
        <w:rPr>
          <w:rFonts w:hint="eastAsia" w:ascii="仿宋_GB2312" w:hAnsi="仿宋" w:eastAsiaTheme="minorEastAsia"/>
          <w:b/>
          <w:sz w:val="32"/>
          <w:szCs w:val="32"/>
          <w:lang w:eastAsia="zh-CN"/>
        </w:rPr>
      </w:pPr>
      <w:r>
        <w:rPr>
          <w:rFonts w:hint="eastAsia" w:asciiTheme="minorEastAsia" w:hAnsiTheme="minorEastAsia" w:eastAsiaTheme="minorEastAsia"/>
          <w:b/>
          <w:sz w:val="32"/>
          <w:szCs w:val="32"/>
          <w:lang w:eastAsia="zh-CN"/>
        </w:rPr>
        <w:t>二</w:t>
      </w:r>
      <w:r>
        <w:rPr>
          <w:rFonts w:hint="eastAsia" w:asciiTheme="minorEastAsia" w:hAnsiTheme="minorEastAsia" w:eastAsiaTheme="minorEastAsia"/>
          <w:b/>
          <w:sz w:val="32"/>
          <w:szCs w:val="32"/>
        </w:rPr>
        <w:t>、</w:t>
      </w:r>
      <w:r>
        <w:rPr>
          <w:rFonts w:hint="eastAsia" w:asciiTheme="minorEastAsia" w:hAnsiTheme="minorEastAsia" w:eastAsiaTheme="minorEastAsia"/>
          <w:b/>
          <w:sz w:val="32"/>
          <w:szCs w:val="32"/>
          <w:lang w:eastAsia="zh-CN"/>
        </w:rPr>
        <w:t>一般公共预算支出情况</w:t>
      </w:r>
    </w:p>
    <w:p>
      <w:pPr>
        <w:snapToGrid w:val="0"/>
        <w:spacing w:line="52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2020年支出2496.58万元，具体安排情况如下：</w:t>
      </w:r>
    </w:p>
    <w:p>
      <w:pPr>
        <w:numPr>
          <w:ilvl w:val="0"/>
          <w:numId w:val="3"/>
        </w:numPr>
        <w:snapToGrid w:val="0"/>
        <w:spacing w:line="52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基本支出：</w:t>
      </w:r>
      <w:r>
        <w:rPr>
          <w:rFonts w:hint="eastAsia" w:eastAsia="仿宋_GB2312"/>
          <w:sz w:val="32"/>
          <w:szCs w:val="32"/>
          <w:lang w:eastAsia="zh-CN"/>
        </w:rPr>
        <w:t>20</w:t>
      </w:r>
      <w:r>
        <w:rPr>
          <w:rFonts w:hint="eastAsia" w:eastAsia="仿宋_GB2312"/>
          <w:sz w:val="32"/>
          <w:szCs w:val="32"/>
          <w:lang w:val="en-US" w:eastAsia="zh-CN"/>
        </w:rPr>
        <w:t>20</w:t>
      </w:r>
      <w:r>
        <w:rPr>
          <w:rFonts w:hint="eastAsia" w:eastAsia="仿宋_GB2312"/>
          <w:sz w:val="32"/>
          <w:szCs w:val="32"/>
          <w:lang w:eastAsia="zh-CN"/>
        </w:rPr>
        <w:t>年</w:t>
      </w:r>
      <w:r>
        <w:rPr>
          <w:rFonts w:hint="eastAsia" w:eastAsia="仿宋_GB2312"/>
          <w:sz w:val="32"/>
          <w:szCs w:val="32"/>
          <w:lang w:val="en-US" w:eastAsia="zh-CN"/>
        </w:rPr>
        <w:t>支出</w:t>
      </w:r>
      <w:r>
        <w:rPr>
          <w:rFonts w:hint="eastAsia" w:eastAsia="仿宋_GB2312"/>
          <w:sz w:val="32"/>
          <w:szCs w:val="32"/>
          <w:lang w:eastAsia="zh-CN"/>
        </w:rPr>
        <w:t>数为</w:t>
      </w:r>
      <w:r>
        <w:rPr>
          <w:rFonts w:hint="eastAsia" w:eastAsia="仿宋_GB2312"/>
          <w:sz w:val="32"/>
          <w:szCs w:val="32"/>
          <w:lang w:val="en-US" w:eastAsia="zh-CN"/>
        </w:rPr>
        <w:t>749.78</w:t>
      </w:r>
      <w:r>
        <w:rPr>
          <w:rFonts w:hint="eastAsia" w:eastAsia="仿宋_GB2312"/>
          <w:sz w:val="32"/>
          <w:szCs w:val="32"/>
          <w:lang w:eastAsia="zh-CN"/>
        </w:rPr>
        <w:t>万元，其中：工资福利支出</w:t>
      </w:r>
      <w:r>
        <w:rPr>
          <w:rFonts w:hint="eastAsia" w:eastAsia="仿宋_GB2312"/>
          <w:sz w:val="32"/>
          <w:szCs w:val="32"/>
          <w:lang w:val="en-US" w:eastAsia="zh-CN"/>
        </w:rPr>
        <w:t>614.07</w:t>
      </w:r>
      <w:r>
        <w:rPr>
          <w:rFonts w:hint="eastAsia" w:eastAsia="仿宋_GB2312"/>
          <w:sz w:val="32"/>
          <w:szCs w:val="32"/>
          <w:lang w:eastAsia="zh-CN"/>
        </w:rPr>
        <w:t>万元（</w:t>
      </w:r>
      <w:r>
        <w:rPr>
          <w:rFonts w:hint="eastAsia" w:eastAsia="仿宋_GB2312"/>
          <w:sz w:val="32"/>
          <w:szCs w:val="32"/>
          <w:lang w:val="en-US" w:eastAsia="zh-CN"/>
        </w:rPr>
        <w:t>基本工资226.41万元，津补贴138.49万元，基本养老保险缴费41.1万元，基本医疗25.25万元，绩效工资35.51万元，奖金100.09万元，住房公积金14.49万元，其他工资福利支出32.72万元</w:t>
      </w:r>
      <w:r>
        <w:rPr>
          <w:rFonts w:hint="eastAsia" w:eastAsia="仿宋_GB2312"/>
          <w:sz w:val="32"/>
          <w:szCs w:val="32"/>
          <w:lang w:eastAsia="zh-CN"/>
        </w:rPr>
        <w:t>）；一般商品和服务支出</w:t>
      </w:r>
      <w:r>
        <w:rPr>
          <w:rFonts w:hint="eastAsia" w:eastAsia="仿宋_GB2312"/>
          <w:sz w:val="32"/>
          <w:szCs w:val="32"/>
          <w:lang w:val="en-US" w:eastAsia="zh-CN"/>
        </w:rPr>
        <w:t>126.2</w:t>
      </w:r>
      <w:r>
        <w:rPr>
          <w:rFonts w:hint="eastAsia" w:eastAsia="仿宋_GB2312"/>
          <w:sz w:val="32"/>
          <w:szCs w:val="32"/>
          <w:lang w:eastAsia="zh-CN"/>
        </w:rPr>
        <w:t>万元（</w:t>
      </w:r>
      <w:r>
        <w:rPr>
          <w:rFonts w:hint="eastAsia" w:eastAsia="仿宋_GB2312"/>
          <w:sz w:val="32"/>
          <w:szCs w:val="32"/>
          <w:lang w:val="en-US" w:eastAsia="zh-CN"/>
        </w:rPr>
        <w:t>邮电费5.6万元，差旅费15.52万元，维修费6.8万元，培训费1万元，公务接待费17万元，劳务费27万元，工会经费31.66万元，公务用车运行及维护费13.4万元，其他交通费1.9万元，税金及附加1.65,万元，其他商品服务支出4.66万元。</w:t>
      </w:r>
      <w:r>
        <w:rPr>
          <w:rFonts w:hint="eastAsia" w:eastAsia="仿宋_GB2312"/>
          <w:sz w:val="32"/>
          <w:szCs w:val="32"/>
          <w:lang w:eastAsia="zh-CN"/>
        </w:rPr>
        <w:t>）；对个人和家庭补助支出</w:t>
      </w:r>
      <w:r>
        <w:rPr>
          <w:rFonts w:hint="eastAsia" w:eastAsia="仿宋_GB2312"/>
          <w:sz w:val="32"/>
          <w:szCs w:val="32"/>
          <w:lang w:val="en-US" w:eastAsia="zh-CN"/>
        </w:rPr>
        <w:t>9.5</w:t>
      </w:r>
      <w:r>
        <w:rPr>
          <w:rFonts w:hint="eastAsia" w:eastAsia="仿宋_GB2312"/>
          <w:sz w:val="32"/>
          <w:szCs w:val="32"/>
          <w:lang w:eastAsia="zh-CN"/>
        </w:rPr>
        <w:t>万元。</w:t>
      </w:r>
    </w:p>
    <w:p>
      <w:pPr>
        <w:numPr>
          <w:ilvl w:val="0"/>
          <w:numId w:val="3"/>
        </w:numPr>
        <w:snapToGrid w:val="0"/>
        <w:spacing w:line="52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项目支出：</w:t>
      </w:r>
      <w:r>
        <w:rPr>
          <w:rFonts w:hint="eastAsia" w:eastAsia="仿宋_GB2312"/>
          <w:sz w:val="32"/>
          <w:szCs w:val="32"/>
          <w:lang w:eastAsia="zh-CN"/>
        </w:rPr>
        <w:t>20</w:t>
      </w:r>
      <w:r>
        <w:rPr>
          <w:rFonts w:hint="eastAsia" w:eastAsia="仿宋_GB2312"/>
          <w:sz w:val="32"/>
          <w:szCs w:val="32"/>
          <w:lang w:val="en-US" w:eastAsia="zh-CN"/>
        </w:rPr>
        <w:t>20</w:t>
      </w:r>
      <w:r>
        <w:rPr>
          <w:rFonts w:hint="eastAsia" w:eastAsia="仿宋_GB2312"/>
          <w:sz w:val="32"/>
          <w:szCs w:val="32"/>
          <w:lang w:eastAsia="zh-CN"/>
        </w:rPr>
        <w:t>年</w:t>
      </w:r>
      <w:r>
        <w:rPr>
          <w:rFonts w:hint="eastAsia" w:eastAsia="仿宋_GB2312"/>
          <w:sz w:val="32"/>
          <w:szCs w:val="32"/>
          <w:lang w:val="en-US" w:eastAsia="zh-CN"/>
        </w:rPr>
        <w:t>支出</w:t>
      </w:r>
      <w:r>
        <w:rPr>
          <w:rFonts w:hint="eastAsia" w:eastAsia="仿宋_GB2312"/>
          <w:sz w:val="32"/>
          <w:szCs w:val="32"/>
          <w:lang w:eastAsia="zh-CN"/>
        </w:rPr>
        <w:t>数为</w:t>
      </w:r>
      <w:r>
        <w:rPr>
          <w:rFonts w:hint="eastAsia" w:eastAsia="仿宋_GB2312"/>
          <w:sz w:val="32"/>
          <w:szCs w:val="32"/>
          <w:lang w:val="en-US" w:eastAsia="zh-CN"/>
        </w:rPr>
        <w:t>1746.8</w:t>
      </w:r>
      <w:r>
        <w:rPr>
          <w:rFonts w:hint="eastAsia" w:eastAsia="仿宋_GB2312"/>
          <w:sz w:val="32"/>
          <w:szCs w:val="32"/>
          <w:lang w:eastAsia="zh-CN"/>
        </w:rPr>
        <w:t>万元，其中：工资福利支出</w:t>
      </w:r>
      <w:r>
        <w:rPr>
          <w:rFonts w:hint="eastAsia" w:eastAsia="仿宋_GB2312"/>
          <w:sz w:val="32"/>
          <w:szCs w:val="32"/>
          <w:lang w:val="en-US" w:eastAsia="zh-CN"/>
        </w:rPr>
        <w:t>87.6万元（基本养老保险87.6万元）</w:t>
      </w:r>
      <w:r>
        <w:rPr>
          <w:rFonts w:hint="eastAsia" w:eastAsia="仿宋_GB2312"/>
          <w:sz w:val="32"/>
          <w:szCs w:val="32"/>
          <w:lang w:eastAsia="zh-CN"/>
        </w:rPr>
        <w:t>一般商品和服务支出</w:t>
      </w:r>
      <w:r>
        <w:rPr>
          <w:rFonts w:hint="eastAsia" w:eastAsia="仿宋_GB2312"/>
          <w:sz w:val="32"/>
          <w:szCs w:val="32"/>
          <w:lang w:val="en-US" w:eastAsia="zh-CN"/>
        </w:rPr>
        <w:t>273.3</w:t>
      </w:r>
      <w:r>
        <w:rPr>
          <w:rFonts w:hint="eastAsia" w:eastAsia="仿宋_GB2312"/>
          <w:sz w:val="32"/>
          <w:szCs w:val="32"/>
          <w:lang w:eastAsia="zh-CN"/>
        </w:rPr>
        <w:t>万元（办公费</w:t>
      </w:r>
      <w:r>
        <w:rPr>
          <w:rFonts w:hint="eastAsia" w:eastAsia="仿宋_GB2312"/>
          <w:sz w:val="32"/>
          <w:szCs w:val="32"/>
          <w:lang w:val="en-US" w:eastAsia="zh-CN"/>
        </w:rPr>
        <w:t>20万元，印刷费52万元，咨询费20万元，手续费105万元，差旅费40万元，会议费17.3万元，委托业务费21万元，</w:t>
      </w:r>
      <w:r>
        <w:rPr>
          <w:rFonts w:hint="eastAsia" w:eastAsia="仿宋_GB2312"/>
          <w:sz w:val="32"/>
          <w:szCs w:val="32"/>
          <w:lang w:eastAsia="zh-CN"/>
        </w:rPr>
        <w:t>）；对个人和家庭补助支出</w:t>
      </w:r>
      <w:r>
        <w:rPr>
          <w:rFonts w:hint="eastAsia" w:eastAsia="仿宋_GB2312"/>
          <w:sz w:val="32"/>
          <w:szCs w:val="32"/>
          <w:lang w:val="en-US" w:eastAsia="zh-CN"/>
        </w:rPr>
        <w:t>216.25</w:t>
      </w:r>
      <w:r>
        <w:rPr>
          <w:rFonts w:hint="eastAsia" w:eastAsia="仿宋_GB2312"/>
          <w:sz w:val="32"/>
          <w:szCs w:val="32"/>
          <w:lang w:eastAsia="zh-CN"/>
        </w:rPr>
        <w:t>万元（救济费</w:t>
      </w:r>
      <w:r>
        <w:rPr>
          <w:rFonts w:hint="eastAsia" w:eastAsia="仿宋_GB2312"/>
          <w:sz w:val="32"/>
          <w:szCs w:val="32"/>
          <w:lang w:val="en-US" w:eastAsia="zh-CN"/>
        </w:rPr>
        <w:t>186.85万元，奖励金29.4万元</w:t>
      </w:r>
      <w:r>
        <w:rPr>
          <w:rFonts w:hint="eastAsia" w:eastAsia="仿宋_GB2312"/>
          <w:sz w:val="32"/>
          <w:szCs w:val="32"/>
          <w:lang w:eastAsia="zh-CN"/>
        </w:rPr>
        <w:t>）；</w:t>
      </w:r>
      <w:r>
        <w:rPr>
          <w:rFonts w:hint="eastAsia" w:eastAsia="仿宋_GB2312"/>
          <w:sz w:val="32"/>
          <w:szCs w:val="32"/>
          <w:lang w:val="en-US" w:eastAsia="zh-CN"/>
        </w:rPr>
        <w:t>资本性支出170.9万元（专用设备购置75.9万元，基础设施建设35万元，大型修缮60万元）；对企业补助996.75万元（费用补贴714.11万元，其他对企业的补助282.64万元）</w:t>
      </w:r>
      <w:r>
        <w:rPr>
          <w:rFonts w:hint="eastAsia" w:eastAsia="仿宋_GB2312"/>
          <w:sz w:val="32"/>
          <w:szCs w:val="32"/>
          <w:lang w:eastAsia="zh-CN"/>
        </w:rPr>
        <w:t>。</w:t>
      </w:r>
    </w:p>
    <w:p>
      <w:pPr>
        <w:numPr>
          <w:ilvl w:val="0"/>
          <w:numId w:val="0"/>
        </w:numPr>
        <w:snapToGrid w:val="0"/>
        <w:spacing w:line="520" w:lineRule="exact"/>
        <w:ind w:firstLine="640" w:firstLineChars="200"/>
        <w:rPr>
          <w:rFonts w:hint="eastAsia" w:ascii="黑体" w:hAnsi="黑体" w:eastAsia="黑体"/>
          <w:b w:val="0"/>
          <w:bCs w:val="0"/>
          <w:sz w:val="32"/>
          <w:szCs w:val="32"/>
          <w:lang w:val="en-US" w:eastAsia="zh-CN"/>
        </w:rPr>
      </w:pPr>
      <w:r>
        <w:rPr>
          <w:rFonts w:hint="eastAsia" w:ascii="黑体" w:hAnsi="黑体" w:eastAsia="黑体"/>
          <w:sz w:val="32"/>
          <w:szCs w:val="32"/>
          <w:lang w:val="en-US" w:eastAsia="zh-CN"/>
        </w:rPr>
        <w:t>“</w:t>
      </w:r>
      <w:r>
        <w:rPr>
          <w:rFonts w:hint="eastAsia" w:ascii="黑体" w:hAnsi="黑体" w:eastAsia="黑体"/>
          <w:b w:val="0"/>
          <w:bCs w:val="0"/>
          <w:sz w:val="32"/>
          <w:szCs w:val="32"/>
          <w:lang w:val="en-US" w:eastAsia="zh-CN"/>
        </w:rPr>
        <w:t>三公”经费使用情况</w:t>
      </w:r>
    </w:p>
    <w:p>
      <w:pPr>
        <w:numPr>
          <w:ilvl w:val="0"/>
          <w:numId w:val="0"/>
        </w:numPr>
        <w:snapToGrid w:val="0"/>
        <w:spacing w:line="520" w:lineRule="exact"/>
        <w:ind w:firstLine="64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2020年公务用车购置数为0，车辆保有量2台。</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2020年“三公”经费决算为30.6万元，其中：公务接待费17万元，公务用车运行及维护费13.4万元，比2019年减少0.2万元。</w:t>
      </w:r>
    </w:p>
    <w:p>
      <w:pPr>
        <w:numPr>
          <w:numId w:val="0"/>
        </w:numPr>
        <w:adjustRightInd w:val="0"/>
        <w:snapToGrid w:val="0"/>
        <w:spacing w:line="600" w:lineRule="exact"/>
        <w:ind w:firstLine="960" w:firstLineChars="300"/>
        <w:rPr>
          <w:rFonts w:hint="eastAsia" w:ascii="仿宋_GB2312" w:hAnsi="仿宋" w:eastAsia="仿宋_GB2312"/>
          <w:sz w:val="32"/>
          <w:szCs w:val="32"/>
          <w:lang w:val="en-US" w:eastAsia="zh-CN"/>
        </w:rPr>
      </w:pPr>
      <w:r>
        <w:rPr>
          <w:rFonts w:hint="eastAsia" w:eastAsia="黑体"/>
          <w:sz w:val="32"/>
          <w:szCs w:val="32"/>
          <w:lang w:eastAsia="zh-CN"/>
        </w:rPr>
        <w:t>三、政府性基金预算支出情况</w:t>
      </w:r>
    </w:p>
    <w:p>
      <w:pPr>
        <w:pStyle w:val="3"/>
        <w:numPr>
          <w:numId w:val="0"/>
        </w:numPr>
        <w:ind w:left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本单位无政府性基金预算收支。</w:t>
      </w:r>
    </w:p>
    <w:p>
      <w:pPr>
        <w:numPr>
          <w:ilvl w:val="0"/>
          <w:numId w:val="0"/>
        </w:numPr>
        <w:adjustRightInd w:val="0"/>
        <w:snapToGrid w:val="0"/>
        <w:spacing w:line="600" w:lineRule="exact"/>
        <w:ind w:leftChars="200" w:firstLine="320" w:firstLineChars="100"/>
        <w:rPr>
          <w:rFonts w:hint="eastAsia" w:eastAsia="黑体"/>
          <w:b/>
          <w:bCs/>
          <w:sz w:val="32"/>
          <w:szCs w:val="32"/>
          <w:lang w:eastAsia="zh-CN"/>
        </w:rPr>
      </w:pPr>
      <w:r>
        <w:rPr>
          <w:rFonts w:hint="eastAsia" w:eastAsia="黑体"/>
          <w:sz w:val="32"/>
          <w:szCs w:val="32"/>
          <w:lang w:val="en-US" w:eastAsia="zh-CN"/>
        </w:rPr>
        <w:t xml:space="preserve"> 四</w:t>
      </w:r>
      <w:r>
        <w:rPr>
          <w:rFonts w:hint="eastAsia" w:eastAsia="黑体"/>
          <w:sz w:val="32"/>
          <w:szCs w:val="32"/>
          <w:lang w:eastAsia="zh-CN"/>
        </w:rPr>
        <w:t>、国有资本经营预算支出情况</w:t>
      </w:r>
    </w:p>
    <w:p>
      <w:pPr>
        <w:pStyle w:val="3"/>
        <w:numPr>
          <w:numId w:val="0"/>
        </w:numPr>
        <w:ind w:left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本单位无国有资本经营预算收支。</w:t>
      </w:r>
    </w:p>
    <w:p>
      <w:pPr>
        <w:pStyle w:val="3"/>
        <w:numPr>
          <w:ilvl w:val="0"/>
          <w:numId w:val="4"/>
        </w:numPr>
        <w:ind w:left="981" w:leftChars="0" w:firstLine="0" w:firstLineChars="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社会保险基金预算支出情况</w:t>
      </w:r>
    </w:p>
    <w:p>
      <w:pPr>
        <w:pStyle w:val="3"/>
        <w:numPr>
          <w:numId w:val="0"/>
        </w:numPr>
        <w:rPr>
          <w:rFonts w:hint="default" w:ascii="仿宋_GB2312" w:hAnsi="仿宋" w:eastAsia="仿宋_GB2312"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 xml:space="preserve">   </w:t>
      </w:r>
      <w:r>
        <w:rPr>
          <w:rFonts w:hint="eastAsia" w:ascii="仿宋_GB2312" w:hAnsi="仿宋" w:eastAsia="仿宋_GB2312" w:cs="Times New Roman"/>
          <w:kern w:val="2"/>
          <w:sz w:val="32"/>
          <w:szCs w:val="32"/>
          <w:lang w:val="en-US" w:eastAsia="zh-CN" w:bidi="ar-SA"/>
        </w:rPr>
        <w:t>本单位无社会保险基金预算支出情况</w:t>
      </w:r>
    </w:p>
    <w:p>
      <w:pPr>
        <w:pStyle w:val="3"/>
        <w:numPr>
          <w:numId w:val="0"/>
        </w:numPr>
        <w:ind w:left="981" w:leftChars="0"/>
        <w:rPr>
          <w:rFonts w:eastAsia="黑体"/>
          <w:sz w:val="32"/>
          <w:szCs w:val="32"/>
        </w:rPr>
      </w:pPr>
      <w:r>
        <w:rPr>
          <w:rFonts w:hint="eastAsia" w:eastAsia="黑体"/>
          <w:sz w:val="32"/>
          <w:szCs w:val="32"/>
          <w:lang w:eastAsia="zh-CN"/>
        </w:rPr>
        <w:t>六</w:t>
      </w:r>
      <w:r>
        <w:rPr>
          <w:rFonts w:eastAsia="黑体"/>
          <w:sz w:val="32"/>
          <w:szCs w:val="32"/>
        </w:rPr>
        <w:t>、</w:t>
      </w:r>
      <w:r>
        <w:rPr>
          <w:rFonts w:hint="eastAsia" w:eastAsia="黑体"/>
          <w:sz w:val="32"/>
          <w:szCs w:val="32"/>
        </w:rPr>
        <w:t>部门整体支出</w:t>
      </w:r>
      <w:r>
        <w:rPr>
          <w:rFonts w:eastAsia="黑体"/>
          <w:sz w:val="32"/>
          <w:szCs w:val="32"/>
        </w:rPr>
        <w:t>绩效情况</w:t>
      </w:r>
    </w:p>
    <w:p>
      <w:pPr>
        <w:spacing w:line="596" w:lineRule="exact"/>
        <w:ind w:firstLine="640" w:firstLineChars="200"/>
        <w:rPr>
          <w:rFonts w:hint="eastAsia" w:ascii="仿宋_GB2312" w:hAnsi="仿宋_GB2312" w:eastAsia="仿宋_GB2312" w:cs="仿宋_GB2312"/>
          <w:sz w:val="32"/>
          <w:szCs w:val="32"/>
          <w:shd w:val="clear" w:color="auto" w:fill="FFFFFF"/>
        </w:rPr>
      </w:pPr>
      <w:r>
        <w:rPr>
          <w:rFonts w:hint="default" w:ascii="Times New Roman" w:hAnsi="Times New Roman" w:eastAsia="仿宋_GB2312" w:cs="Times New Roman"/>
          <w:color w:val="000000"/>
          <w:sz w:val="32"/>
          <w:szCs w:val="32"/>
        </w:rPr>
        <w:t>我</w:t>
      </w:r>
      <w:r>
        <w:rPr>
          <w:rFonts w:hint="eastAsia" w:ascii="Times New Roman" w:hAnsi="Times New Roman" w:eastAsia="仿宋_GB2312" w:cs="Times New Roman"/>
          <w:color w:val="000000"/>
          <w:sz w:val="32"/>
          <w:szCs w:val="32"/>
          <w:lang w:eastAsia="zh-CN"/>
        </w:rPr>
        <w:t>局</w:t>
      </w:r>
      <w:r>
        <w:rPr>
          <w:rFonts w:hint="default" w:ascii="Times New Roman" w:hAnsi="Times New Roman" w:eastAsia="仿宋_GB2312" w:cs="Times New Roman"/>
          <w:color w:val="000000"/>
          <w:sz w:val="32"/>
          <w:szCs w:val="32"/>
        </w:rPr>
        <w:t>各部门根据20</w:t>
      </w:r>
      <w:r>
        <w:rPr>
          <w:rFonts w:hint="eastAsia"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年度工作计划、立法工作计划和监督工作计划的要求，认真履行职责，较好地完成了年初确定的各项工作任务，</w:t>
      </w:r>
      <w:r>
        <w:rPr>
          <w:rFonts w:hint="eastAsia" w:ascii="Times New Roman" w:hAnsi="Times New Roman" w:eastAsia="仿宋_GB2312" w:cs="Times New Roman"/>
          <w:color w:val="000000"/>
          <w:kern w:val="2"/>
          <w:sz w:val="32"/>
          <w:szCs w:val="32"/>
          <w:lang w:val="en-US" w:eastAsia="zh-CN" w:bidi="ar-SA"/>
        </w:rPr>
        <w:t>坚持厉行节约、以收定支，按照“先基本支出、后项目支出”安排</w:t>
      </w:r>
      <w:r>
        <w:rPr>
          <w:rFonts w:hint="eastAsia" w:eastAsia="仿宋_GB2312" w:cs="Times New Roman"/>
          <w:color w:val="000000"/>
          <w:kern w:val="2"/>
          <w:sz w:val="32"/>
          <w:szCs w:val="32"/>
          <w:lang w:val="en-US" w:eastAsia="zh-CN" w:bidi="ar-SA"/>
        </w:rPr>
        <w:t>顺</w:t>
      </w:r>
      <w:r>
        <w:rPr>
          <w:rFonts w:hint="eastAsia" w:ascii="Times New Roman" w:hAnsi="Times New Roman" w:eastAsia="仿宋_GB2312" w:cs="Times New Roman"/>
          <w:color w:val="000000"/>
          <w:kern w:val="2"/>
          <w:sz w:val="32"/>
          <w:szCs w:val="32"/>
          <w:lang w:val="en-US" w:eastAsia="zh-CN" w:bidi="ar-SA"/>
        </w:rPr>
        <w:t>序，保障了人员经费、基本运转、内涵建设，严格控制财政资金支出，强化了预算执行的刚性，</w:t>
      </w:r>
      <w:r>
        <w:rPr>
          <w:rFonts w:hint="default" w:ascii="Times New Roman" w:hAnsi="Times New Roman" w:eastAsia="仿宋_GB2312" w:cs="Times New Roman"/>
          <w:color w:val="000000"/>
          <w:sz w:val="32"/>
          <w:szCs w:val="32"/>
        </w:rPr>
        <w:t>为推进发改建设事业和全</w:t>
      </w:r>
      <w:r>
        <w:rPr>
          <w:rFonts w:hint="eastAsia" w:ascii="Times New Roman" w:hAnsi="Times New Roman" w:eastAsia="仿宋_GB2312" w:cs="Times New Roman"/>
          <w:color w:val="000000"/>
          <w:sz w:val="32"/>
          <w:szCs w:val="32"/>
          <w:lang w:eastAsia="zh-CN"/>
        </w:rPr>
        <w:t>县</w:t>
      </w:r>
      <w:r>
        <w:rPr>
          <w:rFonts w:hint="default" w:ascii="Times New Roman" w:hAnsi="Times New Roman" w:eastAsia="仿宋_GB2312" w:cs="Times New Roman"/>
          <w:color w:val="000000"/>
          <w:sz w:val="32"/>
          <w:szCs w:val="32"/>
        </w:rPr>
        <w:t>经济社会发展作出了积极贡献。根据部门整体支出绩效自评表评分，得分</w:t>
      </w:r>
      <w:r>
        <w:rPr>
          <w:rFonts w:hint="eastAsia" w:ascii="Times New Roman" w:hAnsi="Times New Roman" w:eastAsia="仿宋_GB2312" w:cs="Times New Roman"/>
          <w:color w:val="000000"/>
          <w:sz w:val="32"/>
          <w:szCs w:val="32"/>
          <w:lang w:val="en-US" w:eastAsia="zh-CN"/>
        </w:rPr>
        <w:t>90</w:t>
      </w:r>
      <w:r>
        <w:rPr>
          <w:rFonts w:hint="default" w:ascii="Times New Roman" w:hAnsi="Times New Roman" w:eastAsia="仿宋_GB2312" w:cs="Times New Roman"/>
          <w:color w:val="000000"/>
          <w:sz w:val="32"/>
          <w:szCs w:val="32"/>
        </w:rPr>
        <w:t>分（详见附件2），部门整体支出绩效为“优”。主要绩效如下：</w:t>
      </w:r>
    </w:p>
    <w:p>
      <w:pPr>
        <w:spacing w:line="560" w:lineRule="exact"/>
        <w:ind w:firstLine="643"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楷体" w:eastAsia="仿宋_GB2312"/>
          <w:b/>
          <w:sz w:val="32"/>
          <w:szCs w:val="32"/>
        </w:rPr>
        <w:t>1.重点项目提速增效。</w:t>
      </w:r>
      <w:r>
        <w:rPr>
          <w:rFonts w:hint="eastAsia" w:ascii="仿宋_GB2312" w:hAnsi="仿宋" w:eastAsia="仿宋_GB2312" w:cs="宋体"/>
          <w:kern w:val="0"/>
          <w:sz w:val="32"/>
          <w:szCs w:val="32"/>
        </w:rPr>
        <w:t>出台2020年重点项目考核办法和投资计划，有序推动企业复工复产，总投资20亿元的数字智造产业小镇项目成功挤进省重点项目笼子，年度计划投资8亿元；全县列入省、市考核的重点项目39个，年度计划投资74.81亿元。</w:t>
      </w:r>
      <w:r>
        <w:rPr>
          <w:rFonts w:hint="eastAsia" w:ascii="仿宋_GB2312" w:hAnsi="仿宋" w:eastAsia="仿宋_GB2312" w:cs="仿宋"/>
          <w:color w:val="000000" w:themeColor="text1"/>
          <w:sz w:val="32"/>
          <w:szCs w:val="32"/>
          <w14:textFill>
            <w14:solidFill>
              <w14:schemeClr w14:val="tx1"/>
            </w14:solidFill>
          </w14:textFill>
        </w:rPr>
        <w:t>1-12月，39个省、市级重点项目完成投资108.04亿元，占年度计划的144.5%。源浩手机显示屏面板、讯溢手机显示屏面板、德勤智能装备、勤德智能穿戴显示面板、道辉鞋材、道旗通讯、道睿电子、兴旭能新能源锂电项目、玉潭民办学校、道州新区医院、道县工业污水处理厂、港</w:t>
      </w:r>
      <w:r>
        <w:rPr>
          <w:rFonts w:hint="eastAsia" w:ascii="仿宋_GB2312" w:hAnsi="宋体" w:eastAsia="仿宋_GB2312" w:cs="宋体"/>
          <w:color w:val="000000" w:themeColor="text1"/>
          <w:sz w:val="32"/>
          <w:szCs w:val="32"/>
          <w14:textFill>
            <w14:solidFill>
              <w14:schemeClr w14:val="tx1"/>
            </w14:solidFill>
          </w14:textFill>
        </w:rPr>
        <w:t>郎</w:t>
      </w:r>
      <w:r>
        <w:rPr>
          <w:rFonts w:hint="eastAsia" w:ascii="仿宋_GB2312" w:hAnsi="仿宋_GB2312" w:eastAsia="仿宋_GB2312" w:cs="仿宋_GB2312"/>
          <w:color w:val="000000" w:themeColor="text1"/>
          <w:sz w:val="32"/>
          <w:szCs w:val="32"/>
          <w14:textFill>
            <w14:solidFill>
              <w14:schemeClr w14:val="tx1"/>
            </w14:solidFill>
          </w14:textFill>
        </w:rPr>
        <w:t>服饰等</w:t>
      </w:r>
      <w:r>
        <w:rPr>
          <w:rFonts w:hint="eastAsia" w:ascii="仿宋_GB2312" w:hAnsi="仿宋" w:eastAsia="仿宋_GB2312" w:cs="仿宋"/>
          <w:color w:val="000000" w:themeColor="text1"/>
          <w:sz w:val="32"/>
          <w:szCs w:val="32"/>
          <w14:textFill>
            <w14:solidFill>
              <w14:schemeClr w14:val="tx1"/>
            </w14:solidFill>
          </w14:textFill>
        </w:rPr>
        <w:t>23个项目已竣工投产或投入试运行。潇水北路全线通车，打通了困扰城市畅通26年之久的“肠梗阻”；G207绕城段将于春节前建成通车，结束道县城市无环线的历史。</w:t>
      </w:r>
    </w:p>
    <w:p>
      <w:pPr>
        <w:spacing w:line="560" w:lineRule="exact"/>
        <w:ind w:firstLine="643" w:firstLineChars="200"/>
        <w:rPr>
          <w:rFonts w:ascii="仿宋_GB2312" w:hAnsi="仿宋" w:eastAsia="仿宋_GB2312"/>
          <w:sz w:val="32"/>
          <w:szCs w:val="32"/>
        </w:rPr>
      </w:pPr>
      <w:r>
        <w:rPr>
          <w:rFonts w:hint="eastAsia" w:ascii="仿宋_GB2312" w:hAnsi="楷体" w:eastAsia="仿宋_GB2312"/>
          <w:b/>
          <w:sz w:val="32"/>
          <w:szCs w:val="32"/>
        </w:rPr>
        <w:t>2.产业项目齐头并进。</w:t>
      </w:r>
      <w:r>
        <w:rPr>
          <w:rFonts w:hint="eastAsia" w:ascii="仿宋_GB2312" w:hAnsi="仿宋" w:eastAsia="仿宋_GB2312" w:cs="宋体"/>
          <w:kern w:val="0"/>
          <w:sz w:val="32"/>
          <w:szCs w:val="32"/>
        </w:rPr>
        <w:t>纳入全市“5个10”工程重大产业项目29个、重大科技创新项目3个、重大产品创新项目2个，全部提前完成全年投资任务，分别完成投资68.36亿元、1.45亿元、1.8亿元，占年度计划的148.13%、161.11%、225%。产业强链工程深度发力。重点布局电子信息、轻纺制鞋、先进装备制造、现代物流+绿色蔬菜4大产业链，突出“一主一特”主导产业。成功举办6次重大产业项目集中开工签约活动，现场签约项目44个，投产达效21个；集中开工项目33个，已投产项目22个。</w:t>
      </w:r>
      <w:r>
        <w:rPr>
          <w:rFonts w:hint="eastAsia" w:ascii="仿宋_GB2312" w:hAnsi="仿宋_GB2312" w:eastAsia="仿宋_GB2312" w:cs="仿宋_GB2312"/>
          <w:sz w:val="32"/>
          <w:szCs w:val="32"/>
        </w:rPr>
        <w:t>其中，2月18日集中签约开工的德勤智能装备项目，从签约到投产仅用时26天，刷新了“道县速度”，并带动上下游6家企业落户道县</w:t>
      </w:r>
      <w:r>
        <w:rPr>
          <w:rFonts w:hint="eastAsia" w:ascii="仿宋_GB2312" w:hAnsi="仿宋" w:eastAsia="仿宋_GB2312" w:cs="宋体"/>
          <w:kern w:val="0"/>
          <w:sz w:val="32"/>
          <w:szCs w:val="32"/>
        </w:rPr>
        <w:t>。与此同时，大力发展清洁能源，引进世界500强企业中国华电，来我县投资风力发电项目的企业达到5家，目前审章塘、井塘、月岩3个风电场建成并网发电。</w:t>
      </w:r>
    </w:p>
    <w:p>
      <w:pPr>
        <w:spacing w:line="560" w:lineRule="exact"/>
        <w:ind w:firstLine="643" w:firstLineChars="200"/>
        <w:rPr>
          <w:rFonts w:ascii="仿宋_GB2312" w:hAnsi="仿宋" w:eastAsia="仿宋_GB2312" w:cs="宋体"/>
          <w:kern w:val="0"/>
          <w:sz w:val="32"/>
          <w:szCs w:val="32"/>
        </w:rPr>
      </w:pPr>
      <w:r>
        <w:rPr>
          <w:rFonts w:hint="eastAsia" w:ascii="仿宋_GB2312" w:hAnsi="楷体" w:eastAsia="仿宋_GB2312"/>
          <w:b/>
          <w:sz w:val="32"/>
          <w:szCs w:val="32"/>
        </w:rPr>
        <w:t>3.争资争项成效显著。</w:t>
      </w:r>
      <w:r>
        <w:rPr>
          <w:rFonts w:hint="eastAsia" w:ascii="仿宋_GB2312" w:hAnsi="仿宋" w:eastAsia="仿宋_GB2312" w:cs="宋体"/>
          <w:kern w:val="0"/>
          <w:sz w:val="32"/>
          <w:szCs w:val="32"/>
        </w:rPr>
        <w:t>在项目争取中，我们非常注重与上级部门建立良好的关系，保持对项目工作的灵敏触角，敏锐捕捉国家投资政策，牵头出台了争资争项考核办法，会有有关部门及早谋划专项债项目申报工作，成功争取专项债券及抗疫国债资金6.61亿元，在全市名列前茅，有效缓解了我县经济社会发展过程中的投资资金压力。与此同时，加强与省、市发展改革部门汇报对接，积极跟进申报中央、省预算内资金项目，从发改口争取到中央、省预算内资金1.67亿元，陈树湘党性教育基地、潇水河生态环保、县中医院整体搬迁等项目成功列入省发改委储备项目笼子，挤进我省向国家发改委申报的名单，有望争取中央资金1.5亿元。</w:t>
      </w:r>
    </w:p>
    <w:p>
      <w:pPr>
        <w:spacing w:line="560" w:lineRule="exact"/>
        <w:ind w:firstLine="675" w:firstLineChars="210"/>
        <w:rPr>
          <w:rFonts w:ascii="仿宋_GB2312" w:hAnsi="仿宋" w:eastAsia="仿宋_GB2312"/>
          <w:sz w:val="32"/>
          <w:szCs w:val="32"/>
          <w:shd w:val="clear" w:color="auto" w:fill="FFFFFF"/>
        </w:rPr>
      </w:pPr>
      <w:r>
        <w:rPr>
          <w:rFonts w:hint="eastAsia" w:ascii="仿宋_GB2312" w:hAnsi="楷体" w:eastAsia="仿宋_GB2312"/>
          <w:b/>
          <w:sz w:val="32"/>
          <w:szCs w:val="32"/>
        </w:rPr>
        <w:t>4.规划编制有序推进。</w:t>
      </w:r>
      <w:r>
        <w:rPr>
          <w:rFonts w:hint="eastAsia" w:ascii="仿宋_GB2312" w:eastAsia="仿宋_GB2312" w:cs="宋体"/>
          <w:kern w:val="0"/>
          <w:sz w:val="32"/>
          <w:szCs w:val="32"/>
        </w:rPr>
        <w:t>按照开门问策、集思广益，把加强顶层设计和坚持问计于民相统一的工作方式，广泛征集社会各界意见。通过专访书记、县长，听取离退休老干部意见建议、组织编制专家授课、正副县长开展座谈调研、科局长带队开展调研，先后2次开展建言献策活动，累计收到网民建言6000条。目前各项工作正在按时间节点有序推进，10月底完成了《纲要》基本思路起草，11月底形成了《纲要》初稿，12月向县级领导、乡镇场（街道）、县直单位征求对《“十四五”规划纲要（征求意见稿）》的意见建议。同时，组织全县相关部门对重大项目、重大政策、重大改革举措进行认真研究，经多次梳理修改，申报国家、省“十四五”规划重大项目储备60个，总投资估算1245.2亿元；申报市“十四五”规划重大项目储备183个，总投资估算1543.38亿元；谋划县级重点项目398个，总投资估算2454.8亿元。经对接，目前我县已纳入永州市“十四五”规划储备的重大项目185个。向上申报的重大项目主要有：永清广高铁道县段、桂郴赣红色高铁道县段、永贺客专道县段、零道高速、道连高速、道县通用机场、长征国家文化公园道县段、道县135工程升级版、道县数字智造小镇、中农批冷链物流产业园</w:t>
      </w:r>
      <w:r>
        <w:rPr>
          <w:rFonts w:hint="eastAsia" w:ascii="仿宋_GB2312" w:hAnsi="宋体" w:cs="宋体"/>
          <w:kern w:val="0"/>
          <w:sz w:val="32"/>
          <w:szCs w:val="32"/>
        </w:rPr>
        <w:t>﹒</w:t>
      </w:r>
      <w:r>
        <w:rPr>
          <w:rFonts w:hint="eastAsia" w:ascii="仿宋_GB2312" w:hAnsi="仿宋_GB2312" w:eastAsia="仿宋_GB2312" w:cs="仿宋_GB2312"/>
          <w:kern w:val="0"/>
          <w:sz w:val="32"/>
          <w:szCs w:val="32"/>
        </w:rPr>
        <w:t>粤港澳大湾区“菜篮子”配送中心等一批战略性工程。</w:t>
      </w:r>
    </w:p>
    <w:p>
      <w:pPr>
        <w:spacing w:line="560" w:lineRule="exact"/>
        <w:ind w:firstLine="643" w:firstLineChars="200"/>
        <w:rPr>
          <w:rFonts w:ascii="仿宋_GB2312" w:hAnsi="仿宋" w:eastAsia="仿宋_GB2312"/>
          <w:sz w:val="32"/>
          <w:szCs w:val="32"/>
        </w:rPr>
      </w:pPr>
      <w:r>
        <w:rPr>
          <w:rFonts w:hint="eastAsia" w:ascii="仿宋_GB2312" w:hAnsi="楷体" w:eastAsia="仿宋_GB2312"/>
          <w:b/>
          <w:sz w:val="32"/>
          <w:szCs w:val="32"/>
        </w:rPr>
        <w:t>5.固定投资稳中有进。</w:t>
      </w:r>
      <w:r>
        <w:rPr>
          <w:rFonts w:hint="eastAsia" w:ascii="仿宋_GB2312" w:hAnsi="仿宋" w:eastAsia="仿宋_GB2312"/>
          <w:sz w:val="32"/>
          <w:szCs w:val="32"/>
        </w:rPr>
        <w:t>为努力推动有效投资稳定增长，</w:t>
      </w:r>
      <w:r>
        <w:rPr>
          <w:rFonts w:hint="eastAsia" w:ascii="仿宋_GB2312" w:hAnsi="仿宋_GB2312" w:eastAsia="仿宋_GB2312" w:cs="仿宋_GB2312"/>
          <w:sz w:val="32"/>
          <w:szCs w:val="32"/>
          <w:lang w:bidi="zh-CN"/>
        </w:rPr>
        <w:t>确保完成全年目标任务，我们进一步加强固定资产投资指标调度，指导相关部门做好固定资产投资入统工作，</w:t>
      </w:r>
      <w:r>
        <w:rPr>
          <w:rFonts w:hint="eastAsia" w:ascii="仿宋_GB2312" w:hAnsi="仿宋" w:eastAsia="仿宋_GB2312"/>
          <w:sz w:val="32"/>
          <w:szCs w:val="32"/>
        </w:rPr>
        <w:t>按照考核奖惩办法实施推进。</w:t>
      </w:r>
      <w:r>
        <w:rPr>
          <w:rFonts w:hint="eastAsia" w:ascii="仿宋_GB2312" w:hAnsi="仿宋_GB2312" w:eastAsia="仿宋_GB2312" w:cs="仿宋_GB2312"/>
          <w:sz w:val="32"/>
          <w:szCs w:val="32"/>
          <w:shd w:val="clear" w:color="auto" w:fill="FFFFFF"/>
        </w:rPr>
        <w:t>1-11月，全县社会固定资产投资完成144.33亿元，同比增长8.3%，</w:t>
      </w:r>
      <w:r>
        <w:rPr>
          <w:rFonts w:hint="eastAsia" w:ascii="仿宋_GB2312" w:hAnsi="仿宋" w:eastAsia="仿宋_GB2312"/>
          <w:sz w:val="32"/>
          <w:szCs w:val="32"/>
        </w:rPr>
        <w:t>增幅排名全市第三名</w:t>
      </w:r>
      <w:r>
        <w:rPr>
          <w:rFonts w:hint="eastAsia" w:ascii="仿宋_GB2312" w:hAnsi="仿宋_GB2312" w:eastAsia="仿宋_GB2312" w:cs="仿宋_GB2312"/>
          <w:sz w:val="32"/>
          <w:szCs w:val="32"/>
          <w:shd w:val="clear" w:color="auto" w:fill="FFFFFF"/>
        </w:rPr>
        <w:t>。</w:t>
      </w:r>
      <w:r>
        <w:rPr>
          <w:rFonts w:hint="eastAsia" w:ascii="仿宋_GB2312" w:hAnsi="仿宋" w:eastAsia="仿宋_GB2312"/>
          <w:sz w:val="32"/>
          <w:szCs w:val="32"/>
        </w:rPr>
        <w:t>产业投资完成76.95亿元；工业技改投资完成9.9亿元；高新技术产业投资完成20.6亿元，同比增长10.1%。与此同时，进一步深化“放管服”改革，全力为项目企业提供“一站式”服务，全年办理固定资产投资项目审批核准、备案385个，其中审批项目150个，备案项目225个，概算审查项目10个；完成项目招标、交易103个，投资金额24.5亿元。</w:t>
      </w:r>
    </w:p>
    <w:p>
      <w:pPr>
        <w:pStyle w:val="3"/>
        <w:spacing w:line="560" w:lineRule="exact"/>
        <w:ind w:firstLine="643" w:firstLineChars="200"/>
        <w:rPr>
          <w:rFonts w:ascii="仿宋_GB2312" w:eastAsia="仿宋_GB2312" w:cs="宋体"/>
          <w:kern w:val="0"/>
          <w:sz w:val="32"/>
          <w:szCs w:val="32"/>
        </w:rPr>
      </w:pPr>
      <w:r>
        <w:rPr>
          <w:rFonts w:hint="eastAsia" w:ascii="仿宋_GB2312" w:hAnsi="楷体" w:eastAsia="仿宋_GB2312" w:cstheme="minorBidi"/>
          <w:b/>
          <w:sz w:val="32"/>
          <w:szCs w:val="32"/>
          <w:lang w:val="en-US" w:bidi="ar-SA"/>
        </w:rPr>
        <w:t>6.民生事业推进有力。</w:t>
      </w:r>
      <w:r>
        <w:rPr>
          <w:rFonts w:hint="eastAsia" w:ascii="仿宋_GB2312" w:eastAsia="仿宋_GB2312"/>
          <w:sz w:val="32"/>
          <w:szCs w:val="32"/>
        </w:rPr>
        <w:t>坚持立党为公、执政为民，始终保持同人民群众的血肉联系，一切从人民的利益出发。</w:t>
      </w:r>
      <w:r>
        <w:rPr>
          <w:rFonts w:hint="eastAsia" w:ascii="仿宋_GB2312" w:eastAsia="仿宋_GB2312"/>
          <w:b/>
          <w:bCs/>
          <w:sz w:val="32"/>
          <w:szCs w:val="32"/>
        </w:rPr>
        <w:t>一是扶贫成效夯实有力。</w:t>
      </w:r>
      <w:r>
        <w:rPr>
          <w:rFonts w:hint="eastAsia" w:ascii="仿宋_GB2312" w:eastAsia="仿宋_GB2312"/>
          <w:sz w:val="32"/>
          <w:szCs w:val="32"/>
        </w:rPr>
        <w:t>坚持带头抓好精准扶贫工作，建立驻点帮扶常态化对接机制，严格贯彻落实主要负责人每月到驻点村住宿4夜、到帮扶对象家中对接1次以上，唱响脱贫攻坚主旋律, 确保脱贫攻坚工作圆满收官。</w:t>
      </w:r>
      <w:r>
        <w:rPr>
          <w:rFonts w:hint="eastAsia" w:ascii="仿宋_GB2312" w:eastAsia="仿宋_GB2312"/>
          <w:b/>
          <w:bCs/>
          <w:sz w:val="32"/>
          <w:szCs w:val="32"/>
        </w:rPr>
        <w:t>二是易地搬迁成效显著。</w:t>
      </w:r>
      <w:r>
        <w:rPr>
          <w:rFonts w:hint="eastAsia" w:ascii="仿宋_GB2312" w:eastAsia="仿宋_GB2312"/>
          <w:sz w:val="32"/>
          <w:szCs w:val="32"/>
        </w:rPr>
        <w:t>根据安置点实际情况，配套建设了学校、幼儿园、卫生室、村服务中心等公共服务设施，配齐了管理、安保、清洁人员，制定了村规民约。积极落实产业扶贫，细化完善帮扶方案，做到“一户一策”，实现就业帮扶和产业帮扶全覆盖，易地扶贫搬迁对象已全部脱贫。同时，有序开展拆旧复垦，聘请地质矿产开发局402队实地勘测，编制拆旧复垦实施方案，高标准完成拆旧复垦，拆旧复垦复绿率100%。准确把握易地扶贫搬迁政策，建设乐福堂乡到江源村、祥霖铺镇雷洞村、横岭乡浪石村一、二期和工业园等4个安置点，完成易地扶贫搬迁177户643人，全部采用集中安置方式，是全省仅有的3个县区之一，一些做法得到省、市的充分肯定和主流媒体宣传报道。在省、市今年易地扶贫搬迁问题交办中，我县是唯一一个零交办问题的县区。</w:t>
      </w:r>
      <w:r>
        <w:rPr>
          <w:rFonts w:hint="eastAsia" w:ascii="仿宋_GB2312" w:hAnsi="楷体" w:eastAsia="仿宋_GB2312" w:cs="楷体"/>
          <w:b/>
          <w:sz w:val="32"/>
          <w:szCs w:val="32"/>
        </w:rPr>
        <w:t>三是粮企破产攻坚破冰。</w:t>
      </w:r>
      <w:r>
        <w:rPr>
          <w:rFonts w:hint="eastAsia" w:ascii="仿宋_GB2312" w:eastAsia="仿宋_GB2312"/>
          <w:bCs/>
          <w:sz w:val="32"/>
          <w:szCs w:val="32"/>
        </w:rPr>
        <w:t>积极破解粮食系统遗留问题信访维稳工作，迎难而上推进金穗粮油公司破产清算，完成了金穗公司资料移交、债权核实、资产核查等工作，并妥善处理蚣坝粮站债务纠纷。</w:t>
      </w:r>
      <w:r>
        <w:rPr>
          <w:rFonts w:hint="eastAsia" w:ascii="仿宋_GB2312" w:eastAsia="仿宋_GB2312"/>
          <w:sz w:val="32"/>
          <w:szCs w:val="32"/>
        </w:rPr>
        <w:t>与此同时，扎实做好疫情防控工作，确保了粮食安全储存、居民日常生活必需品价格总体平稳和帐篷、棉被等应急物资及时投放，价格审批认证监测等工作取得新的进展；代表全市接受政策性粮食销售考核验收工作，得到省检查组的充分肯定，为争创全省2020年落实粮食安全省长责任制先进县打下了良好基础。</w:t>
      </w:r>
    </w:p>
    <w:p>
      <w:pPr>
        <w:spacing w:line="560" w:lineRule="exact"/>
        <w:ind w:firstLine="640" w:firstLineChars="200"/>
        <w:rPr>
          <w:rFonts w:eastAsia="仿宋_GB2312"/>
          <w:sz w:val="32"/>
          <w:szCs w:val="32"/>
        </w:rPr>
      </w:pPr>
      <w:r>
        <w:rPr>
          <w:rFonts w:hint="eastAsia" w:ascii="仿宋_GB2312" w:eastAsia="仿宋_GB2312"/>
          <w:sz w:val="32"/>
          <w:szCs w:val="32"/>
        </w:rPr>
        <w:t>过去的一年，虽然县发改局团结一致、努力工作，积极应对新冠肺炎疫情、经济下行等挑战，取得了一些成绩，但也还存在着不足之处，如：重大战略性项目少，支撑带动作用不强；产业项目的技术研发能力有限，下游品牌、营销网络建设比较滞后；部分重点项目受资金、用地、征地等要素制约，进展不够理想</w:t>
      </w:r>
      <w:r>
        <w:rPr>
          <w:rFonts w:hint="eastAsia" w:ascii="仿宋_GB2312" w:hAnsi="仿宋" w:eastAsia="仿宋_GB2312"/>
          <w:sz w:val="32"/>
          <w:szCs w:val="32"/>
        </w:rPr>
        <w:t>等。今后，要以更加高昂的斗志、更加务实的作风、更加有力的举措，抢抓机遇、真抓实干、攻坚克难，为发展改革工作百尺竿头更进一步而接续奋斗。</w:t>
      </w:r>
    </w:p>
    <w:p>
      <w:pPr>
        <w:adjustRightInd w:val="0"/>
        <w:snapToGrid w:val="0"/>
        <w:spacing w:line="600" w:lineRule="exact"/>
        <w:ind w:firstLine="640" w:firstLineChars="200"/>
        <w:rPr>
          <w:rFonts w:hint="eastAsia" w:eastAsia="黑体"/>
          <w:sz w:val="32"/>
          <w:szCs w:val="32"/>
          <w:lang w:eastAsia="zh-CN"/>
        </w:rPr>
      </w:pPr>
      <w:r>
        <w:rPr>
          <w:rFonts w:hint="eastAsia" w:eastAsia="黑体"/>
          <w:sz w:val="32"/>
          <w:szCs w:val="32"/>
        </w:rPr>
        <w:t>七</w:t>
      </w:r>
      <w:r>
        <w:rPr>
          <w:rFonts w:eastAsia="黑体"/>
          <w:sz w:val="32"/>
          <w:szCs w:val="32"/>
        </w:rPr>
        <w:t>、</w:t>
      </w:r>
      <w:r>
        <w:rPr>
          <w:rFonts w:hint="eastAsia" w:eastAsia="黑体"/>
          <w:sz w:val="32"/>
          <w:szCs w:val="32"/>
          <w:lang w:eastAsia="zh-CN"/>
        </w:rPr>
        <w:t>存在的问题及原因分析</w:t>
      </w:r>
    </w:p>
    <w:p>
      <w:pPr>
        <w:spacing w:line="596" w:lineRule="exact"/>
        <w:ind w:firstLine="640" w:firstLineChars="200"/>
        <w:rPr>
          <w:rFonts w:hint="eastAsia" w:eastAsia="仿宋_GB2312"/>
          <w:color w:val="000000"/>
          <w:sz w:val="32"/>
          <w:szCs w:val="32"/>
        </w:rPr>
      </w:pPr>
      <w:r>
        <w:rPr>
          <w:rFonts w:hint="eastAsia" w:eastAsia="仿宋_GB2312"/>
          <w:color w:val="000000"/>
          <w:sz w:val="32"/>
          <w:szCs w:val="32"/>
        </w:rPr>
        <w:t>通过本次绩效自评，发现我</w:t>
      </w:r>
      <w:r>
        <w:rPr>
          <w:rFonts w:hint="eastAsia" w:eastAsia="仿宋_GB2312"/>
          <w:color w:val="000000"/>
          <w:sz w:val="32"/>
          <w:szCs w:val="32"/>
          <w:lang w:eastAsia="zh-CN"/>
        </w:rPr>
        <w:t>局</w:t>
      </w:r>
      <w:r>
        <w:rPr>
          <w:rFonts w:hint="eastAsia" w:eastAsia="仿宋_GB2312"/>
          <w:color w:val="000000"/>
          <w:sz w:val="32"/>
          <w:szCs w:val="32"/>
        </w:rPr>
        <w:t>还存在以下几方面不足：</w:t>
      </w:r>
    </w:p>
    <w:p>
      <w:pPr>
        <w:pStyle w:val="14"/>
        <w:spacing w:line="596" w:lineRule="exact"/>
        <w:ind w:firstLine="643"/>
        <w:rPr>
          <w:rFonts w:hint="eastAsia" w:eastAsia="楷体_GB2312"/>
          <w:b/>
          <w:color w:val="000000"/>
          <w:sz w:val="32"/>
          <w:szCs w:val="32"/>
        </w:rPr>
      </w:pPr>
      <w:r>
        <w:rPr>
          <w:rFonts w:hint="eastAsia" w:eastAsia="楷体_GB2312"/>
          <w:b/>
          <w:color w:val="000000"/>
          <w:sz w:val="32"/>
          <w:szCs w:val="32"/>
          <w:lang w:eastAsia="zh-CN"/>
        </w:rPr>
        <w:t>（</w:t>
      </w:r>
      <w:r>
        <w:rPr>
          <w:rFonts w:hint="eastAsia" w:eastAsia="楷体_GB2312"/>
          <w:b/>
          <w:color w:val="000000"/>
          <w:sz w:val="32"/>
          <w:szCs w:val="32"/>
        </w:rPr>
        <w:t>一）预算管理有待加强</w:t>
      </w:r>
    </w:p>
    <w:p>
      <w:pPr>
        <w:pStyle w:val="14"/>
        <w:numPr>
          <w:ilvl w:val="0"/>
          <w:numId w:val="0"/>
        </w:numPr>
        <w:spacing w:line="596"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1、预算追加占比较大</w:t>
      </w:r>
    </w:p>
    <w:p>
      <w:pPr>
        <w:pStyle w:val="14"/>
        <w:numPr>
          <w:ilvl w:val="0"/>
          <w:numId w:val="0"/>
        </w:numPr>
        <w:spacing w:line="596"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20</w:t>
      </w:r>
      <w:r>
        <w:rPr>
          <w:rFonts w:hint="eastAsia" w:ascii="Times New Roman" w:hAnsi="Times New Roman" w:eastAsia="仿宋_GB2312" w:cs="Times New Roman"/>
          <w:color w:val="000000"/>
          <w:sz w:val="32"/>
          <w:szCs w:val="32"/>
          <w:highlight w:val="none"/>
          <w:lang w:val="en-US" w:eastAsia="zh-CN"/>
        </w:rPr>
        <w:t>20</w:t>
      </w:r>
      <w:r>
        <w:rPr>
          <w:rFonts w:hint="default" w:ascii="Times New Roman" w:hAnsi="Times New Roman" w:eastAsia="仿宋_GB2312" w:cs="Times New Roman"/>
          <w:color w:val="000000"/>
          <w:sz w:val="32"/>
          <w:szCs w:val="32"/>
          <w:highlight w:val="none"/>
          <w:lang w:val="en-US" w:eastAsia="zh-CN"/>
        </w:rPr>
        <w:t>年度我委年初预算数为</w:t>
      </w:r>
      <w:r>
        <w:rPr>
          <w:rFonts w:hint="eastAsia" w:ascii="Times New Roman" w:hAnsi="Times New Roman" w:eastAsia="仿宋_GB2312" w:cs="Times New Roman"/>
          <w:color w:val="000000"/>
          <w:sz w:val="32"/>
          <w:szCs w:val="32"/>
          <w:highlight w:val="none"/>
          <w:lang w:val="en-US" w:eastAsia="zh-CN"/>
        </w:rPr>
        <w:t>846.93</w:t>
      </w:r>
      <w:r>
        <w:rPr>
          <w:rFonts w:hint="default" w:ascii="Times New Roman" w:hAnsi="Times New Roman" w:eastAsia="仿宋_GB2312" w:cs="Times New Roman"/>
          <w:color w:val="000000"/>
          <w:sz w:val="32"/>
          <w:szCs w:val="32"/>
          <w:highlight w:val="none"/>
          <w:lang w:val="en-US" w:eastAsia="zh-CN"/>
        </w:rPr>
        <w:t>万元，</w:t>
      </w:r>
      <w:r>
        <w:rPr>
          <w:rFonts w:hint="eastAsia" w:ascii="Times New Roman" w:hAnsi="Times New Roman" w:eastAsia="仿宋_GB2312" w:cs="Times New Roman"/>
          <w:color w:val="000000"/>
          <w:sz w:val="32"/>
          <w:szCs w:val="32"/>
          <w:highlight w:val="none"/>
          <w:lang w:val="en-US" w:eastAsia="zh-CN"/>
        </w:rPr>
        <w:t>由于年初预算经费有限，因工作需要，在年中追加部分专项工作经费，</w:t>
      </w:r>
      <w:r>
        <w:rPr>
          <w:rFonts w:hint="default" w:ascii="Times New Roman" w:hAnsi="Times New Roman" w:eastAsia="仿宋_GB2312" w:cs="Times New Roman"/>
          <w:color w:val="000000"/>
          <w:sz w:val="32"/>
          <w:szCs w:val="32"/>
          <w:highlight w:val="none"/>
          <w:lang w:val="en-US" w:eastAsia="zh-CN"/>
        </w:rPr>
        <w:t>年中</w:t>
      </w:r>
      <w:r>
        <w:rPr>
          <w:rFonts w:hint="eastAsia" w:ascii="Times New Roman" w:hAnsi="Times New Roman" w:eastAsia="仿宋_GB2312" w:cs="Times New Roman"/>
          <w:color w:val="000000"/>
          <w:sz w:val="32"/>
          <w:szCs w:val="32"/>
          <w:highlight w:val="none"/>
          <w:lang w:val="en-US" w:eastAsia="zh-CN"/>
        </w:rPr>
        <w:t>追加</w:t>
      </w:r>
      <w:r>
        <w:rPr>
          <w:rFonts w:hint="default" w:ascii="Times New Roman" w:hAnsi="Times New Roman" w:eastAsia="仿宋_GB2312" w:cs="Times New Roman"/>
          <w:color w:val="000000"/>
          <w:sz w:val="32"/>
          <w:szCs w:val="32"/>
          <w:highlight w:val="none"/>
          <w:lang w:val="en-US" w:eastAsia="zh-CN"/>
        </w:rPr>
        <w:t>预算数为</w:t>
      </w:r>
      <w:r>
        <w:rPr>
          <w:rFonts w:hint="eastAsia" w:ascii="Times New Roman" w:hAnsi="Times New Roman" w:eastAsia="仿宋_GB2312" w:cs="Times New Roman"/>
          <w:color w:val="000000"/>
          <w:sz w:val="32"/>
          <w:szCs w:val="32"/>
          <w:highlight w:val="none"/>
          <w:lang w:val="en-US" w:eastAsia="zh-CN"/>
        </w:rPr>
        <w:t>1649.65万元</w:t>
      </w:r>
      <w:r>
        <w:rPr>
          <w:rFonts w:hint="default" w:ascii="Times New Roman" w:hAnsi="Times New Roman" w:eastAsia="仿宋_GB2312" w:cs="Times New Roman"/>
          <w:color w:val="000000"/>
          <w:sz w:val="32"/>
          <w:szCs w:val="32"/>
          <w:highlight w:val="none"/>
          <w:lang w:val="en-US" w:eastAsia="zh-CN"/>
        </w:rPr>
        <w:t>，预算追加占年初比</w:t>
      </w:r>
      <w:r>
        <w:rPr>
          <w:rFonts w:hint="eastAsia" w:ascii="Times New Roman" w:hAnsi="Times New Roman" w:eastAsia="仿宋_GB2312" w:cs="Times New Roman"/>
          <w:color w:val="000000"/>
          <w:sz w:val="32"/>
          <w:szCs w:val="32"/>
          <w:highlight w:val="none"/>
          <w:lang w:val="en-US" w:eastAsia="zh-CN"/>
        </w:rPr>
        <w:t>194</w:t>
      </w:r>
      <w:r>
        <w:rPr>
          <w:rFonts w:hint="default" w:ascii="Times New Roman" w:hAnsi="Times New Roman" w:eastAsia="仿宋_GB2312" w:cs="Times New Roman"/>
          <w:color w:val="000000"/>
          <w:sz w:val="32"/>
          <w:szCs w:val="32"/>
          <w:highlight w:val="none"/>
          <w:lang w:val="en-US" w:eastAsia="zh-CN"/>
        </w:rPr>
        <w:t>%，年中预算追加占比较大。</w:t>
      </w:r>
    </w:p>
    <w:p>
      <w:pPr>
        <w:numPr>
          <w:ilvl w:val="0"/>
          <w:numId w:val="0"/>
        </w:numPr>
        <w:spacing w:line="596" w:lineRule="exact"/>
        <w:ind w:leftChars="200" w:firstLine="320" w:firstLineChars="1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2、年初预算编制不够精准</w:t>
      </w:r>
    </w:p>
    <w:p>
      <w:pPr>
        <w:pStyle w:val="2"/>
        <w:rPr>
          <w:rFonts w:hint="eastAsia"/>
          <w:lang w:eastAsia="zh-CN"/>
        </w:rPr>
      </w:pPr>
    </w:p>
    <w:p>
      <w:pPr>
        <w:numPr>
          <w:ilvl w:val="0"/>
          <w:numId w:val="5"/>
        </w:numPr>
        <w:adjustRightInd w:val="0"/>
        <w:snapToGrid w:val="0"/>
        <w:spacing w:line="600" w:lineRule="exact"/>
        <w:ind w:firstLine="640" w:firstLineChars="200"/>
        <w:rPr>
          <w:rFonts w:hint="eastAsia" w:eastAsia="黑体"/>
          <w:sz w:val="32"/>
          <w:szCs w:val="32"/>
          <w:lang w:eastAsia="zh-CN"/>
        </w:rPr>
      </w:pPr>
      <w:r>
        <w:rPr>
          <w:rFonts w:hint="eastAsia" w:eastAsia="黑体"/>
          <w:sz w:val="32"/>
          <w:szCs w:val="32"/>
          <w:lang w:eastAsia="zh-CN"/>
        </w:rPr>
        <w:t>下一步改进措施</w:t>
      </w:r>
    </w:p>
    <w:p>
      <w:pPr>
        <w:spacing w:line="596" w:lineRule="exact"/>
        <w:ind w:firstLine="640" w:firstLineChars="200"/>
        <w:rPr>
          <w:rFonts w:hint="eastAsia" w:eastAsia="仿宋_GB2312"/>
          <w:color w:val="000000"/>
          <w:sz w:val="32"/>
          <w:szCs w:val="32"/>
        </w:rPr>
      </w:pPr>
      <w:r>
        <w:rPr>
          <w:rFonts w:hint="eastAsia" w:eastAsia="仿宋_GB2312"/>
          <w:color w:val="000000"/>
          <w:sz w:val="32"/>
          <w:szCs w:val="32"/>
        </w:rPr>
        <w:t>针对以上存在的不足之处，我</w:t>
      </w:r>
      <w:r>
        <w:rPr>
          <w:rFonts w:hint="eastAsia" w:eastAsia="仿宋_GB2312"/>
          <w:color w:val="000000"/>
          <w:sz w:val="32"/>
          <w:szCs w:val="32"/>
          <w:lang w:eastAsia="zh-CN"/>
        </w:rPr>
        <w:t>局</w:t>
      </w:r>
      <w:r>
        <w:rPr>
          <w:rFonts w:hint="eastAsia" w:eastAsia="仿宋_GB2312"/>
          <w:color w:val="000000"/>
          <w:sz w:val="32"/>
          <w:szCs w:val="32"/>
        </w:rPr>
        <w:t>将采取以下措施加以改进：</w:t>
      </w:r>
    </w:p>
    <w:p>
      <w:pPr>
        <w:pStyle w:val="14"/>
        <w:numPr>
          <w:ilvl w:val="0"/>
          <w:numId w:val="6"/>
        </w:numPr>
        <w:spacing w:line="596" w:lineRule="exact"/>
        <w:ind w:firstLine="643"/>
        <w:rPr>
          <w:rFonts w:hint="eastAsia" w:eastAsia="楷体_GB2312"/>
          <w:b/>
          <w:color w:val="000000"/>
          <w:sz w:val="32"/>
          <w:szCs w:val="32"/>
        </w:rPr>
      </w:pPr>
      <w:r>
        <w:rPr>
          <w:rFonts w:hint="eastAsia" w:eastAsia="楷体_GB2312"/>
          <w:b/>
          <w:color w:val="000000"/>
          <w:sz w:val="32"/>
          <w:szCs w:val="32"/>
        </w:rPr>
        <w:t>加大绩效管理宣传力度</w:t>
      </w:r>
      <w:r>
        <w:rPr>
          <w:rFonts w:hint="eastAsia" w:eastAsia="楷体_GB2312"/>
          <w:b/>
          <w:color w:val="000000"/>
          <w:sz w:val="32"/>
          <w:szCs w:val="32"/>
          <w:lang w:eastAsia="zh-CN"/>
        </w:rPr>
        <w:t>，</w:t>
      </w:r>
      <w:r>
        <w:rPr>
          <w:rFonts w:hint="eastAsia" w:eastAsia="楷体_GB2312"/>
          <w:b/>
          <w:color w:val="000000"/>
          <w:sz w:val="32"/>
          <w:szCs w:val="32"/>
        </w:rPr>
        <w:t>健全绩效管理制度</w:t>
      </w:r>
    </w:p>
    <w:p>
      <w:pPr>
        <w:pStyle w:val="14"/>
        <w:numPr>
          <w:ilvl w:val="0"/>
          <w:numId w:val="0"/>
        </w:numPr>
        <w:spacing w:line="596" w:lineRule="exact"/>
        <w:ind w:firstLine="640" w:firstLineChars="200"/>
        <w:rPr>
          <w:rFonts w:hint="eastAsia" w:eastAsia="仿宋_GB2312"/>
          <w:color w:val="000000"/>
          <w:sz w:val="32"/>
          <w:szCs w:val="32"/>
          <w:lang w:eastAsia="zh-CN"/>
        </w:rPr>
      </w:pPr>
      <w:r>
        <w:rPr>
          <w:rFonts w:hint="eastAsia" w:eastAsia="仿宋_GB2312"/>
          <w:color w:val="000000"/>
          <w:sz w:val="32"/>
          <w:szCs w:val="32"/>
        </w:rPr>
        <w:t>紧紧围绕“全方位、全过程、全覆盖”预算绩效管理体系的主要内容和关键环节，按照财政的要求建立健全完善符合被单位工作实际的涵盖绩效评估、绩效目标管理、绩效跟踪监控管理、绩效评价管理、评价结果管理、工作监督管理等各环节的管理制度和实施细则，压实部门内部绩效管理主体责任，使预算绩效管理真正落到实处，充分发挥绩效管理提高资金使用效益的作用</w:t>
      </w:r>
      <w:r>
        <w:rPr>
          <w:rFonts w:hint="eastAsia" w:eastAsia="仿宋_GB2312"/>
          <w:color w:val="000000"/>
          <w:sz w:val="32"/>
          <w:szCs w:val="32"/>
          <w:lang w:eastAsia="zh-CN"/>
        </w:rPr>
        <w:t>。</w:t>
      </w:r>
    </w:p>
    <w:p>
      <w:pPr>
        <w:pStyle w:val="14"/>
        <w:spacing w:line="596" w:lineRule="exact"/>
        <w:ind w:firstLine="643"/>
        <w:rPr>
          <w:rFonts w:hint="eastAsia" w:eastAsia="楷体_GB2312"/>
          <w:b/>
          <w:color w:val="000000"/>
          <w:sz w:val="32"/>
          <w:szCs w:val="32"/>
          <w:lang w:val="en-US" w:eastAsia="zh-CN"/>
        </w:rPr>
      </w:pPr>
      <w:r>
        <w:rPr>
          <w:rFonts w:hint="eastAsia" w:eastAsia="楷体_GB2312"/>
          <w:b/>
          <w:color w:val="000000"/>
          <w:sz w:val="32"/>
          <w:szCs w:val="32"/>
        </w:rPr>
        <w:t>（</w:t>
      </w:r>
      <w:r>
        <w:rPr>
          <w:rFonts w:hint="eastAsia" w:eastAsia="楷体_GB2312"/>
          <w:b/>
          <w:color w:val="000000"/>
          <w:sz w:val="32"/>
          <w:szCs w:val="32"/>
          <w:lang w:val="en-US" w:eastAsia="zh-CN"/>
        </w:rPr>
        <w:t>二</w:t>
      </w:r>
      <w:r>
        <w:rPr>
          <w:rFonts w:hint="eastAsia" w:eastAsia="楷体_GB2312"/>
          <w:b/>
          <w:color w:val="000000"/>
          <w:sz w:val="32"/>
          <w:szCs w:val="32"/>
        </w:rPr>
        <w:t>）</w:t>
      </w:r>
      <w:r>
        <w:rPr>
          <w:rFonts w:hint="default" w:eastAsia="楷体_GB2312"/>
          <w:b/>
          <w:color w:val="000000"/>
          <w:sz w:val="32"/>
          <w:szCs w:val="32"/>
          <w:lang w:val="en-US" w:eastAsia="zh-CN"/>
        </w:rPr>
        <w:t>加强财务管理，规范财务基础工作</w:t>
      </w:r>
    </w:p>
    <w:p>
      <w:pPr>
        <w:spacing w:line="596" w:lineRule="exact"/>
        <w:ind w:firstLine="640" w:firstLineChars="200"/>
        <w:rPr>
          <w:rFonts w:hint="default" w:eastAsia="仿宋_GB2312"/>
          <w:color w:val="000000"/>
          <w:sz w:val="32"/>
          <w:szCs w:val="32"/>
        </w:rPr>
      </w:pPr>
      <w:r>
        <w:rPr>
          <w:rFonts w:hint="default" w:eastAsia="仿宋_GB2312"/>
          <w:color w:val="000000"/>
          <w:sz w:val="32"/>
          <w:szCs w:val="32"/>
        </w:rPr>
        <w:t>严格按相关规定设置和使用会计科目，按照实际发生的经济业务进行会计核算，填制会计凭证，登记会计</w:t>
      </w:r>
      <w:r>
        <w:rPr>
          <w:rFonts w:hint="default" w:eastAsia="仿宋_GB2312"/>
          <w:color w:val="000000"/>
          <w:sz w:val="32"/>
          <w:szCs w:val="32"/>
          <w:lang w:eastAsia="zh-CN"/>
        </w:rPr>
        <w:t>账</w:t>
      </w:r>
      <w:r>
        <w:rPr>
          <w:rFonts w:hint="default" w:eastAsia="仿宋_GB2312"/>
          <w:color w:val="000000"/>
          <w:sz w:val="32"/>
          <w:szCs w:val="32"/>
        </w:rPr>
        <w:t>簿，编制财务会计报告</w:t>
      </w:r>
      <w:r>
        <w:rPr>
          <w:rFonts w:hint="eastAsia" w:eastAsia="仿宋_GB2312"/>
          <w:color w:val="000000"/>
          <w:sz w:val="32"/>
          <w:szCs w:val="32"/>
          <w:lang w:eastAsia="zh-CN"/>
        </w:rPr>
        <w:t>。</w:t>
      </w:r>
      <w:r>
        <w:rPr>
          <w:rFonts w:hint="eastAsia" w:eastAsia="仿宋_GB2312"/>
          <w:color w:val="000000"/>
          <w:sz w:val="32"/>
          <w:szCs w:val="32"/>
        </w:rPr>
        <w:t>切实加强会计人员继续教育</w:t>
      </w:r>
      <w:r>
        <w:rPr>
          <w:rFonts w:hint="eastAsia" w:eastAsia="仿宋_GB2312"/>
          <w:color w:val="000000"/>
          <w:sz w:val="32"/>
          <w:szCs w:val="32"/>
          <w:lang w:eastAsia="zh-CN"/>
        </w:rPr>
        <w:t>，</w:t>
      </w:r>
      <w:r>
        <w:rPr>
          <w:rFonts w:hint="eastAsia" w:eastAsia="仿宋_GB2312"/>
          <w:color w:val="000000"/>
          <w:sz w:val="32"/>
          <w:szCs w:val="32"/>
        </w:rPr>
        <w:t>通过举办各种形式学习班,对会计人员从多角度、多层次、全方位进行新知识、新法规、新制度的培训；不断优化财会人员的知识结构，提高财会人员的整体专业技能，进一步建立、健全各项会计核算和内控制度，强化会计监督职能和审核责任，提高财会人员的整体执业水平。</w:t>
      </w:r>
    </w:p>
    <w:p>
      <w:pPr>
        <w:pStyle w:val="14"/>
        <w:numPr>
          <w:ilvl w:val="0"/>
          <w:numId w:val="0"/>
        </w:numPr>
        <w:spacing w:line="596" w:lineRule="exact"/>
        <w:ind w:firstLine="321" w:firstLineChars="100"/>
        <w:rPr>
          <w:rFonts w:hint="eastAsia" w:eastAsia="楷体_GB2312"/>
          <w:b/>
          <w:color w:val="000000"/>
          <w:kern w:val="2"/>
          <w:sz w:val="32"/>
          <w:szCs w:val="32"/>
          <w:lang w:val="en-US" w:eastAsia="zh-CN" w:bidi="ar-SA"/>
        </w:rPr>
      </w:pPr>
      <w:r>
        <w:rPr>
          <w:rFonts w:hint="eastAsia" w:eastAsia="楷体_GB2312"/>
          <w:b/>
          <w:color w:val="000000"/>
          <w:kern w:val="2"/>
          <w:sz w:val="32"/>
          <w:szCs w:val="32"/>
          <w:lang w:val="en-US" w:eastAsia="zh-CN" w:bidi="ar-SA"/>
        </w:rPr>
        <w:t>（三）强化预算绩效管理应用，凸显预算绩效管理实效</w:t>
      </w:r>
    </w:p>
    <w:p>
      <w:pPr>
        <w:pStyle w:val="2"/>
        <w:numPr>
          <w:numId w:val="0"/>
        </w:numPr>
        <w:rPr>
          <w:rFonts w:hint="eastAsia"/>
          <w:lang w:eastAsia="zh-CN"/>
        </w:rPr>
      </w:pPr>
      <w:r>
        <w:rPr>
          <w:rFonts w:hint="eastAsia" w:eastAsia="仿宋_GB2312"/>
          <w:color w:val="000000"/>
          <w:kern w:val="2"/>
          <w:sz w:val="32"/>
          <w:szCs w:val="32"/>
          <w:lang w:val="en-US" w:eastAsia="zh-CN" w:bidi="ar-SA"/>
        </w:rPr>
        <w:t>按照达哲书记关于“加强财审联动，促进预算绩效管理在湖南落地见效”的要求，强化绩效自评的结果应用，硬化责任约束，按照无效问责、低效减资并通报的原则，将绩效评价结果融入到预算安排和年度考核等日常管理中，切实增强各部门的绩效管理意识，从而提高财政资金的使用效率，推动部门绩效管理水平的提高，取消对低效、无效的项目资金安排，将更多预算资金用在服务我省“三高四新”战略发展建设。</w:t>
      </w:r>
    </w:p>
    <w:p>
      <w:pPr>
        <w:adjustRightInd w:val="0"/>
        <w:snapToGrid w:val="0"/>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九、绩效自评结果拟应用和公开情况</w:t>
      </w:r>
    </w:p>
    <w:p>
      <w:pPr>
        <w:spacing w:line="596" w:lineRule="exact"/>
        <w:ind w:firstLine="640" w:firstLineChars="200"/>
        <w:rPr>
          <w:rFonts w:hint="eastAsia" w:eastAsia="黑体"/>
          <w:sz w:val="32"/>
          <w:szCs w:val="32"/>
          <w:lang w:val="en-US" w:eastAsia="zh-CN"/>
        </w:rPr>
      </w:pPr>
      <w:r>
        <w:rPr>
          <w:rFonts w:hint="eastAsia" w:eastAsia="黑体"/>
          <w:sz w:val="32"/>
          <w:szCs w:val="32"/>
          <w:lang w:val="en-US" w:eastAsia="zh-CN"/>
        </w:rPr>
        <w:t xml:space="preserve"> </w:t>
      </w:r>
      <w:r>
        <w:rPr>
          <w:rFonts w:hint="eastAsia" w:eastAsia="仿宋_GB2312"/>
          <w:color w:val="000000"/>
          <w:sz w:val="32"/>
          <w:szCs w:val="32"/>
        </w:rPr>
        <w:t>加强绩效评价结果应用。一是全面公开绩效自评报告，绩效自评结果将在我</w:t>
      </w:r>
      <w:r>
        <w:rPr>
          <w:rFonts w:hint="eastAsia" w:eastAsia="仿宋_GB2312"/>
          <w:color w:val="000000"/>
          <w:sz w:val="32"/>
          <w:szCs w:val="32"/>
          <w:lang w:eastAsia="zh-CN"/>
        </w:rPr>
        <w:t>局</w:t>
      </w:r>
      <w:r>
        <w:rPr>
          <w:rFonts w:hint="eastAsia" w:eastAsia="仿宋_GB2312"/>
          <w:color w:val="000000"/>
          <w:sz w:val="32"/>
          <w:szCs w:val="32"/>
        </w:rPr>
        <w:t>门户网站上进行公开，接受社会监督；二是及时反馈整改，及时将评价结果反馈相关</w:t>
      </w:r>
      <w:r>
        <w:rPr>
          <w:rFonts w:hint="eastAsia" w:eastAsia="仿宋_GB2312"/>
          <w:color w:val="000000"/>
          <w:sz w:val="32"/>
          <w:szCs w:val="32"/>
          <w:lang w:eastAsia="zh-CN"/>
        </w:rPr>
        <w:t>人员</w:t>
      </w:r>
      <w:r>
        <w:rPr>
          <w:rFonts w:hint="eastAsia" w:eastAsia="仿宋_GB2312"/>
          <w:color w:val="000000"/>
          <w:sz w:val="32"/>
          <w:szCs w:val="32"/>
        </w:rPr>
        <w:t>，督促其就绩效自评中发现的问题制定切实可行的整改措施并落实到位，对整改不落实或不到位的，根据情况调整或收回项目资金；三是将自评结果应用到下一年度的资金安排和项目立项中，真正体现奖优罚劣的绩效导向。</w:t>
      </w:r>
    </w:p>
    <w:p>
      <w:pPr>
        <w:adjustRightInd w:val="0"/>
        <w:snapToGrid w:val="0"/>
        <w:spacing w:line="600" w:lineRule="exact"/>
        <w:ind w:firstLine="640" w:firstLineChars="200"/>
        <w:rPr>
          <w:rFonts w:hint="default"/>
          <w:lang w:val="en-US" w:eastAsia="zh-CN"/>
        </w:rPr>
      </w:pPr>
      <w:r>
        <w:rPr>
          <w:rFonts w:hint="eastAsia" w:eastAsia="黑体"/>
          <w:sz w:val="32"/>
          <w:szCs w:val="32"/>
          <w:lang w:val="en-US" w:eastAsia="zh-CN"/>
        </w:rPr>
        <w:t>其他需要说明的情况</w:t>
      </w:r>
      <w:bookmarkStart w:id="0" w:name="_GoBack"/>
      <w:bookmarkEnd w:id="0"/>
    </w:p>
    <w:p>
      <w:pPr>
        <w:adjustRightInd w:val="0"/>
        <w:snapToGrid w:val="0"/>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无</w:t>
      </w: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jc w:val="right"/>
        <w:rPr>
          <w:rFonts w:eastAsia="仿宋_GB2312"/>
          <w:sz w:val="32"/>
          <w:szCs w:val="32"/>
        </w:rPr>
      </w:pPr>
      <w:r>
        <w:rPr>
          <w:rFonts w:hint="eastAsia" w:eastAsia="仿宋_GB2312"/>
          <w:sz w:val="32"/>
          <w:szCs w:val="32"/>
          <w:lang w:val="en-US" w:eastAsia="zh-CN"/>
        </w:rPr>
        <w:t>道县发展和改革局</w:t>
      </w:r>
      <w:r>
        <w:rPr>
          <w:rFonts w:hint="eastAsia" w:eastAsia="仿宋_GB2312"/>
          <w:sz w:val="32"/>
          <w:szCs w:val="32"/>
        </w:rPr>
        <w:t>（盖章）</w:t>
      </w:r>
    </w:p>
    <w:p>
      <w:pPr>
        <w:wordWrap w:val="0"/>
        <w:adjustRightInd w:val="0"/>
        <w:snapToGrid w:val="0"/>
        <w:spacing w:line="600" w:lineRule="exact"/>
        <w:ind w:firstLine="640" w:firstLineChars="200"/>
        <w:jc w:val="right"/>
        <w:rPr>
          <w:rFonts w:ascii="仿宋_GB2312" w:eastAsia="仿宋_GB2312"/>
          <w:sz w:val="32"/>
          <w:szCs w:val="32"/>
        </w:rPr>
      </w:pPr>
      <w:r>
        <w:rPr>
          <w:rFonts w:hint="eastAsia" w:eastAsia="仿宋_GB2312"/>
          <w:sz w:val="32"/>
          <w:szCs w:val="32"/>
          <w:lang w:val="en-US" w:eastAsia="zh-CN"/>
        </w:rPr>
        <w:t>2021</w:t>
      </w:r>
      <w:r>
        <w:rPr>
          <w:rFonts w:hint="eastAsia" w:eastAsia="仿宋_GB2312"/>
          <w:sz w:val="32"/>
          <w:szCs w:val="32"/>
        </w:rPr>
        <w:t>年</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24</w:t>
      </w:r>
      <w:r>
        <w:rPr>
          <w:rFonts w:hint="eastAsia" w:eastAsia="仿宋_GB2312"/>
          <w:sz w:val="32"/>
          <w:szCs w:val="32"/>
        </w:rPr>
        <w:t>日</w:t>
      </w:r>
    </w:p>
    <w:sectPr>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48B806"/>
    <w:multiLevelType w:val="singleLevel"/>
    <w:tmpl w:val="8C48B806"/>
    <w:lvl w:ilvl="0" w:tentative="0">
      <w:start w:val="1"/>
      <w:numFmt w:val="chineseCounting"/>
      <w:suff w:val="nothing"/>
      <w:lvlText w:val="（%1）"/>
      <w:lvlJc w:val="left"/>
      <w:rPr>
        <w:rFonts w:hint="eastAsia"/>
      </w:rPr>
    </w:lvl>
  </w:abstractNum>
  <w:abstractNum w:abstractNumId="1">
    <w:nsid w:val="17979C8D"/>
    <w:multiLevelType w:val="singleLevel"/>
    <w:tmpl w:val="17979C8D"/>
    <w:lvl w:ilvl="0" w:tentative="0">
      <w:start w:val="2"/>
      <w:numFmt w:val="chineseCounting"/>
      <w:suff w:val="nothing"/>
      <w:lvlText w:val="（%1）"/>
      <w:lvlJc w:val="left"/>
      <w:rPr>
        <w:rFonts w:hint="eastAsia"/>
      </w:rPr>
    </w:lvl>
  </w:abstractNum>
  <w:abstractNum w:abstractNumId="2">
    <w:nsid w:val="1EAB037C"/>
    <w:multiLevelType w:val="singleLevel"/>
    <w:tmpl w:val="1EAB037C"/>
    <w:lvl w:ilvl="0" w:tentative="0">
      <w:start w:val="1"/>
      <w:numFmt w:val="chineseCounting"/>
      <w:suff w:val="nothing"/>
      <w:lvlText w:val="%1、"/>
      <w:lvlJc w:val="left"/>
      <w:rPr>
        <w:rFonts w:hint="eastAsia"/>
      </w:rPr>
    </w:lvl>
  </w:abstractNum>
  <w:abstractNum w:abstractNumId="3">
    <w:nsid w:val="294D3960"/>
    <w:multiLevelType w:val="singleLevel"/>
    <w:tmpl w:val="294D3960"/>
    <w:lvl w:ilvl="0" w:tentative="0">
      <w:start w:val="1"/>
      <w:numFmt w:val="chineseCounting"/>
      <w:suff w:val="nothing"/>
      <w:lvlText w:val="（%1）"/>
      <w:lvlJc w:val="left"/>
      <w:rPr>
        <w:rFonts w:hint="eastAsia"/>
      </w:rPr>
    </w:lvl>
  </w:abstractNum>
  <w:abstractNum w:abstractNumId="4">
    <w:nsid w:val="2B326F0F"/>
    <w:multiLevelType w:val="singleLevel"/>
    <w:tmpl w:val="2B326F0F"/>
    <w:lvl w:ilvl="0" w:tentative="0">
      <w:start w:val="5"/>
      <w:numFmt w:val="chineseCounting"/>
      <w:suff w:val="nothing"/>
      <w:lvlText w:val="%1、"/>
      <w:lvlJc w:val="left"/>
      <w:pPr>
        <w:ind w:left="981" w:leftChars="0" w:firstLine="0" w:firstLineChars="0"/>
      </w:pPr>
      <w:rPr>
        <w:rFonts w:hint="eastAsia"/>
      </w:rPr>
    </w:lvl>
  </w:abstractNum>
  <w:abstractNum w:abstractNumId="5">
    <w:nsid w:val="2E289BFD"/>
    <w:multiLevelType w:val="singleLevel"/>
    <w:tmpl w:val="2E289BFD"/>
    <w:lvl w:ilvl="0" w:tentative="0">
      <w:start w:val="8"/>
      <w:numFmt w:val="chineseCounting"/>
      <w:suff w:val="nothing"/>
      <w:lvlText w:val="%1、"/>
      <w:lvlJc w:val="left"/>
      <w:rPr>
        <w:rFonts w:hint="eastAsia"/>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F5"/>
    <w:rsid w:val="00037B95"/>
    <w:rsid w:val="00151FB2"/>
    <w:rsid w:val="0017128D"/>
    <w:rsid w:val="00184565"/>
    <w:rsid w:val="00273308"/>
    <w:rsid w:val="002A087C"/>
    <w:rsid w:val="003A339E"/>
    <w:rsid w:val="00491393"/>
    <w:rsid w:val="004A139B"/>
    <w:rsid w:val="00552442"/>
    <w:rsid w:val="005945BF"/>
    <w:rsid w:val="005A30F2"/>
    <w:rsid w:val="005B2827"/>
    <w:rsid w:val="006117C5"/>
    <w:rsid w:val="0061728F"/>
    <w:rsid w:val="0070725D"/>
    <w:rsid w:val="0073431B"/>
    <w:rsid w:val="00762D52"/>
    <w:rsid w:val="00783181"/>
    <w:rsid w:val="00836368"/>
    <w:rsid w:val="00877BA1"/>
    <w:rsid w:val="00A76448"/>
    <w:rsid w:val="00B11231"/>
    <w:rsid w:val="00B30C5E"/>
    <w:rsid w:val="00B74A87"/>
    <w:rsid w:val="00B76999"/>
    <w:rsid w:val="00C25252"/>
    <w:rsid w:val="00CE0BD6"/>
    <w:rsid w:val="00CF446F"/>
    <w:rsid w:val="00D116AF"/>
    <w:rsid w:val="00D1790A"/>
    <w:rsid w:val="00D90AB0"/>
    <w:rsid w:val="00DF468F"/>
    <w:rsid w:val="00E023F5"/>
    <w:rsid w:val="00E641CA"/>
    <w:rsid w:val="00E96CA1"/>
    <w:rsid w:val="00EA1F7D"/>
    <w:rsid w:val="00F16E04"/>
    <w:rsid w:val="00F94903"/>
    <w:rsid w:val="00FF47BE"/>
    <w:rsid w:val="03AB696A"/>
    <w:rsid w:val="046B420F"/>
    <w:rsid w:val="06540A00"/>
    <w:rsid w:val="07A8045F"/>
    <w:rsid w:val="08912B3A"/>
    <w:rsid w:val="089636A8"/>
    <w:rsid w:val="094559DE"/>
    <w:rsid w:val="0B6043D5"/>
    <w:rsid w:val="262F1B19"/>
    <w:rsid w:val="27E04152"/>
    <w:rsid w:val="2832304D"/>
    <w:rsid w:val="314177EB"/>
    <w:rsid w:val="35AF2770"/>
    <w:rsid w:val="3BE224FE"/>
    <w:rsid w:val="3CC40DCE"/>
    <w:rsid w:val="3D5E4F79"/>
    <w:rsid w:val="438F4B5F"/>
    <w:rsid w:val="4CE1266F"/>
    <w:rsid w:val="54E939A6"/>
    <w:rsid w:val="5CEC3A91"/>
    <w:rsid w:val="6BB50CD8"/>
    <w:rsid w:val="6D037335"/>
    <w:rsid w:val="758F5496"/>
    <w:rsid w:val="7CDA0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3">
    <w:name w:val="Body Text"/>
    <w:basedOn w:val="1"/>
    <w:qFormat/>
    <w:uiPriority w:val="0"/>
    <w:rPr>
      <w:rFonts w:ascii="仿宋" w:hAnsi="仿宋" w:eastAsia="仿宋" w:cs="仿宋"/>
      <w:sz w:val="28"/>
      <w:szCs w:val="28"/>
      <w:lang w:val="zh-CN" w:bidi="zh-CN"/>
    </w:rPr>
  </w:style>
  <w:style w:type="paragraph" w:styleId="4">
    <w:name w:val="Balloon Text"/>
    <w:basedOn w:val="1"/>
    <w:link w:val="13"/>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9">
    <w:name w:val="FollowedHyperlink"/>
    <w:basedOn w:val="8"/>
    <w:qFormat/>
    <w:uiPriority w:val="0"/>
    <w:rPr>
      <w:color w:val="800080" w:themeColor="followedHyperlink"/>
      <w:u w:val="single"/>
      <w14:textFill>
        <w14:solidFill>
          <w14:schemeClr w14:val="folHlink"/>
        </w14:solidFill>
      </w14:textFill>
    </w:rPr>
  </w:style>
  <w:style w:type="character" w:styleId="10">
    <w:name w:val="Hyperlink"/>
    <w:basedOn w:val="8"/>
    <w:qFormat/>
    <w:uiPriority w:val="0"/>
    <w:rPr>
      <w:color w:val="0000FF" w:themeColor="hyperlink"/>
      <w:u w:val="single"/>
      <w14:textFill>
        <w14:solidFill>
          <w14:schemeClr w14:val="hlink"/>
        </w14:solidFill>
      </w14:textFill>
    </w:rPr>
  </w:style>
  <w:style w:type="character" w:customStyle="1" w:styleId="11">
    <w:name w:val="页眉 Char"/>
    <w:basedOn w:val="8"/>
    <w:link w:val="6"/>
    <w:qFormat/>
    <w:uiPriority w:val="0"/>
    <w:rPr>
      <w:kern w:val="2"/>
      <w:sz w:val="18"/>
      <w:szCs w:val="18"/>
    </w:rPr>
  </w:style>
  <w:style w:type="character" w:customStyle="1" w:styleId="12">
    <w:name w:val="页脚 Char"/>
    <w:basedOn w:val="8"/>
    <w:link w:val="5"/>
    <w:qFormat/>
    <w:uiPriority w:val="0"/>
    <w:rPr>
      <w:kern w:val="2"/>
      <w:sz w:val="18"/>
      <w:szCs w:val="18"/>
    </w:rPr>
  </w:style>
  <w:style w:type="character" w:customStyle="1" w:styleId="13">
    <w:name w:val="批注框文本 Char"/>
    <w:basedOn w:val="8"/>
    <w:link w:val="4"/>
    <w:qFormat/>
    <w:uiPriority w:val="0"/>
    <w:rPr>
      <w:kern w:val="2"/>
      <w:sz w:val="18"/>
      <w:szCs w:val="18"/>
    </w:rPr>
  </w:style>
  <w:style w:type="paragraph" w:customStyle="1" w:styleId="14">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573</Words>
  <Characters>145</Characters>
  <Lines>1</Lines>
  <Paragraphs>1</Paragraphs>
  <TotalTime>1</TotalTime>
  <ScaleCrop>false</ScaleCrop>
  <LinksUpToDate>false</LinksUpToDate>
  <CharactersWithSpaces>717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2018-08-10T00:59:00Z</dcterms:created>
  <dc:creator>Lenovo User</dc:creator>
  <cp:lastModifiedBy>Administrator</cp:lastModifiedBy>
  <cp:lastPrinted>2013-10-09T02:05:00Z</cp:lastPrinted>
  <dcterms:modified xsi:type="dcterms:W3CDTF">2021-06-24T02:14:55Z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