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pacing w:val="19"/>
          <w:sz w:val="44"/>
          <w:szCs w:val="44"/>
        </w:rPr>
      </w:pPr>
      <w:r>
        <w:rPr>
          <w:rFonts w:hint="eastAsia" w:ascii="宋体" w:hAnsi="宋体"/>
          <w:b/>
          <w:spacing w:val="19"/>
          <w:sz w:val="44"/>
          <w:szCs w:val="44"/>
        </w:rPr>
        <w:t>20</w:t>
      </w:r>
      <w:r>
        <w:rPr>
          <w:rFonts w:hint="eastAsia" w:ascii="宋体" w:hAnsi="宋体"/>
          <w:b/>
          <w:spacing w:val="19"/>
          <w:sz w:val="44"/>
          <w:szCs w:val="44"/>
          <w:lang w:val="en-US" w:eastAsia="zh-CN"/>
        </w:rPr>
        <w:t>20</w:t>
      </w:r>
      <w:r>
        <w:rPr>
          <w:rFonts w:hint="eastAsia" w:ascii="宋体" w:hAnsi="宋体"/>
          <w:b/>
          <w:spacing w:val="19"/>
          <w:sz w:val="44"/>
          <w:szCs w:val="44"/>
        </w:rPr>
        <w:t>年民政局</w:t>
      </w:r>
      <w:r>
        <w:rPr>
          <w:rFonts w:hint="eastAsia" w:ascii="宋体" w:hAnsi="宋体"/>
          <w:b/>
          <w:sz w:val="44"/>
          <w:szCs w:val="44"/>
        </w:rPr>
        <w:t>部门整体支出</w:t>
      </w:r>
      <w:r>
        <w:rPr>
          <w:rFonts w:hint="eastAsia" w:ascii="宋体" w:hAnsi="宋体"/>
          <w:b/>
          <w:spacing w:val="19"/>
          <w:sz w:val="44"/>
          <w:szCs w:val="44"/>
        </w:rPr>
        <w:t>绩效评价</w:t>
      </w:r>
    </w:p>
    <w:p>
      <w:pPr>
        <w:jc w:val="center"/>
        <w:rPr>
          <w:rFonts w:hint="eastAsia" w:ascii="宋体" w:hAnsi="宋体"/>
          <w:b/>
          <w:spacing w:val="19"/>
          <w:sz w:val="44"/>
          <w:szCs w:val="44"/>
        </w:rPr>
      </w:pPr>
      <w:r>
        <w:rPr>
          <w:rFonts w:hint="eastAsia" w:ascii="宋体" w:hAnsi="宋体"/>
          <w:b/>
          <w:spacing w:val="19"/>
          <w:sz w:val="44"/>
          <w:szCs w:val="44"/>
        </w:rPr>
        <w:t>报   告</w:t>
      </w:r>
    </w:p>
    <w:p>
      <w:pPr>
        <w:rPr>
          <w:rFonts w:hint="eastAsia" w:ascii="宋体" w:hAnsi="宋体"/>
          <w:spacing w:val="19"/>
          <w:sz w:val="32"/>
          <w:szCs w:val="36"/>
        </w:rPr>
      </w:pPr>
    </w:p>
    <w:p>
      <w:pPr>
        <w:spacing w:line="600" w:lineRule="exact"/>
        <w:ind w:firstLine="640" w:firstLineChars="200"/>
        <w:rPr>
          <w:rFonts w:hint="eastAsia" w:eastAsia="仿宋_GB2312"/>
          <w:kern w:val="0"/>
          <w:sz w:val="32"/>
          <w:szCs w:val="32"/>
        </w:rPr>
      </w:pPr>
      <w:r>
        <w:rPr>
          <w:rFonts w:hint="eastAsia" w:eastAsia="仿宋_GB2312"/>
          <w:kern w:val="0"/>
          <w:sz w:val="32"/>
          <w:szCs w:val="32"/>
        </w:rPr>
        <w:t>一、部门概况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(一)、单位主要工作职责</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根据规定，本单位主要工作职责是：社会救助、养老服务、基层政权和社区建设、婚姻登记、殡葬管理、福利机构建设管理工作。</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（二）、20</w:t>
      </w:r>
      <w:r>
        <w:rPr>
          <w:rFonts w:hint="eastAsia" w:eastAsia="仿宋_GB2312"/>
          <w:kern w:val="0"/>
          <w:sz w:val="32"/>
          <w:szCs w:val="32"/>
          <w:lang w:val="en-US" w:eastAsia="zh-CN"/>
        </w:rPr>
        <w:t>20</w:t>
      </w:r>
      <w:r>
        <w:rPr>
          <w:rFonts w:hint="eastAsia" w:eastAsia="仿宋_GB2312"/>
          <w:kern w:val="0"/>
          <w:sz w:val="32"/>
          <w:szCs w:val="32"/>
        </w:rPr>
        <w:t>年主要工作任务</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20</w:t>
      </w:r>
      <w:r>
        <w:rPr>
          <w:rFonts w:hint="eastAsia" w:eastAsia="仿宋_GB2312"/>
          <w:kern w:val="0"/>
          <w:sz w:val="32"/>
          <w:szCs w:val="32"/>
          <w:lang w:val="en-US" w:eastAsia="zh-CN"/>
        </w:rPr>
        <w:t>20</w:t>
      </w:r>
      <w:r>
        <w:rPr>
          <w:rFonts w:hint="eastAsia" w:eastAsia="仿宋_GB2312"/>
          <w:kern w:val="0"/>
          <w:sz w:val="32"/>
          <w:szCs w:val="32"/>
        </w:rPr>
        <w:t>年主要工作任务及目标是：健全城乡社会救助体系，负责城乡居民最低生活保障、五保及城乡特困人员供养、医疗救助、临时救助、流浪乞讨生活无着人员救助工作，做好基层政权组织建设、婚姻收养登记、福利彩票发行、儿童老人残疾人福利、慈善募捐救济、老区建设、民间组织登记管理、区划地名普查等其他民政社会事务管理工作。</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 xml:space="preserve">  （三）、单位基本情况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本单位为正科级单位，局机关内设办公室、规划财务股、社救股、基层政权和社区治理股、社会组织管理股、养老服务股等10个股室，下设社会福利院、救助站、等机构。</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二、部门整体支出使用情况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1、20</w:t>
      </w:r>
      <w:r>
        <w:rPr>
          <w:rFonts w:hint="eastAsia" w:eastAsia="仿宋_GB2312"/>
          <w:kern w:val="0"/>
          <w:sz w:val="32"/>
          <w:szCs w:val="32"/>
          <w:lang w:val="en-US" w:eastAsia="zh-CN"/>
        </w:rPr>
        <w:t>20</w:t>
      </w:r>
      <w:r>
        <w:rPr>
          <w:rFonts w:hint="eastAsia" w:eastAsia="仿宋_GB2312"/>
          <w:kern w:val="0"/>
          <w:sz w:val="32"/>
          <w:szCs w:val="32"/>
        </w:rPr>
        <w:t>年整体支出</w:t>
      </w:r>
      <w:r>
        <w:rPr>
          <w:rFonts w:hint="eastAsia" w:eastAsia="仿宋_GB2312"/>
          <w:sz w:val="32"/>
          <w:szCs w:val="32"/>
          <w:lang w:val="en-US" w:eastAsia="zh-CN"/>
        </w:rPr>
        <w:t>12076.0659</w:t>
      </w:r>
      <w:r>
        <w:rPr>
          <w:rFonts w:hint="eastAsia" w:eastAsia="仿宋_GB2312"/>
          <w:kern w:val="0"/>
          <w:sz w:val="32"/>
          <w:szCs w:val="32"/>
        </w:rPr>
        <w:t>万元,其中基本支出</w:t>
      </w:r>
      <w:r>
        <w:rPr>
          <w:rFonts w:hint="eastAsia" w:eastAsia="仿宋_GB2312"/>
          <w:kern w:val="0"/>
          <w:sz w:val="32"/>
          <w:szCs w:val="32"/>
          <w:lang w:val="en-US" w:eastAsia="zh-CN"/>
        </w:rPr>
        <w:t>719.4797</w:t>
      </w:r>
      <w:r>
        <w:rPr>
          <w:rFonts w:hint="eastAsia" w:eastAsia="仿宋_GB2312"/>
          <w:kern w:val="0"/>
          <w:sz w:val="32"/>
          <w:szCs w:val="32"/>
        </w:rPr>
        <w:t>万元，人员经费</w:t>
      </w:r>
      <w:r>
        <w:rPr>
          <w:rFonts w:hint="eastAsia" w:eastAsia="仿宋_GB2312"/>
          <w:kern w:val="0"/>
          <w:sz w:val="32"/>
          <w:szCs w:val="32"/>
          <w:lang w:val="en-US" w:eastAsia="zh-CN"/>
        </w:rPr>
        <w:t>622.3591</w:t>
      </w:r>
      <w:r>
        <w:rPr>
          <w:rFonts w:hint="eastAsia" w:eastAsia="仿宋_GB2312"/>
          <w:kern w:val="0"/>
          <w:sz w:val="32"/>
          <w:szCs w:val="32"/>
        </w:rPr>
        <w:t>万元，</w:t>
      </w:r>
      <w:r>
        <w:rPr>
          <w:rFonts w:eastAsia="仿宋_GB2312"/>
          <w:sz w:val="32"/>
          <w:szCs w:val="32"/>
        </w:rPr>
        <w:t>占基本支出的</w:t>
      </w:r>
      <w:r>
        <w:rPr>
          <w:rFonts w:hint="eastAsia" w:eastAsia="仿宋_GB2312"/>
          <w:sz w:val="32"/>
          <w:szCs w:val="32"/>
          <w:lang w:val="en-US" w:eastAsia="zh-CN"/>
        </w:rPr>
        <w:t>86.5</w:t>
      </w:r>
      <w:r>
        <w:rPr>
          <w:rFonts w:eastAsia="仿宋_GB2312"/>
          <w:sz w:val="32"/>
          <w:szCs w:val="32"/>
        </w:rPr>
        <w:t>%,主要包括基本工资、津贴补贴、奖金、</w:t>
      </w:r>
      <w:r>
        <w:rPr>
          <w:rFonts w:hint="eastAsia" w:eastAsia="仿宋_GB2312"/>
          <w:sz w:val="32"/>
          <w:szCs w:val="32"/>
        </w:rPr>
        <w:t>其他工资福利支出</w:t>
      </w:r>
      <w:r>
        <w:rPr>
          <w:rFonts w:eastAsia="仿宋_GB2312"/>
          <w:sz w:val="32"/>
          <w:szCs w:val="32"/>
        </w:rPr>
        <w:t>；公用经费</w:t>
      </w:r>
      <w:r>
        <w:rPr>
          <w:rFonts w:hint="eastAsia" w:eastAsia="仿宋_GB2312"/>
          <w:sz w:val="32"/>
          <w:szCs w:val="32"/>
          <w:lang w:val="en-US" w:eastAsia="zh-CN"/>
        </w:rPr>
        <w:t>97.1206</w:t>
      </w:r>
      <w:r>
        <w:rPr>
          <w:rFonts w:eastAsia="仿宋_GB2312"/>
          <w:sz w:val="32"/>
          <w:szCs w:val="32"/>
        </w:rPr>
        <w:t>万元，占基本支出的</w:t>
      </w:r>
      <w:r>
        <w:rPr>
          <w:rFonts w:hint="eastAsia" w:eastAsia="仿宋_GB2312"/>
          <w:sz w:val="32"/>
          <w:szCs w:val="32"/>
          <w:lang w:val="en-US" w:eastAsia="zh-CN"/>
        </w:rPr>
        <w:t>13.5</w:t>
      </w:r>
      <w:r>
        <w:rPr>
          <w:rFonts w:eastAsia="仿宋_GB2312"/>
          <w:sz w:val="32"/>
          <w:szCs w:val="32"/>
        </w:rPr>
        <w:t>%，主要包括办公费、印刷费、</w:t>
      </w:r>
      <w:r>
        <w:rPr>
          <w:rFonts w:hint="eastAsia" w:eastAsia="仿宋_GB2312"/>
          <w:sz w:val="32"/>
          <w:szCs w:val="32"/>
        </w:rPr>
        <w:t>水电费、差旅费、会议费、培训费等</w:t>
      </w:r>
      <w:r>
        <w:rPr>
          <w:rFonts w:eastAsia="仿宋_GB2312"/>
          <w:sz w:val="32"/>
          <w:szCs w:val="32"/>
        </w:rPr>
        <w:t>。</w:t>
      </w:r>
      <w:r>
        <w:rPr>
          <w:rFonts w:hint="eastAsia" w:eastAsia="仿宋_GB2312"/>
          <w:kern w:val="0"/>
          <w:sz w:val="32"/>
          <w:szCs w:val="32"/>
        </w:rPr>
        <w:t>项目支出</w:t>
      </w:r>
      <w:r>
        <w:rPr>
          <w:rFonts w:hint="eastAsia" w:eastAsia="仿宋_GB2312"/>
          <w:kern w:val="0"/>
          <w:sz w:val="32"/>
          <w:szCs w:val="32"/>
          <w:lang w:val="en-US" w:eastAsia="zh-CN"/>
        </w:rPr>
        <w:t>11356.5862</w:t>
      </w:r>
      <w:r>
        <w:rPr>
          <w:rFonts w:hint="eastAsia" w:eastAsia="仿宋_GB2312"/>
          <w:kern w:val="0"/>
          <w:sz w:val="32"/>
          <w:szCs w:val="32"/>
        </w:rPr>
        <w:t>万元，主要用于以下方面：社会保障支出</w:t>
      </w:r>
      <w:r>
        <w:rPr>
          <w:rFonts w:hint="eastAsia" w:eastAsia="仿宋_GB2312"/>
          <w:kern w:val="0"/>
          <w:sz w:val="32"/>
          <w:szCs w:val="32"/>
          <w:lang w:val="en-US" w:eastAsia="zh-CN"/>
        </w:rPr>
        <w:t>10892.3862</w:t>
      </w:r>
      <w:r>
        <w:rPr>
          <w:rFonts w:hint="eastAsia" w:eastAsia="仿宋_GB2312"/>
          <w:kern w:val="0"/>
          <w:sz w:val="32"/>
          <w:szCs w:val="32"/>
        </w:rPr>
        <w:t>万元，占</w:t>
      </w:r>
      <w:r>
        <w:rPr>
          <w:rFonts w:hint="eastAsia" w:eastAsia="仿宋_GB2312"/>
          <w:kern w:val="0"/>
          <w:sz w:val="32"/>
          <w:szCs w:val="32"/>
          <w:lang w:val="en-US" w:eastAsia="zh-CN"/>
        </w:rPr>
        <w:t>95.91</w:t>
      </w:r>
      <w:r>
        <w:rPr>
          <w:rFonts w:hint="eastAsia" w:eastAsia="仿宋_GB2312"/>
          <w:kern w:val="0"/>
          <w:sz w:val="32"/>
          <w:szCs w:val="32"/>
        </w:rPr>
        <w:t>%；其他支出</w:t>
      </w:r>
      <w:r>
        <w:rPr>
          <w:rFonts w:hint="eastAsia" w:eastAsia="仿宋_GB2312"/>
          <w:kern w:val="0"/>
          <w:sz w:val="32"/>
          <w:szCs w:val="32"/>
          <w:lang w:val="en-US" w:eastAsia="zh-CN"/>
        </w:rPr>
        <w:t>464.2</w:t>
      </w:r>
      <w:r>
        <w:rPr>
          <w:rFonts w:hint="eastAsia" w:eastAsia="仿宋_GB2312"/>
          <w:kern w:val="0"/>
          <w:sz w:val="32"/>
          <w:szCs w:val="32"/>
        </w:rPr>
        <w:t>万元，占4.</w:t>
      </w:r>
      <w:r>
        <w:rPr>
          <w:rFonts w:hint="eastAsia" w:eastAsia="仿宋_GB2312"/>
          <w:kern w:val="0"/>
          <w:sz w:val="32"/>
          <w:szCs w:val="32"/>
          <w:lang w:val="en-US" w:eastAsia="zh-CN"/>
        </w:rPr>
        <w:t>09</w:t>
      </w:r>
      <w:r>
        <w:rPr>
          <w:rFonts w:hint="eastAsia" w:eastAsia="仿宋_GB2312"/>
          <w:kern w:val="0"/>
          <w:sz w:val="32"/>
          <w:szCs w:val="32"/>
        </w:rPr>
        <w:t>%。</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2、20</w:t>
      </w:r>
      <w:r>
        <w:rPr>
          <w:rFonts w:hint="eastAsia" w:eastAsia="仿宋_GB2312"/>
          <w:kern w:val="0"/>
          <w:sz w:val="32"/>
          <w:szCs w:val="32"/>
          <w:lang w:val="en-US" w:eastAsia="zh-CN"/>
        </w:rPr>
        <w:t>20</w:t>
      </w:r>
      <w:r>
        <w:rPr>
          <w:rFonts w:hint="eastAsia" w:eastAsia="仿宋_GB2312"/>
          <w:kern w:val="0"/>
          <w:sz w:val="32"/>
          <w:szCs w:val="32"/>
        </w:rPr>
        <w:t>年“三公经费”支出情况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20</w:t>
      </w:r>
      <w:r>
        <w:rPr>
          <w:rFonts w:hint="eastAsia" w:eastAsia="仿宋_GB2312"/>
          <w:kern w:val="0"/>
          <w:sz w:val="32"/>
          <w:szCs w:val="32"/>
          <w:lang w:val="en-US" w:eastAsia="zh-CN"/>
        </w:rPr>
        <w:t>20</w:t>
      </w:r>
      <w:r>
        <w:rPr>
          <w:rFonts w:hint="eastAsia" w:eastAsia="仿宋_GB2312"/>
          <w:kern w:val="0"/>
          <w:sz w:val="32"/>
          <w:szCs w:val="32"/>
        </w:rPr>
        <w:t>年度“三公”经费支出总额1</w:t>
      </w:r>
      <w:r>
        <w:rPr>
          <w:rFonts w:hint="eastAsia" w:eastAsia="仿宋_GB2312"/>
          <w:kern w:val="0"/>
          <w:sz w:val="32"/>
          <w:szCs w:val="32"/>
          <w:lang w:val="en-US" w:eastAsia="zh-CN"/>
        </w:rPr>
        <w:t>4.5</w:t>
      </w:r>
      <w:r>
        <w:rPr>
          <w:rFonts w:hint="eastAsia" w:eastAsia="仿宋_GB2312"/>
          <w:kern w:val="0"/>
          <w:sz w:val="32"/>
          <w:szCs w:val="32"/>
        </w:rPr>
        <w:t>万元，其中公务接待支出1</w:t>
      </w:r>
      <w:r>
        <w:rPr>
          <w:rFonts w:hint="eastAsia" w:eastAsia="仿宋_GB2312"/>
          <w:kern w:val="0"/>
          <w:sz w:val="32"/>
          <w:szCs w:val="32"/>
          <w:lang w:val="en-US" w:eastAsia="zh-CN"/>
        </w:rPr>
        <w:t>0</w:t>
      </w:r>
      <w:r>
        <w:rPr>
          <w:rFonts w:hint="eastAsia" w:eastAsia="仿宋_GB2312"/>
          <w:kern w:val="0"/>
          <w:sz w:val="32"/>
          <w:szCs w:val="32"/>
        </w:rPr>
        <w:t>万元，公务用车运行支出</w:t>
      </w:r>
      <w:r>
        <w:rPr>
          <w:rFonts w:hint="eastAsia" w:eastAsia="仿宋_GB2312"/>
          <w:kern w:val="0"/>
          <w:sz w:val="32"/>
          <w:szCs w:val="32"/>
          <w:lang w:val="en-US" w:eastAsia="zh-CN"/>
        </w:rPr>
        <w:t>4.5</w:t>
      </w:r>
      <w:r>
        <w:rPr>
          <w:rFonts w:hint="eastAsia" w:eastAsia="仿宋_GB2312"/>
          <w:kern w:val="0"/>
          <w:sz w:val="32"/>
          <w:szCs w:val="32"/>
        </w:rPr>
        <w:t>万元。较上年度减少</w:t>
      </w:r>
      <w:r>
        <w:rPr>
          <w:rFonts w:hint="eastAsia" w:eastAsia="仿宋_GB2312"/>
          <w:kern w:val="0"/>
          <w:sz w:val="32"/>
          <w:szCs w:val="32"/>
          <w:lang w:val="en-US" w:eastAsia="zh-CN"/>
        </w:rPr>
        <w:t>3.08</w:t>
      </w:r>
      <w:r>
        <w:rPr>
          <w:rFonts w:hint="eastAsia" w:eastAsia="仿宋_GB2312"/>
          <w:kern w:val="0"/>
          <w:sz w:val="32"/>
          <w:szCs w:val="32"/>
        </w:rPr>
        <w:t>万元，减少1</w:t>
      </w:r>
      <w:r>
        <w:rPr>
          <w:rFonts w:hint="eastAsia" w:eastAsia="仿宋_GB2312"/>
          <w:kern w:val="0"/>
          <w:sz w:val="32"/>
          <w:szCs w:val="32"/>
          <w:lang w:val="en-US" w:eastAsia="zh-CN"/>
        </w:rPr>
        <w:t>7.52</w:t>
      </w:r>
      <w:r>
        <w:rPr>
          <w:rFonts w:hint="eastAsia" w:eastAsia="仿宋_GB2312"/>
          <w:kern w:val="0"/>
          <w:sz w:val="32"/>
          <w:szCs w:val="32"/>
        </w:rPr>
        <w:t>%。</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3、资金管理情况</w:t>
      </w:r>
      <w:bookmarkStart w:id="0" w:name="_GoBack"/>
      <w:bookmarkEnd w:id="0"/>
    </w:p>
    <w:p>
      <w:pPr>
        <w:spacing w:line="600" w:lineRule="exact"/>
        <w:ind w:firstLine="640" w:firstLineChars="200"/>
        <w:rPr>
          <w:rFonts w:hint="eastAsia" w:eastAsia="仿宋_GB2312"/>
          <w:kern w:val="0"/>
          <w:sz w:val="32"/>
          <w:szCs w:val="32"/>
        </w:rPr>
      </w:pPr>
      <w:r>
        <w:rPr>
          <w:rFonts w:hint="eastAsia" w:eastAsia="仿宋_GB2312"/>
          <w:kern w:val="0"/>
          <w:sz w:val="32"/>
          <w:szCs w:val="32"/>
        </w:rPr>
        <w:t>一是提高认识，加强领导。局党组对专项资金管理工作高度重视，把它纳入全局工作的一盘棋来抓，明确要求专款专用、专户运行。对大额资金的使用，都要召开局党组会议进行研究。局里每年定期安排一次专项资金大检查，由局纪检监察牵头对乡镇民政专项资金及下属独立核算的事业单位财务进行一次清理检查。</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二是遵章守制，规范管理。在专项资金的管理使用方面，我们严格按照民政部、财政部有关文件，如《生活无着落流浪乞讨人员救管理机构工作规程》、《永州市流浪乞讨人员救助工作标准化管理办法》《永州市乡镇（街道）民政专项资金管理使用暂行办法》和县政府制定的有关政策，在资金管理使用中，我们坚持公平、公正和公开的原则。</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三是督促检查，强化监督  在专项资金检查监督方面，对每年的专项资金管理使用情况进行了一次较大规模的内部检查和审计部门审计。</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三、项目绩效情况</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大力加强城乡社区建设，扎实推进村居自治工作，稳步提高救助水平，实现农村低保制度和扶贫开发制度有效衔接，依法开展婚姻收养登记，积极做好流浪乞讨人员救助工作。</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四、存在的问题和建议</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（一）存在的问题和困难</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1、家庭经济核对信息化程度不高，城乡低保精准认定有一定难度，造成部分已享受低保对象难以清退。</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2、资金压力大。</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（二）建议</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1、加大资金投入。请上级部门加大对社会保障资金的投入，全面提高救助标准，让弱势群体最基本的生活医疗得到有效保障。</w:t>
      </w:r>
    </w:p>
    <w:p>
      <w:pPr>
        <w:spacing w:line="600" w:lineRule="exact"/>
        <w:ind w:firstLine="640" w:firstLineChars="200"/>
        <w:rPr>
          <w:rFonts w:hint="eastAsia" w:eastAsia="仿宋_GB2312"/>
          <w:kern w:val="0"/>
          <w:sz w:val="32"/>
          <w:szCs w:val="32"/>
        </w:rPr>
      </w:pPr>
      <w:r>
        <w:rPr>
          <w:rFonts w:hint="eastAsia" w:eastAsia="仿宋_GB2312"/>
          <w:kern w:val="0"/>
          <w:sz w:val="32"/>
          <w:szCs w:val="32"/>
        </w:rPr>
        <w:t>2、加大民政项目建设资金的投入。民政的项目建设（如乡镇敬老院建设）都是关系民生的重点项目，也是上级考核的重要指标，但是依靠当地政府是不可能有资金投入，所有敬老院的建设、设施配备都需要大量的资金投入，希望上级部门加大对民政养老项目建设的投入，让特困人员群体享受最基本人保障。</w:t>
      </w:r>
    </w:p>
    <w:p>
      <w:pPr>
        <w:spacing w:line="600" w:lineRule="exact"/>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01501"/>
    <w:rsid w:val="0C201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2021-09-07T08:11:00Z</dcterms:created>
  <dc:creator>Administrator</dc:creator>
  <cp:lastModifiedBy>Administrator</cp:lastModifiedBy>
  <dcterms:modified xsi:type="dcterms:W3CDTF">2021-09-07T08:21:41Z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