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sz w:val="44"/>
          <w:szCs w:val="44"/>
        </w:rPr>
      </w:pPr>
      <w:r>
        <w:rPr>
          <w:rFonts w:hint="eastAsia" w:ascii="宋体" w:hAnsi="宋体"/>
          <w:b/>
          <w:sz w:val="44"/>
          <w:szCs w:val="44"/>
          <w:lang w:eastAsia="zh-CN"/>
        </w:rPr>
        <w:t>20</w:t>
      </w:r>
      <w:r>
        <w:rPr>
          <w:rFonts w:hint="eastAsia" w:ascii="宋体" w:hAnsi="宋体"/>
          <w:b/>
          <w:sz w:val="44"/>
          <w:szCs w:val="44"/>
          <w:lang w:val="en-US" w:eastAsia="zh-CN"/>
        </w:rPr>
        <w:t>20</w:t>
      </w:r>
      <w:r>
        <w:rPr>
          <w:rFonts w:hint="eastAsia" w:ascii="宋体" w:hAnsi="宋体"/>
          <w:b/>
          <w:sz w:val="44"/>
          <w:szCs w:val="44"/>
        </w:rPr>
        <w:t>年</w:t>
      </w:r>
      <w:r>
        <w:rPr>
          <w:rFonts w:hint="eastAsia" w:ascii="宋体" w:hAnsi="宋体"/>
          <w:b/>
          <w:sz w:val="44"/>
          <w:szCs w:val="44"/>
          <w:lang w:val="en-US" w:eastAsia="zh-CN"/>
        </w:rPr>
        <w:t>道县审计局</w:t>
      </w:r>
      <w:r>
        <w:rPr>
          <w:rFonts w:hint="eastAsia" w:ascii="宋体" w:hAnsi="宋体"/>
          <w:b/>
          <w:sz w:val="44"/>
          <w:szCs w:val="44"/>
        </w:rPr>
        <w:t>部门</w:t>
      </w:r>
    </w:p>
    <w:p>
      <w:pPr>
        <w:jc w:val="center"/>
        <w:rPr>
          <w:rFonts w:ascii="宋体" w:hAnsi="宋体"/>
          <w:b/>
          <w:sz w:val="44"/>
          <w:szCs w:val="44"/>
        </w:rPr>
      </w:pPr>
      <w:r>
        <w:rPr>
          <w:rFonts w:hint="eastAsia" w:ascii="宋体" w:hAnsi="宋体"/>
          <w:b/>
          <w:sz w:val="44"/>
          <w:szCs w:val="44"/>
        </w:rPr>
        <w:t>整体支出绩效评价报告</w:t>
      </w:r>
    </w:p>
    <w:p>
      <w:pPr>
        <w:spacing w:line="360" w:lineRule="exact"/>
        <w:jc w:val="center"/>
        <w:rPr>
          <w:rFonts w:ascii="宋体" w:hAnsi="宋体"/>
          <w:b/>
          <w:sz w:val="44"/>
          <w:szCs w:val="44"/>
        </w:rPr>
      </w:pPr>
    </w:p>
    <w:p>
      <w:pPr>
        <w:adjustRightInd w:val="0"/>
        <w:snapToGrid w:val="0"/>
        <w:spacing w:line="580" w:lineRule="exact"/>
        <w:rPr>
          <w:rFonts w:eastAsia="黑体"/>
          <w:sz w:val="32"/>
          <w:szCs w:val="32"/>
        </w:rPr>
      </w:pPr>
      <w:r>
        <w:rPr>
          <w:rFonts w:eastAsia="黑体"/>
          <w:sz w:val="32"/>
          <w:szCs w:val="32"/>
        </w:rPr>
        <w:t>一、</w:t>
      </w:r>
      <w:r>
        <w:rPr>
          <w:rFonts w:hint="eastAsia" w:eastAsia="黑体"/>
          <w:sz w:val="32"/>
          <w:szCs w:val="32"/>
        </w:rPr>
        <w:t>部门</w:t>
      </w:r>
      <w:r>
        <w:rPr>
          <w:rFonts w:eastAsia="黑体"/>
          <w:sz w:val="32"/>
          <w:szCs w:val="32"/>
        </w:rPr>
        <w:t>概况</w:t>
      </w:r>
    </w:p>
    <w:p>
      <w:pPr>
        <w:adjustRightInd w:val="0"/>
        <w:snapToGrid w:val="0"/>
        <w:spacing w:line="580" w:lineRule="exact"/>
        <w:ind w:firstLine="640" w:firstLineChars="200"/>
        <w:rPr>
          <w:rFonts w:ascii="仿宋" w:hAnsi="仿宋" w:eastAsia="仿宋"/>
          <w:sz w:val="32"/>
          <w:szCs w:val="32"/>
        </w:rPr>
      </w:pPr>
      <w:r>
        <w:rPr>
          <w:rFonts w:hint="eastAsia" w:ascii="仿宋" w:hAnsi="仿宋" w:eastAsia="仿宋"/>
          <w:sz w:val="32"/>
          <w:szCs w:val="32"/>
        </w:rPr>
        <w:t>审计局为政府工作部门，正科级单位</w:t>
      </w:r>
      <w:r>
        <w:rPr>
          <w:rFonts w:hint="eastAsia" w:ascii="仿宋" w:hAnsi="仿宋" w:eastAsia="仿宋"/>
          <w:sz w:val="32"/>
          <w:szCs w:val="32"/>
          <w:lang w:eastAsia="zh-CN"/>
        </w:rPr>
        <w:t>，2020</w:t>
      </w:r>
      <w:r>
        <w:rPr>
          <w:rFonts w:hint="eastAsia" w:ascii="仿宋" w:hAnsi="仿宋" w:eastAsia="仿宋"/>
          <w:sz w:val="32"/>
          <w:szCs w:val="32"/>
        </w:rPr>
        <w:t>年底</w:t>
      </w:r>
      <w:r>
        <w:rPr>
          <w:rFonts w:hint="eastAsia" w:ascii="仿宋" w:hAnsi="仿宋" w:eastAsia="仿宋"/>
          <w:sz w:val="32"/>
          <w:szCs w:val="32"/>
          <w:lang w:eastAsia="zh-CN"/>
        </w:rPr>
        <w:t>共有</w:t>
      </w:r>
      <w:r>
        <w:rPr>
          <w:rFonts w:hint="eastAsia" w:ascii="仿宋" w:hAnsi="仿宋" w:eastAsia="仿宋"/>
          <w:sz w:val="32"/>
          <w:szCs w:val="32"/>
        </w:rPr>
        <w:t>在职人员</w:t>
      </w:r>
      <w:r>
        <w:rPr>
          <w:rFonts w:hint="eastAsia" w:ascii="仿宋" w:hAnsi="仿宋" w:eastAsia="仿宋"/>
          <w:sz w:val="32"/>
          <w:szCs w:val="32"/>
          <w:lang w:val="en-US" w:eastAsia="zh-CN"/>
        </w:rPr>
        <w:t>29</w:t>
      </w:r>
      <w:r>
        <w:rPr>
          <w:rFonts w:hint="eastAsia" w:ascii="仿宋" w:hAnsi="仿宋" w:eastAsia="仿宋"/>
          <w:sz w:val="32"/>
          <w:szCs w:val="32"/>
        </w:rPr>
        <w:t>人，内设机构</w:t>
      </w:r>
      <w:r>
        <w:rPr>
          <w:rFonts w:hint="eastAsia" w:ascii="仿宋" w:hAnsi="仿宋" w:eastAsia="仿宋"/>
          <w:sz w:val="32"/>
          <w:szCs w:val="32"/>
          <w:lang w:val="en-US" w:eastAsia="zh-CN"/>
        </w:rPr>
        <w:t>8</w:t>
      </w:r>
      <w:r>
        <w:rPr>
          <w:rFonts w:hint="eastAsia" w:ascii="仿宋" w:hAnsi="仿宋" w:eastAsia="仿宋"/>
          <w:sz w:val="32"/>
          <w:szCs w:val="32"/>
        </w:rPr>
        <w:t>个，分别为办公室、经济责任室、基层审计室、法规股、行政事业审计股、经贸审计股、财政金融审计股、投资审计股，主要工作职能及任务如下：</w:t>
      </w:r>
    </w:p>
    <w:p>
      <w:pPr>
        <w:adjustRightInd w:val="0"/>
        <w:snapToGrid w:val="0"/>
        <w:spacing w:line="580" w:lineRule="exact"/>
        <w:ind w:firstLine="640" w:firstLineChars="200"/>
        <w:rPr>
          <w:rFonts w:ascii="仿宋" w:hAnsi="仿宋" w:eastAsia="仿宋"/>
          <w:sz w:val="32"/>
          <w:szCs w:val="32"/>
        </w:rPr>
      </w:pPr>
      <w:r>
        <w:rPr>
          <w:rFonts w:hint="eastAsia" w:ascii="仿宋" w:hAnsi="仿宋" w:eastAsia="仿宋"/>
          <w:sz w:val="32"/>
          <w:szCs w:val="32"/>
        </w:rPr>
        <w:t>1、对全县财政收支和法律法规规定属于审计监督范围的财务收支的真实、合法和效益进行审计监督。</w:t>
      </w:r>
    </w:p>
    <w:p>
      <w:pPr>
        <w:adjustRightInd w:val="0"/>
        <w:snapToGrid w:val="0"/>
        <w:spacing w:line="580" w:lineRule="exact"/>
        <w:ind w:firstLine="640" w:firstLineChars="200"/>
        <w:rPr>
          <w:rFonts w:ascii="仿宋" w:hAnsi="仿宋" w:eastAsia="仿宋"/>
          <w:sz w:val="32"/>
          <w:szCs w:val="32"/>
        </w:rPr>
      </w:pPr>
      <w:r>
        <w:rPr>
          <w:rFonts w:hint="eastAsia" w:ascii="仿宋" w:hAnsi="仿宋" w:eastAsia="仿宋"/>
          <w:sz w:val="32"/>
          <w:szCs w:val="32"/>
        </w:rPr>
        <w:t>2、对国家重大政策措施落实执行情况的审计监督。</w:t>
      </w:r>
    </w:p>
    <w:p>
      <w:pPr>
        <w:adjustRightInd w:val="0"/>
        <w:snapToGrid w:val="0"/>
        <w:spacing w:line="580" w:lineRule="exact"/>
        <w:ind w:firstLine="640" w:firstLineChars="200"/>
        <w:rPr>
          <w:rFonts w:ascii="仿宋" w:hAnsi="仿宋" w:eastAsia="仿宋"/>
          <w:sz w:val="32"/>
          <w:szCs w:val="32"/>
        </w:rPr>
      </w:pPr>
      <w:r>
        <w:rPr>
          <w:rFonts w:hint="eastAsia" w:ascii="仿宋" w:hAnsi="仿宋" w:eastAsia="仿宋"/>
          <w:sz w:val="32"/>
          <w:szCs w:val="32"/>
        </w:rPr>
        <w:t>3、对国有资金固定资产投资的审计监督。</w:t>
      </w:r>
    </w:p>
    <w:p>
      <w:pPr>
        <w:adjustRightInd w:val="0"/>
        <w:snapToGrid w:val="0"/>
        <w:spacing w:line="580" w:lineRule="exact"/>
        <w:ind w:firstLine="640" w:firstLineChars="200"/>
        <w:rPr>
          <w:rFonts w:ascii="仿宋" w:hAnsi="仿宋" w:eastAsia="仿宋"/>
          <w:sz w:val="32"/>
          <w:szCs w:val="32"/>
        </w:rPr>
      </w:pPr>
      <w:r>
        <w:rPr>
          <w:rFonts w:hint="eastAsia" w:ascii="仿宋" w:hAnsi="仿宋" w:eastAsia="仿宋"/>
          <w:sz w:val="32"/>
          <w:szCs w:val="32"/>
        </w:rPr>
        <w:t>4、对党政领导干部及依法属于县审计局审计监督对象的其他单位负责人的经济责任履行情况的审计监督。</w:t>
      </w:r>
    </w:p>
    <w:p>
      <w:pPr>
        <w:adjustRightInd w:val="0"/>
        <w:snapToGrid w:val="0"/>
        <w:spacing w:line="580" w:lineRule="exact"/>
        <w:ind w:firstLine="640" w:firstLineChars="200"/>
        <w:rPr>
          <w:rFonts w:ascii="仿宋" w:hAnsi="仿宋" w:eastAsia="仿宋"/>
          <w:sz w:val="32"/>
          <w:szCs w:val="32"/>
        </w:rPr>
      </w:pPr>
      <w:r>
        <w:rPr>
          <w:rFonts w:hint="eastAsia" w:ascii="仿宋" w:hAnsi="仿宋" w:eastAsia="仿宋"/>
          <w:sz w:val="32"/>
          <w:szCs w:val="32"/>
        </w:rPr>
        <w:t>5、上级审计机关交办的审计监督。</w:t>
      </w:r>
    </w:p>
    <w:p>
      <w:pPr>
        <w:adjustRightInd w:val="0"/>
        <w:snapToGrid w:val="0"/>
        <w:spacing w:line="580" w:lineRule="exact"/>
        <w:ind w:firstLine="640" w:firstLineChars="200"/>
        <w:rPr>
          <w:rFonts w:ascii="仿宋" w:hAnsi="仿宋" w:eastAsia="仿宋"/>
          <w:sz w:val="32"/>
          <w:szCs w:val="32"/>
        </w:rPr>
      </w:pPr>
      <w:r>
        <w:rPr>
          <w:rFonts w:hint="eastAsia" w:ascii="仿宋" w:hAnsi="仿宋" w:eastAsia="仿宋"/>
          <w:sz w:val="32"/>
          <w:szCs w:val="32"/>
        </w:rPr>
        <w:t>6、县人民政府交办的其他事项。</w:t>
      </w:r>
    </w:p>
    <w:p>
      <w:pPr>
        <w:numPr>
          <w:ilvl w:val="0"/>
          <w:numId w:val="1"/>
        </w:numPr>
        <w:ind w:left="901" w:leftChars="0" w:right="11" w:firstLine="0" w:firstLineChars="0"/>
        <w:rPr>
          <w:rFonts w:hint="eastAsia" w:ascii="宋体" w:hAnsi="宋体"/>
          <w:b/>
          <w:sz w:val="30"/>
          <w:szCs w:val="30"/>
        </w:rPr>
      </w:pPr>
      <w:r>
        <w:rPr>
          <w:rFonts w:hint="eastAsia" w:ascii="宋体" w:hAnsi="宋体"/>
          <w:b/>
          <w:sz w:val="30"/>
          <w:szCs w:val="30"/>
        </w:rPr>
        <w:t>一般公共预算支出情况</w:t>
      </w:r>
    </w:p>
    <w:p>
      <w:pPr>
        <w:adjustRightInd w:val="0"/>
        <w:snapToGrid w:val="0"/>
        <w:spacing w:line="580" w:lineRule="exact"/>
        <w:ind w:firstLine="640" w:firstLineChars="200"/>
        <w:rPr>
          <w:rFonts w:ascii="仿宋" w:hAnsi="仿宋" w:eastAsia="仿宋"/>
          <w:sz w:val="32"/>
          <w:szCs w:val="32"/>
        </w:rPr>
      </w:pPr>
      <w:r>
        <w:rPr>
          <w:rFonts w:hint="eastAsia" w:ascii="仿宋" w:hAnsi="仿宋" w:eastAsia="仿宋"/>
          <w:sz w:val="32"/>
          <w:szCs w:val="32"/>
          <w:lang w:eastAsia="zh-CN"/>
        </w:rPr>
        <w:t>2020</w:t>
      </w:r>
      <w:r>
        <w:rPr>
          <w:rFonts w:hint="eastAsia" w:ascii="仿宋" w:hAnsi="仿宋" w:eastAsia="仿宋"/>
          <w:sz w:val="32"/>
          <w:szCs w:val="32"/>
        </w:rPr>
        <w:t>年审计局决算支出</w:t>
      </w:r>
      <w:r>
        <w:rPr>
          <w:rFonts w:hint="eastAsia" w:ascii="仿宋" w:hAnsi="仿宋" w:eastAsia="仿宋"/>
          <w:sz w:val="32"/>
          <w:szCs w:val="32"/>
          <w:lang w:val="en-US" w:eastAsia="zh-CN"/>
        </w:rPr>
        <w:t>394.95</w:t>
      </w:r>
      <w:r>
        <w:rPr>
          <w:rFonts w:hint="eastAsia" w:ascii="仿宋" w:hAnsi="仿宋" w:eastAsia="仿宋"/>
          <w:sz w:val="32"/>
          <w:szCs w:val="32"/>
        </w:rPr>
        <w:t>万元</w:t>
      </w:r>
      <w:r>
        <w:rPr>
          <w:rFonts w:hint="eastAsia" w:ascii="仿宋" w:hAnsi="仿宋" w:eastAsia="仿宋"/>
          <w:sz w:val="32"/>
          <w:szCs w:val="32"/>
          <w:lang w:eastAsia="zh-CN"/>
        </w:rPr>
        <w:t>，年末财政拨款结转和结余</w:t>
      </w:r>
      <w:r>
        <w:rPr>
          <w:rFonts w:hint="eastAsia" w:ascii="仿宋" w:hAnsi="仿宋" w:eastAsia="仿宋"/>
          <w:sz w:val="32"/>
          <w:szCs w:val="32"/>
          <w:lang w:val="en-US" w:eastAsia="zh-CN"/>
        </w:rPr>
        <w:t>50.88万元，</w:t>
      </w:r>
      <w:r>
        <w:rPr>
          <w:rFonts w:hint="eastAsia" w:ascii="仿宋" w:hAnsi="仿宋" w:eastAsia="仿宋"/>
          <w:sz w:val="32"/>
          <w:szCs w:val="32"/>
        </w:rPr>
        <w:t>主要用于机关日常工作开支及审计项目开展专项开支。</w:t>
      </w:r>
    </w:p>
    <w:p>
      <w:pPr>
        <w:adjustRightInd w:val="0"/>
        <w:snapToGrid w:val="0"/>
        <w:spacing w:line="580" w:lineRule="exact"/>
        <w:ind w:firstLine="640" w:firstLineChars="200"/>
        <w:rPr>
          <w:rFonts w:ascii="仿宋" w:hAnsi="仿宋" w:eastAsia="仿宋"/>
          <w:sz w:val="32"/>
          <w:szCs w:val="32"/>
        </w:rPr>
      </w:pPr>
      <w:r>
        <w:rPr>
          <w:rFonts w:hint="eastAsia" w:ascii="仿宋" w:hAnsi="仿宋" w:eastAsia="仿宋"/>
          <w:sz w:val="32"/>
          <w:szCs w:val="32"/>
        </w:rPr>
        <w:t>（一）基本支出</w:t>
      </w:r>
    </w:p>
    <w:p>
      <w:pPr>
        <w:spacing w:line="580" w:lineRule="exact"/>
        <w:ind w:firstLine="640" w:firstLineChars="200"/>
        <w:rPr>
          <w:rFonts w:hint="eastAsia" w:ascii="仿宋" w:hAnsi="仿宋" w:eastAsia="仿宋" w:cs="宋体"/>
          <w:color w:val="010101"/>
          <w:kern w:val="0"/>
          <w:sz w:val="32"/>
          <w:szCs w:val="32"/>
        </w:rPr>
      </w:pPr>
      <w:r>
        <w:rPr>
          <w:rFonts w:hint="eastAsia" w:ascii="仿宋" w:hAnsi="仿宋" w:eastAsia="仿宋" w:cs="宋体"/>
          <w:color w:val="010101"/>
          <w:kern w:val="0"/>
          <w:sz w:val="32"/>
          <w:szCs w:val="32"/>
        </w:rPr>
        <w:t>基本支出</w:t>
      </w:r>
      <w:r>
        <w:rPr>
          <w:rFonts w:hint="eastAsia" w:ascii="仿宋" w:hAnsi="仿宋" w:eastAsia="仿宋" w:cs="宋体"/>
          <w:color w:val="010101"/>
          <w:kern w:val="0"/>
          <w:sz w:val="32"/>
          <w:szCs w:val="32"/>
          <w:lang w:val="en-US" w:eastAsia="zh-CN"/>
        </w:rPr>
        <w:t>294.34</w:t>
      </w:r>
      <w:r>
        <w:rPr>
          <w:rFonts w:hint="eastAsia" w:ascii="仿宋" w:hAnsi="仿宋" w:eastAsia="仿宋" w:cs="宋体"/>
          <w:color w:val="010101"/>
          <w:kern w:val="0"/>
          <w:sz w:val="32"/>
          <w:szCs w:val="32"/>
        </w:rPr>
        <w:t>万元，具体使用情况如下：</w:t>
      </w:r>
    </w:p>
    <w:tbl>
      <w:tblPr>
        <w:tblStyle w:val="5"/>
        <w:tblW w:w="8333" w:type="dxa"/>
        <w:tblInd w:w="0" w:type="dxa"/>
        <w:shd w:val="clear" w:color="auto" w:fill="auto"/>
        <w:tblLayout w:type="fixed"/>
        <w:tblCellMar>
          <w:top w:w="0" w:type="dxa"/>
          <w:left w:w="0" w:type="dxa"/>
          <w:bottom w:w="0" w:type="dxa"/>
          <w:right w:w="0" w:type="dxa"/>
        </w:tblCellMar>
      </w:tblPr>
      <w:tblGrid>
        <w:gridCol w:w="2310"/>
        <w:gridCol w:w="3152"/>
        <w:gridCol w:w="2871"/>
      </w:tblGrid>
      <w:tr>
        <w:tblPrEx>
          <w:shd w:val="clear" w:color="auto" w:fill="auto"/>
          <w:tblLayout w:type="fixed"/>
          <w:tblCellMar>
            <w:top w:w="0" w:type="dxa"/>
            <w:left w:w="0" w:type="dxa"/>
            <w:bottom w:w="0" w:type="dxa"/>
            <w:right w:w="0" w:type="dxa"/>
          </w:tblCellMar>
        </w:tblPrEx>
        <w:trPr>
          <w:trHeight w:val="400" w:hRule="atLeast"/>
        </w:trPr>
        <w:tc>
          <w:tcPr>
            <w:tcW w:w="23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费用类型</w:t>
            </w:r>
          </w:p>
        </w:tc>
        <w:tc>
          <w:tcPr>
            <w:tcW w:w="3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 xml:space="preserve">费用名称 </w:t>
            </w:r>
          </w:p>
        </w:tc>
        <w:tc>
          <w:tcPr>
            <w:tcW w:w="2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金额（万元）</w:t>
            </w:r>
          </w:p>
        </w:tc>
      </w:tr>
      <w:tr>
        <w:tblPrEx>
          <w:tblLayout w:type="fixed"/>
          <w:tblCellMar>
            <w:top w:w="0" w:type="dxa"/>
            <w:left w:w="0" w:type="dxa"/>
            <w:bottom w:w="0" w:type="dxa"/>
            <w:right w:w="0" w:type="dxa"/>
          </w:tblCellMar>
        </w:tblPrEx>
        <w:trPr>
          <w:trHeight w:val="270" w:hRule="atLeast"/>
        </w:trPr>
        <w:tc>
          <w:tcPr>
            <w:tcW w:w="23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工资福利支出</w:t>
            </w:r>
          </w:p>
        </w:tc>
        <w:tc>
          <w:tcPr>
            <w:tcW w:w="3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基本工资</w:t>
            </w:r>
          </w:p>
        </w:tc>
        <w:tc>
          <w:tcPr>
            <w:tcW w:w="28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85.51</w:t>
            </w:r>
          </w:p>
        </w:tc>
      </w:tr>
      <w:tr>
        <w:tblPrEx>
          <w:tblLayout w:type="fixed"/>
          <w:tblCellMar>
            <w:top w:w="0" w:type="dxa"/>
            <w:left w:w="0" w:type="dxa"/>
            <w:bottom w:w="0" w:type="dxa"/>
            <w:right w:w="0" w:type="dxa"/>
          </w:tblCellMar>
        </w:tblPrEx>
        <w:trPr>
          <w:trHeight w:val="270" w:hRule="atLeast"/>
        </w:trPr>
        <w:tc>
          <w:tcPr>
            <w:tcW w:w="23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3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津贴补贴</w:t>
            </w:r>
          </w:p>
        </w:tc>
        <w:tc>
          <w:tcPr>
            <w:tcW w:w="28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50.75</w:t>
            </w:r>
          </w:p>
        </w:tc>
      </w:tr>
      <w:tr>
        <w:tblPrEx>
          <w:tblLayout w:type="fixed"/>
          <w:tblCellMar>
            <w:top w:w="0" w:type="dxa"/>
            <w:left w:w="0" w:type="dxa"/>
            <w:bottom w:w="0" w:type="dxa"/>
            <w:right w:w="0" w:type="dxa"/>
          </w:tblCellMar>
        </w:tblPrEx>
        <w:trPr>
          <w:trHeight w:val="270" w:hRule="atLeast"/>
        </w:trPr>
        <w:tc>
          <w:tcPr>
            <w:tcW w:w="23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3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奖金</w:t>
            </w:r>
          </w:p>
        </w:tc>
        <w:tc>
          <w:tcPr>
            <w:tcW w:w="28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21.55</w:t>
            </w:r>
            <w:r>
              <w:rPr>
                <w:rFonts w:hint="eastAsia" w:ascii="宋体" w:hAnsi="宋体" w:eastAsia="宋体" w:cs="宋体"/>
                <w:i w:val="0"/>
                <w:color w:val="000000"/>
                <w:kern w:val="0"/>
                <w:sz w:val="22"/>
                <w:szCs w:val="22"/>
                <w:u w:val="none"/>
                <w:lang w:val="en-US" w:eastAsia="zh-CN" w:bidi="ar"/>
              </w:rPr>
              <w:t xml:space="preserve"> </w:t>
            </w:r>
          </w:p>
        </w:tc>
      </w:tr>
      <w:tr>
        <w:tblPrEx>
          <w:tblLayout w:type="fixed"/>
          <w:tblCellMar>
            <w:top w:w="0" w:type="dxa"/>
            <w:left w:w="0" w:type="dxa"/>
            <w:bottom w:w="0" w:type="dxa"/>
            <w:right w:w="0" w:type="dxa"/>
          </w:tblCellMar>
        </w:tblPrEx>
        <w:trPr>
          <w:trHeight w:val="270" w:hRule="atLeast"/>
        </w:trPr>
        <w:tc>
          <w:tcPr>
            <w:tcW w:w="23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3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绩效工资</w:t>
            </w:r>
          </w:p>
        </w:tc>
        <w:tc>
          <w:tcPr>
            <w:tcW w:w="28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23.58</w:t>
            </w:r>
            <w:r>
              <w:rPr>
                <w:rFonts w:hint="eastAsia" w:ascii="宋体" w:hAnsi="宋体" w:eastAsia="宋体" w:cs="宋体"/>
                <w:i w:val="0"/>
                <w:color w:val="000000"/>
                <w:kern w:val="0"/>
                <w:sz w:val="22"/>
                <w:szCs w:val="22"/>
                <w:u w:val="none"/>
                <w:lang w:val="en-US" w:eastAsia="zh-CN" w:bidi="ar"/>
              </w:rPr>
              <w:t xml:space="preserve"> </w:t>
            </w:r>
          </w:p>
        </w:tc>
      </w:tr>
      <w:tr>
        <w:tblPrEx>
          <w:tblLayout w:type="fixed"/>
          <w:tblCellMar>
            <w:top w:w="0" w:type="dxa"/>
            <w:left w:w="0" w:type="dxa"/>
            <w:bottom w:w="0" w:type="dxa"/>
            <w:right w:w="0" w:type="dxa"/>
          </w:tblCellMar>
        </w:tblPrEx>
        <w:trPr>
          <w:trHeight w:val="270" w:hRule="atLeast"/>
        </w:trPr>
        <w:tc>
          <w:tcPr>
            <w:tcW w:w="23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3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基本养老保险缴费</w:t>
            </w:r>
          </w:p>
        </w:tc>
        <w:tc>
          <w:tcPr>
            <w:tcW w:w="28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23.84</w:t>
            </w:r>
            <w:r>
              <w:rPr>
                <w:rFonts w:hint="eastAsia" w:ascii="宋体" w:hAnsi="宋体" w:eastAsia="宋体" w:cs="宋体"/>
                <w:i w:val="0"/>
                <w:color w:val="000000"/>
                <w:kern w:val="0"/>
                <w:sz w:val="22"/>
                <w:szCs w:val="22"/>
                <w:u w:val="none"/>
                <w:lang w:val="en-US" w:eastAsia="zh-CN" w:bidi="ar"/>
              </w:rPr>
              <w:t xml:space="preserve"> </w:t>
            </w:r>
          </w:p>
        </w:tc>
      </w:tr>
      <w:tr>
        <w:tblPrEx>
          <w:tblLayout w:type="fixed"/>
          <w:tblCellMar>
            <w:top w:w="0" w:type="dxa"/>
            <w:left w:w="0" w:type="dxa"/>
            <w:bottom w:w="0" w:type="dxa"/>
            <w:right w:w="0" w:type="dxa"/>
          </w:tblCellMar>
        </w:tblPrEx>
        <w:trPr>
          <w:trHeight w:val="270" w:hRule="atLeast"/>
        </w:trPr>
        <w:tc>
          <w:tcPr>
            <w:tcW w:w="23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3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职工基本医疗保险缴费</w:t>
            </w:r>
          </w:p>
        </w:tc>
        <w:tc>
          <w:tcPr>
            <w:tcW w:w="28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11.82</w:t>
            </w:r>
            <w:r>
              <w:rPr>
                <w:rFonts w:hint="eastAsia" w:ascii="宋体" w:hAnsi="宋体" w:eastAsia="宋体" w:cs="宋体"/>
                <w:i w:val="0"/>
                <w:color w:val="000000"/>
                <w:kern w:val="0"/>
                <w:sz w:val="22"/>
                <w:szCs w:val="22"/>
                <w:u w:val="none"/>
                <w:lang w:val="en-US" w:eastAsia="zh-CN" w:bidi="ar"/>
              </w:rPr>
              <w:t xml:space="preserve"> </w:t>
            </w:r>
          </w:p>
        </w:tc>
      </w:tr>
      <w:tr>
        <w:tblPrEx>
          <w:tblLayout w:type="fixed"/>
          <w:tblCellMar>
            <w:top w:w="0" w:type="dxa"/>
            <w:left w:w="0" w:type="dxa"/>
            <w:bottom w:w="0" w:type="dxa"/>
            <w:right w:w="0" w:type="dxa"/>
          </w:tblCellMar>
        </w:tblPrEx>
        <w:trPr>
          <w:trHeight w:val="341" w:hRule="atLeast"/>
        </w:trPr>
        <w:tc>
          <w:tcPr>
            <w:tcW w:w="23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3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住房公积金</w:t>
            </w:r>
          </w:p>
        </w:tc>
        <w:tc>
          <w:tcPr>
            <w:tcW w:w="28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15.01</w:t>
            </w:r>
            <w:r>
              <w:rPr>
                <w:rFonts w:hint="eastAsia" w:ascii="宋体" w:hAnsi="宋体" w:eastAsia="宋体" w:cs="宋体"/>
                <w:i w:val="0"/>
                <w:color w:val="000000"/>
                <w:kern w:val="0"/>
                <w:sz w:val="22"/>
                <w:szCs w:val="22"/>
                <w:u w:val="none"/>
                <w:lang w:val="en-US" w:eastAsia="zh-CN" w:bidi="ar"/>
              </w:rPr>
              <w:t xml:space="preserve"> </w:t>
            </w:r>
          </w:p>
        </w:tc>
      </w:tr>
      <w:tr>
        <w:tblPrEx>
          <w:tblLayout w:type="fixed"/>
          <w:tblCellMar>
            <w:top w:w="0" w:type="dxa"/>
            <w:left w:w="0" w:type="dxa"/>
            <w:bottom w:w="0" w:type="dxa"/>
            <w:right w:w="0" w:type="dxa"/>
          </w:tblCellMar>
        </w:tblPrEx>
        <w:trPr>
          <w:trHeight w:val="270" w:hRule="atLeast"/>
        </w:trPr>
        <w:tc>
          <w:tcPr>
            <w:tcW w:w="23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3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其他工资福利支出</w:t>
            </w:r>
          </w:p>
        </w:tc>
        <w:tc>
          <w:tcPr>
            <w:tcW w:w="28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70" w:hRule="atLeast"/>
        </w:trPr>
        <w:tc>
          <w:tcPr>
            <w:tcW w:w="2310"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600" w:lineRule="auto"/>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商品与服务支出</w:t>
            </w:r>
          </w:p>
        </w:tc>
        <w:tc>
          <w:tcPr>
            <w:tcW w:w="3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办公费</w:t>
            </w:r>
          </w:p>
        </w:tc>
        <w:tc>
          <w:tcPr>
            <w:tcW w:w="28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22.35</w:t>
            </w:r>
          </w:p>
        </w:tc>
      </w:tr>
      <w:tr>
        <w:tblPrEx>
          <w:tblLayout w:type="fixed"/>
          <w:tblCellMar>
            <w:top w:w="0" w:type="dxa"/>
            <w:left w:w="0" w:type="dxa"/>
            <w:bottom w:w="0" w:type="dxa"/>
            <w:right w:w="0" w:type="dxa"/>
          </w:tblCellMar>
        </w:tblPrEx>
        <w:trPr>
          <w:trHeight w:val="270" w:hRule="atLeast"/>
        </w:trPr>
        <w:tc>
          <w:tcPr>
            <w:tcW w:w="231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3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印刷费</w:t>
            </w:r>
          </w:p>
        </w:tc>
        <w:tc>
          <w:tcPr>
            <w:tcW w:w="28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1.43</w:t>
            </w:r>
          </w:p>
        </w:tc>
      </w:tr>
      <w:tr>
        <w:tblPrEx>
          <w:tblLayout w:type="fixed"/>
          <w:tblCellMar>
            <w:top w:w="0" w:type="dxa"/>
            <w:left w:w="0" w:type="dxa"/>
            <w:bottom w:w="0" w:type="dxa"/>
            <w:right w:w="0" w:type="dxa"/>
          </w:tblCellMar>
        </w:tblPrEx>
        <w:trPr>
          <w:trHeight w:val="270" w:hRule="atLeast"/>
        </w:trPr>
        <w:tc>
          <w:tcPr>
            <w:tcW w:w="231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3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培训费</w:t>
            </w:r>
          </w:p>
        </w:tc>
        <w:tc>
          <w:tcPr>
            <w:tcW w:w="28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5.59</w:t>
            </w:r>
          </w:p>
        </w:tc>
      </w:tr>
      <w:tr>
        <w:tblPrEx>
          <w:tblLayout w:type="fixed"/>
          <w:tblCellMar>
            <w:top w:w="0" w:type="dxa"/>
            <w:left w:w="0" w:type="dxa"/>
            <w:bottom w:w="0" w:type="dxa"/>
            <w:right w:w="0" w:type="dxa"/>
          </w:tblCellMar>
        </w:tblPrEx>
        <w:trPr>
          <w:trHeight w:val="270" w:hRule="atLeast"/>
        </w:trPr>
        <w:tc>
          <w:tcPr>
            <w:tcW w:w="231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3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c>
          <w:tcPr>
            <w:tcW w:w="28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11.5</w:t>
            </w:r>
          </w:p>
        </w:tc>
      </w:tr>
      <w:tr>
        <w:tblPrEx>
          <w:tblLayout w:type="fixed"/>
          <w:tblCellMar>
            <w:top w:w="0" w:type="dxa"/>
            <w:left w:w="0" w:type="dxa"/>
            <w:bottom w:w="0" w:type="dxa"/>
            <w:right w:w="0" w:type="dxa"/>
          </w:tblCellMar>
        </w:tblPrEx>
        <w:trPr>
          <w:trHeight w:val="270" w:hRule="atLeast"/>
        </w:trPr>
        <w:tc>
          <w:tcPr>
            <w:tcW w:w="231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3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劳务费</w:t>
            </w:r>
          </w:p>
        </w:tc>
        <w:tc>
          <w:tcPr>
            <w:tcW w:w="2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2.54</w:t>
            </w:r>
          </w:p>
        </w:tc>
      </w:tr>
      <w:tr>
        <w:tblPrEx>
          <w:tblLayout w:type="fixed"/>
          <w:tblCellMar>
            <w:top w:w="0" w:type="dxa"/>
            <w:left w:w="0" w:type="dxa"/>
            <w:bottom w:w="0" w:type="dxa"/>
            <w:right w:w="0" w:type="dxa"/>
          </w:tblCellMar>
        </w:tblPrEx>
        <w:trPr>
          <w:trHeight w:val="270" w:hRule="atLeast"/>
        </w:trPr>
        <w:tc>
          <w:tcPr>
            <w:tcW w:w="231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3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委托</w:t>
            </w:r>
            <w:r>
              <w:rPr>
                <w:rFonts w:hint="eastAsia" w:ascii="宋体" w:hAnsi="宋体" w:cs="宋体"/>
                <w:i w:val="0"/>
                <w:color w:val="000000"/>
                <w:kern w:val="0"/>
                <w:sz w:val="22"/>
                <w:szCs w:val="22"/>
                <w:u w:val="none"/>
                <w:lang w:val="en-US" w:eastAsia="zh-CN" w:bidi="ar"/>
              </w:rPr>
              <w:t>业</w:t>
            </w:r>
            <w:r>
              <w:rPr>
                <w:rFonts w:hint="eastAsia" w:ascii="宋体" w:hAnsi="宋体" w:eastAsia="宋体" w:cs="宋体"/>
                <w:i w:val="0"/>
                <w:color w:val="000000"/>
                <w:kern w:val="0"/>
                <w:sz w:val="22"/>
                <w:szCs w:val="22"/>
                <w:u w:val="none"/>
                <w:lang w:val="en-US" w:eastAsia="zh-CN" w:bidi="ar"/>
              </w:rPr>
              <w:t>务费</w:t>
            </w:r>
          </w:p>
        </w:tc>
        <w:tc>
          <w:tcPr>
            <w:tcW w:w="2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3.52</w:t>
            </w:r>
          </w:p>
        </w:tc>
      </w:tr>
      <w:tr>
        <w:tblPrEx>
          <w:tblLayout w:type="fixed"/>
          <w:tblCellMar>
            <w:top w:w="0" w:type="dxa"/>
            <w:left w:w="0" w:type="dxa"/>
            <w:bottom w:w="0" w:type="dxa"/>
            <w:right w:w="0" w:type="dxa"/>
          </w:tblCellMar>
        </w:tblPrEx>
        <w:trPr>
          <w:trHeight w:val="270" w:hRule="atLeast"/>
        </w:trPr>
        <w:tc>
          <w:tcPr>
            <w:tcW w:w="231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3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工会经费</w:t>
            </w:r>
          </w:p>
        </w:tc>
        <w:tc>
          <w:tcPr>
            <w:tcW w:w="2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p>
        </w:tc>
      </w:tr>
      <w:tr>
        <w:tblPrEx>
          <w:tblLayout w:type="fixed"/>
          <w:tblCellMar>
            <w:top w:w="0" w:type="dxa"/>
            <w:left w:w="0" w:type="dxa"/>
            <w:bottom w:w="0" w:type="dxa"/>
            <w:right w:w="0" w:type="dxa"/>
          </w:tblCellMar>
        </w:tblPrEx>
        <w:trPr>
          <w:trHeight w:val="270" w:hRule="atLeast"/>
        </w:trPr>
        <w:tc>
          <w:tcPr>
            <w:tcW w:w="231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3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公务用车运行维护费</w:t>
            </w:r>
          </w:p>
        </w:tc>
        <w:tc>
          <w:tcPr>
            <w:tcW w:w="2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4.84</w:t>
            </w:r>
          </w:p>
        </w:tc>
      </w:tr>
      <w:tr>
        <w:tblPrEx>
          <w:tblLayout w:type="fixed"/>
          <w:tblCellMar>
            <w:top w:w="0" w:type="dxa"/>
            <w:left w:w="0" w:type="dxa"/>
            <w:bottom w:w="0" w:type="dxa"/>
            <w:right w:w="0" w:type="dxa"/>
          </w:tblCellMar>
        </w:tblPrEx>
        <w:trPr>
          <w:trHeight w:val="270" w:hRule="atLeast"/>
        </w:trPr>
        <w:tc>
          <w:tcPr>
            <w:tcW w:w="231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3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其他交通费用</w:t>
            </w:r>
          </w:p>
        </w:tc>
        <w:tc>
          <w:tcPr>
            <w:tcW w:w="2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10.49</w:t>
            </w:r>
          </w:p>
        </w:tc>
      </w:tr>
      <w:tr>
        <w:tblPrEx>
          <w:tblLayout w:type="fixed"/>
          <w:tblCellMar>
            <w:top w:w="0" w:type="dxa"/>
            <w:left w:w="0" w:type="dxa"/>
            <w:bottom w:w="0" w:type="dxa"/>
            <w:right w:w="0" w:type="dxa"/>
          </w:tblCellMar>
        </w:tblPrEx>
        <w:trPr>
          <w:trHeight w:val="270" w:hRule="atLeast"/>
        </w:trPr>
        <w:tc>
          <w:tcPr>
            <w:tcW w:w="2310"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3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其他商品与服务支出</w:t>
            </w:r>
          </w:p>
        </w:tc>
        <w:tc>
          <w:tcPr>
            <w:tcW w:w="2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70" w:hRule="atLeast"/>
        </w:trPr>
        <w:tc>
          <w:tcPr>
            <w:tcW w:w="546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2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294.34</w:t>
            </w:r>
          </w:p>
        </w:tc>
      </w:tr>
    </w:tbl>
    <w:p>
      <w:pPr>
        <w:keepNext w:val="0"/>
        <w:keepLines w:val="0"/>
        <w:pageBreakBefore w:val="0"/>
        <w:widowControl w:val="0"/>
        <w:tabs>
          <w:tab w:val="left" w:pos="3570"/>
        </w:tabs>
        <w:kinsoku/>
        <w:wordWrap/>
        <w:overflowPunct/>
        <w:topLinePunct w:val="0"/>
        <w:autoSpaceDE/>
        <w:autoSpaceDN/>
        <w:bidi w:val="0"/>
        <w:adjustRightInd/>
        <w:snapToGrid/>
        <w:spacing w:line="580" w:lineRule="exact"/>
        <w:ind w:firstLine="560" w:firstLineChars="200"/>
        <w:textAlignment w:val="auto"/>
        <w:rPr>
          <w:rFonts w:ascii="仿宋" w:hAnsi="仿宋" w:eastAsia="仿宋" w:cs="宋体"/>
          <w:color w:val="010101"/>
          <w:kern w:val="0"/>
          <w:sz w:val="28"/>
          <w:szCs w:val="28"/>
        </w:rPr>
      </w:pPr>
      <w:r>
        <w:rPr>
          <w:rFonts w:hint="eastAsia" w:ascii="仿宋" w:hAnsi="仿宋" w:eastAsia="仿宋" w:cs="宋体"/>
          <w:color w:val="010101"/>
          <w:kern w:val="0"/>
          <w:sz w:val="28"/>
          <w:szCs w:val="28"/>
        </w:rPr>
        <w:t>（二）项目支出</w:t>
      </w:r>
    </w:p>
    <w:p>
      <w:pPr>
        <w:keepNext w:val="0"/>
        <w:keepLines w:val="0"/>
        <w:pageBreakBefore w:val="0"/>
        <w:widowControl w:val="0"/>
        <w:kinsoku/>
        <w:wordWrap/>
        <w:overflowPunct/>
        <w:topLinePunct w:val="0"/>
        <w:autoSpaceDE/>
        <w:autoSpaceDN/>
        <w:bidi w:val="0"/>
        <w:adjustRightInd/>
        <w:snapToGrid/>
        <w:spacing w:line="580" w:lineRule="exact"/>
        <w:ind w:left="141" w:leftChars="67" w:firstLine="560" w:firstLineChars="200"/>
        <w:textAlignment w:val="auto"/>
        <w:rPr>
          <w:rFonts w:ascii="仿宋" w:hAnsi="仿宋" w:eastAsia="仿宋" w:cs="宋体"/>
          <w:color w:val="010101"/>
          <w:kern w:val="0"/>
          <w:sz w:val="28"/>
          <w:szCs w:val="28"/>
        </w:rPr>
      </w:pPr>
      <w:r>
        <w:rPr>
          <w:rFonts w:hint="eastAsia" w:ascii="仿宋" w:hAnsi="仿宋" w:eastAsia="仿宋" w:cs="宋体"/>
          <w:color w:val="010101"/>
          <w:kern w:val="0"/>
          <w:sz w:val="28"/>
          <w:szCs w:val="28"/>
          <w:lang w:val="en-US" w:eastAsia="zh-CN"/>
        </w:rPr>
        <w:t>项目</w:t>
      </w:r>
      <w:r>
        <w:rPr>
          <w:rFonts w:hint="eastAsia" w:ascii="仿宋" w:hAnsi="仿宋" w:eastAsia="仿宋" w:cs="宋体"/>
          <w:color w:val="010101"/>
          <w:kern w:val="0"/>
          <w:sz w:val="28"/>
          <w:szCs w:val="28"/>
        </w:rPr>
        <w:t>专项资金</w:t>
      </w:r>
      <w:r>
        <w:rPr>
          <w:rFonts w:hint="eastAsia" w:ascii="仿宋" w:hAnsi="仿宋" w:eastAsia="仿宋" w:cs="宋体"/>
          <w:color w:val="010101"/>
          <w:kern w:val="0"/>
          <w:sz w:val="28"/>
          <w:szCs w:val="28"/>
          <w:lang w:val="en-US" w:eastAsia="zh-CN"/>
        </w:rPr>
        <w:t>支出100.61</w:t>
      </w:r>
      <w:r>
        <w:rPr>
          <w:rFonts w:hint="eastAsia" w:ascii="仿宋" w:hAnsi="仿宋" w:eastAsia="仿宋" w:cs="宋体"/>
          <w:color w:val="010101"/>
          <w:kern w:val="0"/>
          <w:sz w:val="28"/>
          <w:szCs w:val="28"/>
        </w:rPr>
        <w:t>万元，审计项目有固定投资审计、财政审计等，具体使用情况如下：</w:t>
      </w:r>
    </w:p>
    <w:tbl>
      <w:tblPr>
        <w:tblStyle w:val="5"/>
        <w:tblW w:w="8333" w:type="dxa"/>
        <w:tblInd w:w="0" w:type="dxa"/>
        <w:shd w:val="clear" w:color="auto" w:fill="auto"/>
        <w:tblLayout w:type="fixed"/>
        <w:tblCellMar>
          <w:top w:w="0" w:type="dxa"/>
          <w:left w:w="0" w:type="dxa"/>
          <w:bottom w:w="0" w:type="dxa"/>
          <w:right w:w="0" w:type="dxa"/>
        </w:tblCellMar>
      </w:tblPr>
      <w:tblGrid>
        <w:gridCol w:w="2595"/>
        <w:gridCol w:w="3309"/>
        <w:gridCol w:w="2429"/>
      </w:tblGrid>
      <w:tr>
        <w:tblPrEx>
          <w:shd w:val="clear" w:color="auto" w:fill="auto"/>
          <w:tblLayout w:type="fixed"/>
          <w:tblCellMar>
            <w:top w:w="0" w:type="dxa"/>
            <w:left w:w="0" w:type="dxa"/>
            <w:bottom w:w="0" w:type="dxa"/>
            <w:right w:w="0" w:type="dxa"/>
          </w:tblCellMar>
        </w:tblPrEx>
        <w:trPr>
          <w:trHeight w:val="400" w:hRule="atLeast"/>
        </w:trPr>
        <w:tc>
          <w:tcPr>
            <w:tcW w:w="2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费用类型</w:t>
            </w:r>
          </w:p>
        </w:tc>
        <w:tc>
          <w:tcPr>
            <w:tcW w:w="33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 xml:space="preserve">费用名称 </w:t>
            </w:r>
          </w:p>
        </w:tc>
        <w:tc>
          <w:tcPr>
            <w:tcW w:w="24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金额（万元）</w:t>
            </w:r>
          </w:p>
        </w:tc>
      </w:tr>
      <w:tr>
        <w:tblPrEx>
          <w:tblLayout w:type="fixed"/>
          <w:tblCellMar>
            <w:top w:w="0" w:type="dxa"/>
            <w:left w:w="0" w:type="dxa"/>
            <w:bottom w:w="0" w:type="dxa"/>
            <w:right w:w="0" w:type="dxa"/>
          </w:tblCellMar>
        </w:tblPrEx>
        <w:trPr>
          <w:trHeight w:val="270" w:hRule="atLeast"/>
        </w:trPr>
        <w:tc>
          <w:tcPr>
            <w:tcW w:w="2595"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商品和服务支出</w:t>
            </w:r>
          </w:p>
        </w:tc>
        <w:tc>
          <w:tcPr>
            <w:tcW w:w="33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办公费</w:t>
            </w:r>
          </w:p>
        </w:tc>
        <w:tc>
          <w:tcPr>
            <w:tcW w:w="24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4.23</w:t>
            </w:r>
            <w:r>
              <w:rPr>
                <w:rFonts w:hint="eastAsia" w:ascii="宋体" w:hAnsi="宋体" w:eastAsia="宋体" w:cs="宋体"/>
                <w:i w:val="0"/>
                <w:color w:val="000000"/>
                <w:kern w:val="0"/>
                <w:sz w:val="22"/>
                <w:szCs w:val="22"/>
                <w:u w:val="none"/>
                <w:lang w:val="en-US" w:eastAsia="zh-CN" w:bidi="ar"/>
              </w:rPr>
              <w:t xml:space="preserve"> </w:t>
            </w:r>
          </w:p>
        </w:tc>
      </w:tr>
      <w:tr>
        <w:tblPrEx>
          <w:tblLayout w:type="fixed"/>
          <w:tblCellMar>
            <w:top w:w="0" w:type="dxa"/>
            <w:left w:w="0" w:type="dxa"/>
            <w:bottom w:w="0" w:type="dxa"/>
            <w:right w:w="0" w:type="dxa"/>
          </w:tblCellMar>
        </w:tblPrEx>
        <w:trPr>
          <w:trHeight w:val="270" w:hRule="atLeast"/>
        </w:trPr>
        <w:tc>
          <w:tcPr>
            <w:tcW w:w="25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33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印刷费</w:t>
            </w:r>
          </w:p>
        </w:tc>
        <w:tc>
          <w:tcPr>
            <w:tcW w:w="24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2.45</w:t>
            </w:r>
          </w:p>
        </w:tc>
      </w:tr>
      <w:tr>
        <w:tblPrEx>
          <w:tblLayout w:type="fixed"/>
          <w:tblCellMar>
            <w:top w:w="0" w:type="dxa"/>
            <w:left w:w="0" w:type="dxa"/>
            <w:bottom w:w="0" w:type="dxa"/>
            <w:right w:w="0" w:type="dxa"/>
          </w:tblCellMar>
        </w:tblPrEx>
        <w:trPr>
          <w:trHeight w:val="270" w:hRule="atLeast"/>
        </w:trPr>
        <w:tc>
          <w:tcPr>
            <w:tcW w:w="25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33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咨询费</w:t>
            </w:r>
          </w:p>
        </w:tc>
        <w:tc>
          <w:tcPr>
            <w:tcW w:w="24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0.7</w:t>
            </w:r>
            <w:r>
              <w:rPr>
                <w:rFonts w:hint="eastAsia" w:ascii="宋体" w:hAnsi="宋体" w:eastAsia="宋体" w:cs="宋体"/>
                <w:i w:val="0"/>
                <w:color w:val="000000"/>
                <w:kern w:val="0"/>
                <w:sz w:val="22"/>
                <w:szCs w:val="22"/>
                <w:u w:val="none"/>
                <w:lang w:val="en-US" w:eastAsia="zh-CN" w:bidi="ar"/>
              </w:rPr>
              <w:t xml:space="preserve"> </w:t>
            </w:r>
          </w:p>
        </w:tc>
      </w:tr>
      <w:tr>
        <w:tblPrEx>
          <w:tblLayout w:type="fixed"/>
          <w:tblCellMar>
            <w:top w:w="0" w:type="dxa"/>
            <w:left w:w="0" w:type="dxa"/>
            <w:bottom w:w="0" w:type="dxa"/>
            <w:right w:w="0" w:type="dxa"/>
          </w:tblCellMar>
        </w:tblPrEx>
        <w:trPr>
          <w:trHeight w:val="270" w:hRule="atLeast"/>
        </w:trPr>
        <w:tc>
          <w:tcPr>
            <w:tcW w:w="25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33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水费</w:t>
            </w:r>
          </w:p>
        </w:tc>
        <w:tc>
          <w:tcPr>
            <w:tcW w:w="24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0.3</w:t>
            </w:r>
          </w:p>
        </w:tc>
      </w:tr>
      <w:tr>
        <w:tblPrEx>
          <w:tblLayout w:type="fixed"/>
          <w:tblCellMar>
            <w:top w:w="0" w:type="dxa"/>
            <w:left w:w="0" w:type="dxa"/>
            <w:bottom w:w="0" w:type="dxa"/>
            <w:right w:w="0" w:type="dxa"/>
          </w:tblCellMar>
        </w:tblPrEx>
        <w:trPr>
          <w:trHeight w:val="270" w:hRule="atLeast"/>
        </w:trPr>
        <w:tc>
          <w:tcPr>
            <w:tcW w:w="25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33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电费</w:t>
            </w:r>
          </w:p>
        </w:tc>
        <w:tc>
          <w:tcPr>
            <w:tcW w:w="24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2.65</w:t>
            </w:r>
          </w:p>
        </w:tc>
      </w:tr>
      <w:tr>
        <w:tblPrEx>
          <w:tblLayout w:type="fixed"/>
          <w:tblCellMar>
            <w:top w:w="0" w:type="dxa"/>
            <w:left w:w="0" w:type="dxa"/>
            <w:bottom w:w="0" w:type="dxa"/>
            <w:right w:w="0" w:type="dxa"/>
          </w:tblCellMar>
        </w:tblPrEx>
        <w:trPr>
          <w:trHeight w:val="270" w:hRule="atLeast"/>
        </w:trPr>
        <w:tc>
          <w:tcPr>
            <w:tcW w:w="25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33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邮电费</w:t>
            </w:r>
          </w:p>
        </w:tc>
        <w:tc>
          <w:tcPr>
            <w:tcW w:w="24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0.81</w:t>
            </w:r>
          </w:p>
        </w:tc>
      </w:tr>
      <w:tr>
        <w:tblPrEx>
          <w:tblLayout w:type="fixed"/>
          <w:tblCellMar>
            <w:top w:w="0" w:type="dxa"/>
            <w:left w:w="0" w:type="dxa"/>
            <w:bottom w:w="0" w:type="dxa"/>
            <w:right w:w="0" w:type="dxa"/>
          </w:tblCellMar>
        </w:tblPrEx>
        <w:trPr>
          <w:trHeight w:val="270" w:hRule="atLeast"/>
        </w:trPr>
        <w:tc>
          <w:tcPr>
            <w:tcW w:w="25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33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物业管理费</w:t>
            </w:r>
          </w:p>
        </w:tc>
        <w:tc>
          <w:tcPr>
            <w:tcW w:w="24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10.89</w:t>
            </w:r>
          </w:p>
        </w:tc>
      </w:tr>
      <w:tr>
        <w:tblPrEx>
          <w:tblLayout w:type="fixed"/>
          <w:tblCellMar>
            <w:top w:w="0" w:type="dxa"/>
            <w:left w:w="0" w:type="dxa"/>
            <w:bottom w:w="0" w:type="dxa"/>
            <w:right w:w="0" w:type="dxa"/>
          </w:tblCellMar>
        </w:tblPrEx>
        <w:trPr>
          <w:trHeight w:val="270" w:hRule="atLeast"/>
        </w:trPr>
        <w:tc>
          <w:tcPr>
            <w:tcW w:w="25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33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差旅费</w:t>
            </w:r>
          </w:p>
        </w:tc>
        <w:tc>
          <w:tcPr>
            <w:tcW w:w="24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15.56</w:t>
            </w:r>
          </w:p>
        </w:tc>
      </w:tr>
      <w:tr>
        <w:tblPrEx>
          <w:tblLayout w:type="fixed"/>
          <w:tblCellMar>
            <w:top w:w="0" w:type="dxa"/>
            <w:left w:w="0" w:type="dxa"/>
            <w:bottom w:w="0" w:type="dxa"/>
            <w:right w:w="0" w:type="dxa"/>
          </w:tblCellMar>
        </w:tblPrEx>
        <w:trPr>
          <w:trHeight w:val="270" w:hRule="atLeast"/>
        </w:trPr>
        <w:tc>
          <w:tcPr>
            <w:tcW w:w="25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33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维护（修）费</w:t>
            </w:r>
          </w:p>
        </w:tc>
        <w:tc>
          <w:tcPr>
            <w:tcW w:w="24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0.66</w:t>
            </w:r>
          </w:p>
        </w:tc>
      </w:tr>
      <w:tr>
        <w:tblPrEx>
          <w:tblLayout w:type="fixed"/>
          <w:tblCellMar>
            <w:top w:w="0" w:type="dxa"/>
            <w:left w:w="0" w:type="dxa"/>
            <w:bottom w:w="0" w:type="dxa"/>
            <w:right w:w="0" w:type="dxa"/>
          </w:tblCellMar>
        </w:tblPrEx>
        <w:trPr>
          <w:trHeight w:val="270" w:hRule="atLeast"/>
        </w:trPr>
        <w:tc>
          <w:tcPr>
            <w:tcW w:w="25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33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tabs>
                <w:tab w:val="left" w:pos="2446"/>
              </w:tabs>
              <w:jc w:val="center"/>
              <w:textAlignment w:val="center"/>
              <w:rPr>
                <w:rFonts w:hint="default"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委托业务费</w:t>
            </w:r>
          </w:p>
        </w:tc>
        <w:tc>
          <w:tcPr>
            <w:tcW w:w="24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48.1</w:t>
            </w:r>
          </w:p>
        </w:tc>
      </w:tr>
      <w:tr>
        <w:tblPrEx>
          <w:tblLayout w:type="fixed"/>
          <w:tblCellMar>
            <w:top w:w="0" w:type="dxa"/>
            <w:left w:w="0" w:type="dxa"/>
            <w:bottom w:w="0" w:type="dxa"/>
            <w:right w:w="0" w:type="dxa"/>
          </w:tblCellMar>
        </w:tblPrEx>
        <w:trPr>
          <w:trHeight w:val="270" w:hRule="atLeast"/>
        </w:trPr>
        <w:tc>
          <w:tcPr>
            <w:tcW w:w="25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33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tabs>
                <w:tab w:val="left" w:pos="2446"/>
              </w:tabs>
              <w:jc w:val="center"/>
              <w:textAlignment w:val="center"/>
              <w:rPr>
                <w:rFonts w:hint="default"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工会经费</w:t>
            </w:r>
          </w:p>
        </w:tc>
        <w:tc>
          <w:tcPr>
            <w:tcW w:w="24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5.53</w:t>
            </w:r>
          </w:p>
        </w:tc>
      </w:tr>
      <w:tr>
        <w:tblPrEx>
          <w:tblLayout w:type="fixed"/>
          <w:tblCellMar>
            <w:top w:w="0" w:type="dxa"/>
            <w:left w:w="0" w:type="dxa"/>
            <w:bottom w:w="0" w:type="dxa"/>
            <w:right w:w="0" w:type="dxa"/>
          </w:tblCellMar>
        </w:tblPrEx>
        <w:trPr>
          <w:trHeight w:val="270" w:hRule="atLeast"/>
        </w:trPr>
        <w:tc>
          <w:tcPr>
            <w:tcW w:w="25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33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tabs>
                <w:tab w:val="left" w:pos="2446"/>
              </w:tabs>
              <w:jc w:val="center"/>
              <w:textAlignment w:val="center"/>
              <w:rPr>
                <w:rFonts w:hint="default"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福利费</w:t>
            </w:r>
          </w:p>
        </w:tc>
        <w:tc>
          <w:tcPr>
            <w:tcW w:w="24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6.14</w:t>
            </w:r>
          </w:p>
        </w:tc>
      </w:tr>
      <w:tr>
        <w:tblPrEx>
          <w:tblLayout w:type="fixed"/>
          <w:tblCellMar>
            <w:top w:w="0" w:type="dxa"/>
            <w:left w:w="0" w:type="dxa"/>
            <w:bottom w:w="0" w:type="dxa"/>
            <w:right w:w="0" w:type="dxa"/>
          </w:tblCellMar>
        </w:tblPrEx>
        <w:trPr>
          <w:trHeight w:val="270" w:hRule="atLeast"/>
        </w:trPr>
        <w:tc>
          <w:tcPr>
            <w:tcW w:w="25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33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劳务费</w:t>
            </w:r>
          </w:p>
        </w:tc>
        <w:tc>
          <w:tcPr>
            <w:tcW w:w="24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kern w:val="0"/>
                <w:sz w:val="22"/>
                <w:szCs w:val="22"/>
                <w:u w:val="none"/>
                <w:lang w:val="en-US" w:eastAsia="zh-CN" w:bidi="ar"/>
              </w:rPr>
            </w:pPr>
          </w:p>
        </w:tc>
      </w:tr>
      <w:tr>
        <w:tblPrEx>
          <w:tblLayout w:type="fixed"/>
          <w:tblCellMar>
            <w:top w:w="0" w:type="dxa"/>
            <w:left w:w="0" w:type="dxa"/>
            <w:bottom w:w="0" w:type="dxa"/>
            <w:right w:w="0" w:type="dxa"/>
          </w:tblCellMar>
        </w:tblPrEx>
        <w:trPr>
          <w:trHeight w:val="270" w:hRule="atLeast"/>
        </w:trPr>
        <w:tc>
          <w:tcPr>
            <w:tcW w:w="2595" w:type="dxa"/>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对个人和家庭的补助</w:t>
            </w:r>
          </w:p>
        </w:tc>
        <w:tc>
          <w:tcPr>
            <w:tcW w:w="33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生活补助</w:t>
            </w:r>
          </w:p>
        </w:tc>
        <w:tc>
          <w:tcPr>
            <w:tcW w:w="24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2.59</w:t>
            </w:r>
          </w:p>
        </w:tc>
      </w:tr>
      <w:tr>
        <w:tblPrEx>
          <w:tblLayout w:type="fixed"/>
          <w:tblCellMar>
            <w:top w:w="0" w:type="dxa"/>
            <w:left w:w="0" w:type="dxa"/>
            <w:bottom w:w="0" w:type="dxa"/>
            <w:right w:w="0" w:type="dxa"/>
          </w:tblCellMar>
        </w:tblPrEx>
        <w:trPr>
          <w:trHeight w:val="270" w:hRule="atLeast"/>
        </w:trPr>
        <w:tc>
          <w:tcPr>
            <w:tcW w:w="590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24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100.61</w:t>
            </w:r>
          </w:p>
        </w:tc>
      </w:tr>
    </w:tbl>
    <w:p>
      <w:pPr>
        <w:pStyle w:val="4"/>
        <w:widowControl/>
        <w:spacing w:before="0" w:beforeAutospacing="0" w:after="0" w:afterAutospacing="0"/>
        <w:ind w:right="11" w:firstLine="600" w:firstLineChars="200"/>
        <w:rPr>
          <w:rFonts w:hint="eastAsia" w:ascii="宋体" w:hAnsi="宋体"/>
          <w:color w:val="010101"/>
          <w:sz w:val="30"/>
          <w:szCs w:val="30"/>
        </w:rPr>
      </w:pPr>
      <w:r>
        <w:rPr>
          <w:rFonts w:hint="eastAsia" w:ascii="宋体" w:hAnsi="宋体"/>
          <w:color w:val="010101"/>
          <w:sz w:val="30"/>
          <w:szCs w:val="30"/>
          <w:lang w:eastAsia="zh-CN"/>
        </w:rPr>
        <w:t>20</w:t>
      </w:r>
      <w:r>
        <w:rPr>
          <w:rFonts w:hint="eastAsia" w:ascii="宋体" w:hAnsi="宋体"/>
          <w:color w:val="010101"/>
          <w:sz w:val="30"/>
          <w:szCs w:val="30"/>
          <w:lang w:val="en-US" w:eastAsia="zh-CN"/>
        </w:rPr>
        <w:t>20</w:t>
      </w:r>
      <w:r>
        <w:rPr>
          <w:rFonts w:hint="eastAsia" w:ascii="宋体" w:hAnsi="宋体"/>
          <w:color w:val="010101"/>
          <w:sz w:val="30"/>
          <w:szCs w:val="30"/>
        </w:rPr>
        <w:t>年为更好地贯彻落实中央厉行节约的有关规定，财务管理不断加强，年度内“三公”经费预算</w:t>
      </w:r>
      <w:r>
        <w:rPr>
          <w:rFonts w:hint="eastAsia" w:ascii="宋体" w:hAnsi="宋体"/>
          <w:color w:val="010101"/>
          <w:sz w:val="30"/>
          <w:szCs w:val="30"/>
          <w:lang w:val="en-US" w:eastAsia="zh-CN"/>
        </w:rPr>
        <w:t>16.66</w:t>
      </w:r>
      <w:r>
        <w:rPr>
          <w:rFonts w:hint="eastAsia" w:ascii="宋体" w:hAnsi="宋体"/>
          <w:color w:val="010101"/>
          <w:sz w:val="30"/>
          <w:szCs w:val="30"/>
        </w:rPr>
        <w:t>万元，</w:t>
      </w:r>
      <w:r>
        <w:rPr>
          <w:rFonts w:hint="eastAsia" w:ascii="宋体" w:hAnsi="宋体"/>
          <w:color w:val="010101"/>
          <w:sz w:val="30"/>
          <w:szCs w:val="30"/>
          <w:lang w:eastAsia="zh-CN"/>
        </w:rPr>
        <w:t>20</w:t>
      </w:r>
      <w:r>
        <w:rPr>
          <w:rFonts w:hint="eastAsia" w:ascii="宋体" w:hAnsi="宋体"/>
          <w:color w:val="010101"/>
          <w:sz w:val="30"/>
          <w:szCs w:val="30"/>
          <w:lang w:val="en-US" w:eastAsia="zh-CN"/>
        </w:rPr>
        <w:t>20</w:t>
      </w:r>
      <w:r>
        <w:rPr>
          <w:rFonts w:hint="eastAsia" w:ascii="宋体" w:hAnsi="宋体"/>
          <w:color w:val="010101"/>
          <w:sz w:val="30"/>
          <w:szCs w:val="30"/>
        </w:rPr>
        <w:t>年实际支出是</w:t>
      </w:r>
      <w:r>
        <w:rPr>
          <w:rFonts w:hint="eastAsia" w:ascii="宋体" w:hAnsi="宋体"/>
          <w:color w:val="010101"/>
          <w:sz w:val="30"/>
          <w:szCs w:val="30"/>
          <w:lang w:val="en-US" w:eastAsia="zh-CN"/>
        </w:rPr>
        <w:t>16.34</w:t>
      </w:r>
      <w:r>
        <w:rPr>
          <w:rFonts w:hint="eastAsia" w:ascii="宋体" w:hAnsi="宋体"/>
          <w:color w:val="010101"/>
          <w:sz w:val="30"/>
          <w:szCs w:val="30"/>
        </w:rPr>
        <w:t>万元，实际支出较201</w:t>
      </w:r>
      <w:r>
        <w:rPr>
          <w:rFonts w:hint="eastAsia" w:ascii="宋体" w:hAnsi="宋体"/>
          <w:color w:val="010101"/>
          <w:sz w:val="30"/>
          <w:szCs w:val="30"/>
          <w:lang w:val="en-US" w:eastAsia="zh-CN"/>
        </w:rPr>
        <w:t>9年减少了0.02</w:t>
      </w:r>
      <w:r>
        <w:rPr>
          <w:rFonts w:hint="eastAsia" w:ascii="宋体" w:hAnsi="宋体"/>
          <w:color w:val="010101"/>
          <w:sz w:val="30"/>
          <w:szCs w:val="30"/>
        </w:rPr>
        <w:t>万元，实际支出与预算支出较减少了</w:t>
      </w:r>
      <w:r>
        <w:rPr>
          <w:rFonts w:hint="eastAsia" w:ascii="宋体" w:hAnsi="宋体"/>
          <w:color w:val="010101"/>
          <w:sz w:val="30"/>
          <w:szCs w:val="30"/>
          <w:lang w:val="en-US" w:eastAsia="zh-CN"/>
        </w:rPr>
        <w:t>0.32</w:t>
      </w:r>
      <w:r>
        <w:rPr>
          <w:rFonts w:hint="eastAsia" w:ascii="宋体" w:hAnsi="宋体"/>
          <w:color w:val="010101"/>
          <w:sz w:val="30"/>
          <w:szCs w:val="30"/>
        </w:rPr>
        <w:t>万元， “三公”经费得到有效控制，实现了有效压减。</w:t>
      </w:r>
    </w:p>
    <w:p>
      <w:pPr>
        <w:pStyle w:val="4"/>
        <w:widowControl/>
        <w:spacing w:before="0" w:beforeAutospacing="0" w:after="0" w:afterAutospacing="0"/>
        <w:ind w:right="11" w:firstLine="602" w:firstLineChars="200"/>
        <w:rPr>
          <w:rFonts w:hint="eastAsia" w:ascii="宋体" w:hAnsi="宋体"/>
          <w:b/>
          <w:bCs/>
          <w:color w:val="010101"/>
          <w:sz w:val="30"/>
          <w:szCs w:val="30"/>
        </w:rPr>
      </w:pPr>
      <w:r>
        <w:rPr>
          <w:rFonts w:hint="eastAsia" w:ascii="宋体" w:hAnsi="宋体"/>
          <w:b/>
          <w:bCs/>
          <w:color w:val="010101"/>
          <w:sz w:val="30"/>
          <w:szCs w:val="30"/>
          <w:lang w:eastAsia="zh-CN"/>
        </w:rPr>
        <w:t>三、</w:t>
      </w:r>
      <w:r>
        <w:rPr>
          <w:rFonts w:hint="eastAsia" w:ascii="宋体" w:hAnsi="宋体"/>
          <w:b/>
          <w:bCs/>
          <w:color w:val="010101"/>
          <w:sz w:val="30"/>
          <w:szCs w:val="30"/>
        </w:rPr>
        <w:t>政府性基金预算支出情况</w:t>
      </w:r>
    </w:p>
    <w:p>
      <w:pPr>
        <w:numPr>
          <w:ilvl w:val="0"/>
          <w:numId w:val="0"/>
        </w:numPr>
        <w:ind w:left="901" w:leftChars="0" w:right="11" w:rightChars="0"/>
        <w:rPr>
          <w:rFonts w:hint="eastAsia" w:ascii="宋体" w:hAnsi="宋体"/>
          <w:b/>
          <w:bCs/>
          <w:color w:val="010101"/>
          <w:sz w:val="30"/>
          <w:szCs w:val="30"/>
          <w:lang w:val="en-US" w:eastAsia="zh-CN"/>
        </w:rPr>
      </w:pPr>
      <w:r>
        <w:rPr>
          <w:rFonts w:hint="eastAsia" w:ascii="宋体" w:hAnsi="宋体"/>
          <w:b w:val="0"/>
          <w:bCs w:val="0"/>
          <w:color w:val="010101"/>
          <w:sz w:val="30"/>
          <w:szCs w:val="30"/>
          <w:lang w:val="en-US" w:eastAsia="zh-CN"/>
        </w:rPr>
        <w:t>道县审计局2020年无政府性基金预算。</w:t>
      </w:r>
    </w:p>
    <w:p>
      <w:pPr>
        <w:numPr>
          <w:ilvl w:val="0"/>
          <w:numId w:val="0"/>
        </w:numPr>
        <w:ind w:right="11" w:rightChars="0" w:firstLine="602" w:firstLineChars="200"/>
        <w:rPr>
          <w:rFonts w:hint="default" w:ascii="宋体" w:hAnsi="宋体"/>
          <w:b/>
          <w:bCs/>
          <w:color w:val="010101"/>
          <w:sz w:val="30"/>
          <w:szCs w:val="30"/>
          <w:lang w:val="en-US" w:eastAsia="zh-CN"/>
        </w:rPr>
      </w:pPr>
      <w:r>
        <w:rPr>
          <w:rFonts w:hint="eastAsia" w:ascii="宋体" w:hAnsi="宋体"/>
          <w:b/>
          <w:bCs/>
          <w:color w:val="010101"/>
          <w:sz w:val="30"/>
          <w:szCs w:val="30"/>
          <w:lang w:val="en-US" w:eastAsia="zh-CN"/>
        </w:rPr>
        <w:t>四、</w:t>
      </w:r>
      <w:r>
        <w:rPr>
          <w:rFonts w:hint="default" w:ascii="宋体" w:hAnsi="宋体"/>
          <w:b/>
          <w:bCs/>
          <w:color w:val="010101"/>
          <w:sz w:val="30"/>
          <w:szCs w:val="30"/>
          <w:lang w:val="en-US" w:eastAsia="zh-CN"/>
        </w:rPr>
        <w:t>国有资本经营预算支出情况</w:t>
      </w:r>
    </w:p>
    <w:p>
      <w:pPr>
        <w:numPr>
          <w:ilvl w:val="0"/>
          <w:numId w:val="0"/>
        </w:numPr>
        <w:ind w:left="901" w:leftChars="0" w:right="11" w:rightChars="0"/>
        <w:rPr>
          <w:rFonts w:hint="eastAsia" w:ascii="宋体" w:hAnsi="宋体"/>
          <w:b w:val="0"/>
          <w:bCs w:val="0"/>
          <w:color w:val="010101"/>
          <w:sz w:val="30"/>
          <w:szCs w:val="30"/>
          <w:lang w:val="en-US" w:eastAsia="zh-CN"/>
        </w:rPr>
      </w:pPr>
      <w:r>
        <w:rPr>
          <w:rFonts w:hint="eastAsia" w:ascii="宋体" w:hAnsi="宋体"/>
          <w:b w:val="0"/>
          <w:bCs w:val="0"/>
          <w:color w:val="010101"/>
          <w:sz w:val="30"/>
          <w:szCs w:val="30"/>
          <w:lang w:val="en-US" w:eastAsia="zh-CN"/>
        </w:rPr>
        <w:t>道县审计局2020年无国有资本经营预算支出。</w:t>
      </w:r>
    </w:p>
    <w:p>
      <w:pPr>
        <w:numPr>
          <w:ilvl w:val="0"/>
          <w:numId w:val="0"/>
        </w:numPr>
        <w:ind w:right="11" w:rightChars="0" w:firstLine="602" w:firstLineChars="200"/>
        <w:rPr>
          <w:rFonts w:hint="default" w:ascii="宋体" w:hAnsi="宋体"/>
          <w:b/>
          <w:color w:val="010101"/>
          <w:sz w:val="30"/>
          <w:szCs w:val="30"/>
          <w:lang w:val="en-US" w:eastAsia="zh-CN"/>
        </w:rPr>
      </w:pPr>
      <w:r>
        <w:rPr>
          <w:rFonts w:hint="eastAsia" w:ascii="宋体" w:hAnsi="宋体"/>
          <w:b/>
          <w:bCs/>
          <w:color w:val="010101"/>
          <w:sz w:val="30"/>
          <w:szCs w:val="30"/>
          <w:lang w:val="en-US" w:eastAsia="zh-CN"/>
        </w:rPr>
        <w:t>五</w:t>
      </w:r>
      <w:r>
        <w:rPr>
          <w:rFonts w:hint="eastAsia" w:ascii="宋体" w:hAnsi="宋体"/>
          <w:b w:val="0"/>
          <w:bCs/>
          <w:color w:val="010101"/>
          <w:sz w:val="30"/>
          <w:szCs w:val="30"/>
          <w:lang w:val="en-US" w:eastAsia="zh-CN"/>
        </w:rPr>
        <w:t>、</w:t>
      </w:r>
      <w:r>
        <w:rPr>
          <w:rFonts w:hint="default" w:ascii="宋体" w:hAnsi="宋体"/>
          <w:b/>
          <w:color w:val="010101"/>
          <w:sz w:val="30"/>
          <w:szCs w:val="30"/>
          <w:lang w:val="en-US" w:eastAsia="zh-CN"/>
        </w:rPr>
        <w:t>社会保险基金预算支出情况</w:t>
      </w:r>
    </w:p>
    <w:p>
      <w:pPr>
        <w:numPr>
          <w:ilvl w:val="0"/>
          <w:numId w:val="0"/>
        </w:numPr>
        <w:ind w:left="901" w:leftChars="0" w:right="11" w:rightChars="0"/>
        <w:rPr>
          <w:rFonts w:hint="default" w:ascii="宋体" w:hAnsi="宋体"/>
          <w:b w:val="0"/>
          <w:bCs/>
          <w:color w:val="010101"/>
          <w:sz w:val="30"/>
          <w:szCs w:val="30"/>
          <w:lang w:val="en-US" w:eastAsia="zh-CN"/>
        </w:rPr>
      </w:pPr>
      <w:r>
        <w:rPr>
          <w:rFonts w:hint="eastAsia" w:ascii="宋体" w:hAnsi="宋体"/>
          <w:b w:val="0"/>
          <w:bCs/>
          <w:color w:val="010101"/>
          <w:sz w:val="30"/>
          <w:szCs w:val="30"/>
          <w:lang w:val="en-US" w:eastAsia="zh-CN"/>
        </w:rPr>
        <w:t>道县审计局</w:t>
      </w:r>
      <w:r>
        <w:rPr>
          <w:rFonts w:hint="default" w:ascii="宋体" w:hAnsi="宋体"/>
          <w:b w:val="0"/>
          <w:bCs/>
          <w:color w:val="010101"/>
          <w:sz w:val="30"/>
          <w:szCs w:val="30"/>
          <w:lang w:val="en-US" w:eastAsia="zh-CN"/>
        </w:rPr>
        <w:t>2020年无社会保险基金预算支出。</w:t>
      </w:r>
    </w:p>
    <w:p>
      <w:pPr>
        <w:ind w:right="11" w:firstLine="602" w:firstLineChars="200"/>
        <w:rPr>
          <w:rFonts w:ascii="宋体" w:hAnsi="宋体"/>
          <w:b/>
          <w:color w:val="010101"/>
          <w:sz w:val="30"/>
          <w:szCs w:val="30"/>
        </w:rPr>
      </w:pPr>
      <w:r>
        <w:rPr>
          <w:rFonts w:hint="eastAsia" w:ascii="宋体" w:hAnsi="宋体"/>
          <w:b/>
          <w:color w:val="010101"/>
          <w:sz w:val="30"/>
          <w:szCs w:val="30"/>
          <w:lang w:eastAsia="zh-CN"/>
        </w:rPr>
        <w:t>六</w:t>
      </w:r>
      <w:r>
        <w:rPr>
          <w:rFonts w:hint="eastAsia" w:ascii="宋体" w:hAnsi="宋体"/>
          <w:b/>
          <w:color w:val="010101"/>
          <w:sz w:val="30"/>
          <w:szCs w:val="30"/>
        </w:rPr>
        <w:t>、部门整体支出绩效情况</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color w:val="000000"/>
          <w:sz w:val="32"/>
          <w:szCs w:val="32"/>
          <w:highlight w:val="none"/>
          <w:lang w:val="en-US" w:eastAsia="zh-CN"/>
        </w:rPr>
        <w:t>2020年，道县审计局共开展审计项目32个，审计项目实施都已接近尾声，进入审计整改阶段。其中财政财务审计8个；领导干部经济责任审计6个；政府投资审计15个；其他专项审计3个，审计涉及资金50多亿元。我局</w:t>
      </w:r>
      <w:r>
        <w:rPr>
          <w:rFonts w:hint="eastAsia" w:ascii="仿宋_GB2312" w:hAnsi="仿宋_GB2312" w:eastAsia="仿宋_GB2312" w:cs="仿宋_GB2312"/>
          <w:b w:val="0"/>
          <w:bCs w:val="0"/>
          <w:color w:val="000000"/>
          <w:sz w:val="32"/>
          <w:szCs w:val="32"/>
          <w:lang w:val="en-US" w:eastAsia="zh-CN"/>
        </w:rPr>
        <w:t>组织实施的</w:t>
      </w:r>
      <w:r>
        <w:rPr>
          <w:rFonts w:hint="eastAsia" w:ascii="仿宋_GB2312" w:hAnsi="仿宋_GB2312" w:eastAsia="仿宋_GB2312" w:cs="仿宋_GB2312"/>
          <w:color w:val="000000"/>
          <w:sz w:val="32"/>
          <w:szCs w:val="32"/>
        </w:rPr>
        <w:t>“道县</w:t>
      </w:r>
      <w:r>
        <w:rPr>
          <w:rFonts w:hint="eastAsia" w:ascii="仿宋_GB2312" w:hAnsi="仿宋_GB2312" w:eastAsia="仿宋_GB2312" w:cs="仿宋_GB2312"/>
          <w:color w:val="000000"/>
          <w:sz w:val="32"/>
          <w:szCs w:val="32"/>
          <w:lang w:val="en-US" w:eastAsia="zh-CN"/>
        </w:rPr>
        <w:t>2018年度财政预算执行及其他财政收支情况</w:t>
      </w:r>
      <w:r>
        <w:rPr>
          <w:rFonts w:hint="eastAsia" w:ascii="仿宋_GB2312" w:hAnsi="仿宋_GB2312" w:eastAsia="仿宋_GB2312" w:cs="仿宋_GB2312"/>
          <w:color w:val="000000"/>
          <w:sz w:val="32"/>
          <w:szCs w:val="32"/>
        </w:rPr>
        <w:t>审计项目”被评为</w:t>
      </w:r>
      <w:r>
        <w:rPr>
          <w:rFonts w:hint="eastAsia" w:ascii="仿宋_GB2312" w:hAnsi="仿宋_GB2312" w:eastAsia="仿宋_GB2312" w:cs="仿宋_GB2312"/>
          <w:color w:val="000000"/>
          <w:sz w:val="32"/>
          <w:szCs w:val="32"/>
          <w:lang w:val="en-US" w:eastAsia="zh-CN"/>
        </w:rPr>
        <w:t>2020年</w:t>
      </w:r>
      <w:r>
        <w:rPr>
          <w:rFonts w:hint="eastAsia" w:ascii="仿宋_GB2312" w:hAnsi="仿宋_GB2312" w:eastAsia="仿宋_GB2312" w:cs="仿宋_GB2312"/>
          <w:color w:val="000000"/>
          <w:sz w:val="32"/>
          <w:szCs w:val="32"/>
        </w:rPr>
        <w:t>全省</w:t>
      </w:r>
      <w:r>
        <w:rPr>
          <w:rFonts w:hint="eastAsia" w:ascii="仿宋_GB2312" w:hAnsi="仿宋_GB2312" w:eastAsia="仿宋_GB2312" w:cs="仿宋_GB2312"/>
          <w:color w:val="000000"/>
          <w:sz w:val="32"/>
          <w:szCs w:val="32"/>
          <w:lang w:val="en-US" w:eastAsia="zh-CN"/>
        </w:rPr>
        <w:t>优秀审计项目二等奖及2020年全市优秀审计项目一等奖</w:t>
      </w:r>
      <w:r>
        <w:rPr>
          <w:rFonts w:hint="eastAsia" w:ascii="仿宋_GB2312" w:hAnsi="仿宋_GB2312" w:eastAsia="仿宋_GB2312" w:cs="仿宋_GB2312"/>
          <w:b w:val="0"/>
          <w:bCs w:val="0"/>
          <w:color w:val="00000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00" w:firstLineChars="200"/>
        <w:textAlignment w:val="auto"/>
        <w:outlineLvl w:val="9"/>
        <w:rPr>
          <w:rFonts w:hint="eastAsia" w:ascii="黑体" w:hAnsi="黑体" w:eastAsia="黑体" w:cs="黑体"/>
          <w:sz w:val="30"/>
          <w:szCs w:val="30"/>
          <w:lang w:eastAsia="zh-CN"/>
        </w:rPr>
      </w:pPr>
      <w:r>
        <w:rPr>
          <w:rFonts w:hint="eastAsia" w:ascii="黑体" w:hAnsi="黑体" w:eastAsia="黑体" w:cs="黑体"/>
          <w:sz w:val="30"/>
          <w:szCs w:val="30"/>
          <w:lang w:val="en-US" w:eastAsia="zh-CN"/>
        </w:rPr>
        <w:t>二、</w:t>
      </w:r>
      <w:r>
        <w:rPr>
          <w:rFonts w:hint="eastAsia" w:ascii="黑体" w:hAnsi="黑体" w:eastAsia="黑体" w:cs="黑体"/>
          <w:sz w:val="30"/>
          <w:szCs w:val="30"/>
        </w:rPr>
        <w:t>围绕中心，</w:t>
      </w:r>
      <w:r>
        <w:rPr>
          <w:rFonts w:hint="eastAsia" w:ascii="黑体" w:hAnsi="黑体" w:eastAsia="黑体" w:cs="黑体"/>
          <w:sz w:val="30"/>
          <w:szCs w:val="30"/>
          <w:lang w:val="en-US" w:eastAsia="zh-CN"/>
        </w:rPr>
        <w:t>履职尽责</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宋体" w:eastAsia="仿宋_GB2312"/>
          <w:kern w:val="2"/>
          <w:sz w:val="32"/>
          <w:szCs w:val="32"/>
          <w:lang w:val="en-US" w:eastAsia="zh-CN" w:bidi="ar-SA"/>
        </w:rPr>
        <w:t>审计机关紧紧围绕县委县政府产业强县战略部署，</w:t>
      </w:r>
      <w:r>
        <w:rPr>
          <w:rFonts w:hint="eastAsia" w:ascii="仿宋_GB2312" w:hAnsi="仿宋_GB2312" w:eastAsia="仿宋_GB2312" w:cs="仿宋_GB2312"/>
          <w:i w:val="0"/>
          <w:caps w:val="0"/>
          <w:color w:val="000000" w:themeColor="text1"/>
          <w:spacing w:val="0"/>
          <w:sz w:val="32"/>
          <w:szCs w:val="32"/>
          <w:shd w:val="clear" w:color="070000" w:fill="FFFFFF"/>
          <w14:textFill>
            <w14:solidFill>
              <w14:schemeClr w14:val="tx1"/>
            </w14:solidFill>
          </w14:textFill>
        </w:rPr>
        <w:t>围绕打好“三大攻坚战”总体工作思路</w:t>
      </w:r>
      <w:r>
        <w:rPr>
          <w:rFonts w:hint="eastAsia" w:ascii="仿宋_GB2312" w:hAnsi="仿宋_GB2312" w:eastAsia="仿宋_GB2312" w:cs="仿宋_GB2312"/>
          <w:i w:val="0"/>
          <w:caps w:val="0"/>
          <w:color w:val="000000" w:themeColor="text1"/>
          <w:spacing w:val="0"/>
          <w:sz w:val="32"/>
          <w:szCs w:val="32"/>
          <w:shd w:val="clear" w:color="070000" w:fill="FFFFFF"/>
          <w:lang w:eastAsia="zh-CN"/>
          <w14:textFill>
            <w14:solidFill>
              <w14:schemeClr w14:val="tx1"/>
            </w14:solidFill>
          </w14:textFill>
        </w:rPr>
        <w:t>，</w:t>
      </w:r>
      <w:r>
        <w:rPr>
          <w:rFonts w:hint="eastAsia" w:ascii="仿宋_GB2312" w:hAnsi="宋体" w:eastAsia="仿宋_GB2312"/>
          <w:kern w:val="2"/>
          <w:sz w:val="32"/>
          <w:szCs w:val="32"/>
          <w:lang w:val="en-US" w:eastAsia="zh-CN" w:bidi="ar-SA"/>
        </w:rPr>
        <w:t>突出“七大战役”和文明创建工作重点，</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认真</w:t>
      </w:r>
      <w:r>
        <w:rPr>
          <w:rFonts w:hint="eastAsia" w:ascii="仿宋_GB2312" w:hAnsi="仿宋_GB2312" w:eastAsia="仿宋_GB2312" w:cs="仿宋_GB2312"/>
          <w:b w:val="0"/>
          <w:bCs w:val="0"/>
          <w:color w:val="000000"/>
          <w:sz w:val="32"/>
          <w:szCs w:val="32"/>
          <w:lang w:val="en-US" w:eastAsia="zh-CN"/>
        </w:rPr>
        <w:t>履行审计工作职责，</w:t>
      </w:r>
      <w:r>
        <w:rPr>
          <w:rFonts w:hint="eastAsia" w:ascii="仿宋_GB2312" w:hAnsi="宋体" w:eastAsia="仿宋_GB2312"/>
          <w:kern w:val="2"/>
          <w:sz w:val="32"/>
          <w:szCs w:val="32"/>
          <w:lang w:val="en-US" w:eastAsia="zh-CN" w:bidi="ar-SA"/>
        </w:rPr>
        <w:t>重点对稳增长、促改革、调结构、惠民生、防风险等政策措施落实情况，以及公共资金、国有资产、国有资源、财政预算执行、领导干部经济责任及自然资源资产离任审计情况进行审计</w:t>
      </w:r>
      <w:r>
        <w:rPr>
          <w:rFonts w:hint="eastAsia" w:ascii="仿宋_GB2312" w:hAnsi="仿宋_GB2312" w:eastAsia="仿宋_GB2312" w:cs="仿宋_GB2312"/>
          <w:kern w:val="2"/>
          <w:sz w:val="32"/>
          <w:szCs w:val="32"/>
          <w:lang w:val="en-US" w:eastAsia="zh-CN" w:bidi="ar-SA"/>
        </w:rPr>
        <w:t>，同时</w:t>
      </w:r>
      <w:r>
        <w:rPr>
          <w:rFonts w:hint="eastAsia" w:ascii="仿宋_GB2312" w:hAnsi="仿宋_GB2312" w:eastAsia="仿宋_GB2312" w:cs="仿宋_GB2312"/>
          <w:color w:val="000000"/>
          <w:kern w:val="0"/>
          <w:sz w:val="32"/>
          <w:szCs w:val="32"/>
          <w:shd w:val="clear" w:fill="FFFFFF"/>
          <w:lang w:val="en-US" w:eastAsia="zh-CN" w:bidi="ar"/>
        </w:rPr>
        <w:t>将疫情防控专项资金、捐赠款物和各项政策落实跟踪审计作为重大政治任务，坚决扛起政治责任，</w:t>
      </w:r>
      <w:r>
        <w:rPr>
          <w:rFonts w:hint="eastAsia" w:ascii="仿宋_GB2312" w:hAnsi="仿宋_GB2312" w:eastAsia="仿宋_GB2312" w:cs="仿宋_GB2312"/>
          <w:b w:val="0"/>
          <w:bCs w:val="0"/>
          <w:color w:val="000000"/>
          <w:sz w:val="32"/>
          <w:szCs w:val="32"/>
          <w:lang w:val="en-US" w:eastAsia="zh-CN"/>
        </w:rPr>
        <w:t>为服务全县经济社会健康发展发挥好审计作用。</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color w:val="000000"/>
          <w:sz w:val="32"/>
          <w:szCs w:val="32"/>
        </w:rPr>
      </w:pPr>
      <w:r>
        <w:rPr>
          <w:rFonts w:hint="eastAsia" w:ascii="楷体" w:hAnsi="楷体" w:eastAsia="楷体" w:cs="楷体"/>
          <w:b/>
          <w:bCs/>
          <w:color w:val="000000"/>
          <w:sz w:val="32"/>
          <w:szCs w:val="32"/>
        </w:rPr>
        <w:t>（一）</w:t>
      </w:r>
      <w:r>
        <w:rPr>
          <w:rFonts w:hint="eastAsia" w:ascii="楷体" w:hAnsi="楷体" w:eastAsia="楷体" w:cs="楷体"/>
          <w:b/>
          <w:bCs/>
          <w:color w:val="000000"/>
          <w:sz w:val="32"/>
          <w:szCs w:val="32"/>
          <w:lang w:eastAsia="zh-CN"/>
        </w:rPr>
        <w:t>全力实施</w:t>
      </w:r>
      <w:r>
        <w:rPr>
          <w:rFonts w:hint="eastAsia" w:ascii="楷体" w:hAnsi="楷体" w:eastAsia="楷体" w:cs="楷体"/>
          <w:b/>
          <w:bCs/>
          <w:color w:val="000000"/>
          <w:sz w:val="32"/>
          <w:szCs w:val="32"/>
        </w:rPr>
        <w:t>预算执行审计。</w:t>
      </w:r>
      <w:r>
        <w:rPr>
          <w:rFonts w:hint="eastAsia" w:ascii="仿宋_GB2312" w:hAnsi="仿宋_GB2312" w:eastAsia="仿宋_GB2312" w:cs="仿宋_GB2312"/>
          <w:color w:val="000000"/>
          <w:sz w:val="32"/>
          <w:szCs w:val="32"/>
          <w:lang w:val="en-US" w:eastAsia="zh-CN"/>
        </w:rPr>
        <w:t>我局</w:t>
      </w:r>
      <w:r>
        <w:rPr>
          <w:rFonts w:hint="eastAsia" w:ascii="仿宋_GB2312" w:hAnsi="仿宋_GB2312" w:eastAsia="仿宋_GB2312" w:cs="仿宋_GB2312"/>
          <w:color w:val="000000"/>
          <w:sz w:val="32"/>
          <w:szCs w:val="32"/>
        </w:rPr>
        <w:t>组织</w:t>
      </w:r>
      <w:r>
        <w:rPr>
          <w:rFonts w:hint="eastAsia" w:ascii="仿宋_GB2312" w:hAnsi="仿宋_GB2312" w:eastAsia="仿宋_GB2312" w:cs="仿宋_GB2312"/>
          <w:color w:val="000000"/>
          <w:sz w:val="32"/>
          <w:szCs w:val="32"/>
          <w:lang w:eastAsia="zh-CN"/>
        </w:rPr>
        <w:t>精干</w:t>
      </w:r>
      <w:r>
        <w:rPr>
          <w:rFonts w:hint="eastAsia" w:ascii="仿宋_GB2312" w:hAnsi="仿宋_GB2312" w:eastAsia="仿宋_GB2312" w:cs="仿宋_GB2312"/>
          <w:color w:val="000000"/>
          <w:sz w:val="32"/>
          <w:szCs w:val="32"/>
        </w:rPr>
        <w:t>力量，全面有序开展了对县本级预算执行情况及其他财政收支情况审计，延伸审计了县</w:t>
      </w:r>
      <w:r>
        <w:rPr>
          <w:rFonts w:hint="eastAsia" w:ascii="仿宋_GB2312" w:hAnsi="仿宋_GB2312" w:eastAsia="仿宋_GB2312" w:cs="仿宋_GB2312"/>
          <w:color w:val="000000"/>
          <w:sz w:val="32"/>
          <w:szCs w:val="32"/>
          <w:lang w:val="en-US" w:eastAsia="zh-CN"/>
        </w:rPr>
        <w:t>交通</w:t>
      </w:r>
      <w:r>
        <w:rPr>
          <w:rFonts w:hint="eastAsia" w:ascii="仿宋_GB2312" w:hAnsi="仿宋_GB2312" w:eastAsia="仿宋_GB2312" w:cs="仿宋_GB2312"/>
          <w:color w:val="000000"/>
          <w:sz w:val="32"/>
          <w:szCs w:val="32"/>
        </w:rPr>
        <w:t>局、县</w:t>
      </w:r>
      <w:r>
        <w:rPr>
          <w:rFonts w:hint="eastAsia" w:ascii="仿宋_GB2312" w:hAnsi="仿宋_GB2312" w:eastAsia="仿宋_GB2312" w:cs="仿宋_GB2312"/>
          <w:color w:val="000000"/>
          <w:sz w:val="32"/>
          <w:szCs w:val="32"/>
          <w:lang w:val="en-US" w:eastAsia="zh-CN"/>
        </w:rPr>
        <w:t>自然资源</w:t>
      </w:r>
      <w:r>
        <w:rPr>
          <w:rFonts w:hint="eastAsia" w:ascii="仿宋_GB2312" w:hAnsi="仿宋_GB2312" w:eastAsia="仿宋_GB2312" w:cs="仿宋_GB2312"/>
          <w:color w:val="000000"/>
          <w:sz w:val="32"/>
          <w:szCs w:val="32"/>
        </w:rPr>
        <w:t>局、县</w:t>
      </w:r>
      <w:r>
        <w:rPr>
          <w:rFonts w:hint="eastAsia" w:ascii="仿宋_GB2312" w:hAnsi="仿宋_GB2312" w:eastAsia="仿宋_GB2312" w:cs="仿宋_GB2312"/>
          <w:color w:val="000000"/>
          <w:sz w:val="32"/>
          <w:szCs w:val="32"/>
          <w:lang w:val="en-US" w:eastAsia="zh-CN"/>
        </w:rPr>
        <w:t>教育局</w:t>
      </w:r>
      <w:r>
        <w:rPr>
          <w:rFonts w:hint="eastAsia" w:ascii="仿宋_GB2312" w:hAnsi="仿宋_GB2312" w:eastAsia="仿宋_GB2312" w:cs="仿宋_GB2312"/>
          <w:color w:val="000000"/>
          <w:sz w:val="32"/>
          <w:szCs w:val="32"/>
        </w:rPr>
        <w:t>3个部门预算执行情况和其他财政收支情况</w:t>
      </w:r>
      <w:r>
        <w:rPr>
          <w:rFonts w:hint="eastAsia" w:ascii="仿宋_GB2312" w:hAnsi="仿宋_GB2312" w:eastAsia="仿宋_GB2312" w:cs="仿宋_GB2312"/>
          <w:b w:val="0"/>
          <w:bCs w:val="0"/>
          <w:color w:val="000000"/>
          <w:sz w:val="32"/>
          <w:szCs w:val="32"/>
          <w:lang w:val="en-US" w:eastAsia="zh-CN"/>
        </w:rPr>
        <w:t>，揭示本级财政预算执行中存在的突出问题，审计工作报告经县人大审议通过。</w:t>
      </w:r>
    </w:p>
    <w:p>
      <w:pPr>
        <w:keepNext w:val="0"/>
        <w:keepLines w:val="0"/>
        <w:pageBreakBefore w:val="0"/>
        <w:widowControl/>
        <w:kinsoku/>
        <w:wordWrap/>
        <w:overflowPunct/>
        <w:topLinePunct w:val="0"/>
        <w:autoSpaceDE/>
        <w:autoSpaceDN/>
        <w:bidi w:val="0"/>
        <w:adjustRightInd/>
        <w:snapToGrid/>
        <w:spacing w:line="580" w:lineRule="exact"/>
        <w:ind w:firstLine="643" w:firstLineChars="200"/>
        <w:jc w:val="left"/>
        <w:textAlignment w:val="auto"/>
        <w:rPr>
          <w:rFonts w:hint="eastAsia" w:ascii="仿宋_GB2312" w:hAnsi="仿宋_GB2312" w:eastAsia="仿宋_GB2312" w:cs="仿宋_GB2312"/>
          <w:color w:val="000000"/>
          <w:kern w:val="0"/>
          <w:sz w:val="32"/>
          <w:szCs w:val="32"/>
          <w:lang w:bidi="ar"/>
        </w:rPr>
      </w:pPr>
      <w:r>
        <w:rPr>
          <w:rFonts w:hint="eastAsia" w:ascii="楷体" w:hAnsi="楷体" w:eastAsia="楷体" w:cs="楷体"/>
          <w:b/>
          <w:bCs/>
          <w:color w:val="000000"/>
          <w:sz w:val="32"/>
          <w:szCs w:val="32"/>
        </w:rPr>
        <w:t>（二）稳步推进经济责任审计。</w:t>
      </w:r>
      <w:r>
        <w:rPr>
          <w:rFonts w:hint="eastAsia" w:ascii="仿宋_GB2312" w:hAnsi="仿宋_GB2312" w:eastAsia="仿宋_GB2312" w:cs="仿宋_GB2312"/>
          <w:b w:val="0"/>
          <w:bCs w:val="0"/>
          <w:color w:val="000000"/>
          <w:sz w:val="32"/>
          <w:szCs w:val="32"/>
          <w:lang w:eastAsia="zh-CN"/>
        </w:rPr>
        <w:t>受县委组织部的委托，</w:t>
      </w:r>
      <w:r>
        <w:rPr>
          <w:rFonts w:hint="eastAsia" w:ascii="仿宋_GB2312" w:hAnsi="仿宋_GB2312" w:eastAsia="仿宋_GB2312" w:cs="仿宋_GB2312"/>
          <w:color w:val="000000"/>
          <w:sz w:val="32"/>
          <w:szCs w:val="32"/>
          <w:lang w:val="en-US" w:eastAsia="zh-CN"/>
        </w:rPr>
        <w:t>2020年</w:t>
      </w:r>
      <w:r>
        <w:rPr>
          <w:rFonts w:hint="eastAsia" w:ascii="仿宋_GB2312" w:hAnsi="仿宋_GB2312" w:eastAsia="仿宋_GB2312" w:cs="仿宋_GB2312"/>
          <w:color w:val="000000"/>
          <w:sz w:val="32"/>
          <w:szCs w:val="32"/>
        </w:rPr>
        <w:t>我局共开展县</w:t>
      </w:r>
      <w:r>
        <w:rPr>
          <w:rFonts w:hint="eastAsia" w:ascii="仿宋_GB2312" w:hAnsi="仿宋_GB2312" w:eastAsia="仿宋_GB2312" w:cs="仿宋_GB2312"/>
          <w:color w:val="000000"/>
          <w:sz w:val="32"/>
          <w:szCs w:val="32"/>
          <w:lang w:val="en-US" w:eastAsia="zh-CN"/>
        </w:rPr>
        <w:t>自来水公司</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县农村经营服务站、县民政局、县人民政府办公室、县统计局5</w:t>
      </w:r>
      <w:r>
        <w:rPr>
          <w:rFonts w:hint="eastAsia" w:ascii="仿宋_GB2312" w:hAnsi="仿宋_GB2312" w:eastAsia="仿宋_GB2312" w:cs="仿宋_GB2312"/>
          <w:color w:val="000000"/>
          <w:sz w:val="32"/>
          <w:szCs w:val="32"/>
        </w:rPr>
        <w:t>个部门领导干部</w:t>
      </w:r>
      <w:r>
        <w:rPr>
          <w:rFonts w:hint="eastAsia" w:ascii="仿宋_GB2312" w:hAnsi="仿宋_GB2312" w:eastAsia="仿宋_GB2312" w:cs="仿宋_GB2312"/>
          <w:color w:val="000000"/>
          <w:sz w:val="32"/>
          <w:szCs w:val="32"/>
          <w:lang w:eastAsia="zh-CN"/>
        </w:rPr>
        <w:t>任期</w:t>
      </w:r>
      <w:r>
        <w:rPr>
          <w:rFonts w:hint="eastAsia" w:ascii="仿宋_GB2312" w:hAnsi="仿宋_GB2312" w:eastAsia="仿宋_GB2312" w:cs="仿宋_GB2312"/>
          <w:color w:val="000000"/>
          <w:sz w:val="32"/>
          <w:szCs w:val="32"/>
        </w:rPr>
        <w:t>经济责任审计，开展</w:t>
      </w:r>
      <w:r>
        <w:rPr>
          <w:rFonts w:hint="eastAsia" w:ascii="仿宋_GB2312" w:hAnsi="仿宋_GB2312" w:eastAsia="仿宋_GB2312" w:cs="仿宋_GB2312"/>
          <w:color w:val="000000"/>
          <w:sz w:val="32"/>
          <w:szCs w:val="32"/>
          <w:lang w:val="en-US" w:eastAsia="zh-CN"/>
        </w:rPr>
        <w:t>仙子脚镇黄爱平</w:t>
      </w:r>
      <w:r>
        <w:rPr>
          <w:rFonts w:hint="eastAsia" w:ascii="仿宋_GB2312" w:hAnsi="仿宋_GB2312" w:eastAsia="仿宋_GB2312" w:cs="仿宋_GB2312"/>
          <w:color w:val="000000"/>
          <w:sz w:val="32"/>
          <w:szCs w:val="32"/>
        </w:rPr>
        <w:t>自然资源资产</w:t>
      </w:r>
      <w:r>
        <w:rPr>
          <w:rFonts w:hint="eastAsia" w:ascii="仿宋_GB2312" w:hAnsi="仿宋_GB2312" w:eastAsia="仿宋_GB2312" w:cs="仿宋_GB2312"/>
          <w:color w:val="000000"/>
          <w:sz w:val="32"/>
          <w:szCs w:val="32"/>
          <w:lang w:val="en-US" w:eastAsia="zh-CN"/>
        </w:rPr>
        <w:t>任中</w:t>
      </w:r>
      <w:r>
        <w:rPr>
          <w:rFonts w:hint="eastAsia" w:ascii="仿宋_GB2312" w:hAnsi="仿宋_GB2312" w:eastAsia="仿宋_GB2312" w:cs="仿宋_GB2312"/>
          <w:color w:val="000000"/>
          <w:sz w:val="32"/>
          <w:szCs w:val="32"/>
        </w:rPr>
        <w:t>审计1个</w:t>
      </w:r>
      <w:r>
        <w:rPr>
          <w:rFonts w:hint="eastAsia" w:ascii="仿宋_GB2312" w:hAnsi="仿宋_GB2312" w:eastAsia="仿宋_GB2312" w:cs="仿宋_GB2312"/>
          <w:color w:val="000000"/>
          <w:sz w:val="32"/>
          <w:szCs w:val="32"/>
          <w:lang w:eastAsia="zh-CN"/>
        </w:rPr>
        <w:t>，突出领导干部政策执行、廉政建设、权力运行等方面的行为规范</w:t>
      </w:r>
      <w:r>
        <w:rPr>
          <w:rFonts w:hint="eastAsia" w:ascii="仿宋_GB2312" w:hAnsi="仿宋_GB2312" w:eastAsia="仿宋_GB2312" w:cs="仿宋_GB2312"/>
          <w:color w:val="000000"/>
          <w:sz w:val="32"/>
          <w:szCs w:val="32"/>
        </w:rPr>
        <w:t>。</w:t>
      </w:r>
    </w:p>
    <w:p>
      <w:pPr>
        <w:wordWrap/>
        <w:adjustRightInd/>
        <w:snapToGrid/>
        <w:spacing w:line="560" w:lineRule="exact"/>
        <w:ind w:firstLine="643" w:firstLineChars="200"/>
        <w:textAlignment w:val="auto"/>
        <w:rPr>
          <w:rFonts w:hint="eastAsia" w:ascii="仿宋_GB2312" w:hAnsi="仿宋_GB2312" w:eastAsia="仿宋_GB2312" w:cs="仿宋_GB2312"/>
          <w:color w:val="000000"/>
          <w:sz w:val="32"/>
          <w:szCs w:val="32"/>
          <w:lang w:val="en-US" w:eastAsia="zh-CN"/>
        </w:rPr>
      </w:pPr>
      <w:r>
        <w:rPr>
          <w:rFonts w:hint="eastAsia" w:ascii="楷体" w:hAnsi="楷体" w:eastAsia="楷体" w:cs="楷体"/>
          <w:b/>
          <w:bCs/>
          <w:color w:val="000000"/>
          <w:sz w:val="32"/>
          <w:szCs w:val="32"/>
        </w:rPr>
        <w:t>（三）</w:t>
      </w:r>
      <w:r>
        <w:rPr>
          <w:rFonts w:hint="eastAsia" w:ascii="楷体" w:hAnsi="楷体" w:eastAsia="楷体" w:cs="楷体"/>
          <w:b/>
          <w:bCs/>
          <w:color w:val="000000"/>
          <w:sz w:val="32"/>
          <w:szCs w:val="32"/>
          <w:lang w:eastAsia="zh-CN"/>
        </w:rPr>
        <w:t>创新开展政府</w:t>
      </w:r>
      <w:r>
        <w:rPr>
          <w:rFonts w:hint="eastAsia" w:ascii="楷体" w:hAnsi="楷体" w:eastAsia="楷体" w:cs="楷体"/>
          <w:b/>
          <w:bCs/>
          <w:color w:val="000000"/>
          <w:sz w:val="32"/>
          <w:szCs w:val="32"/>
        </w:rPr>
        <w:t>投资审计。</w:t>
      </w:r>
      <w:r>
        <w:rPr>
          <w:rFonts w:hint="eastAsia" w:ascii="仿宋_GB2312" w:hAnsi="仿宋_GB2312" w:eastAsia="仿宋_GB2312" w:cs="仿宋_GB2312"/>
          <w:color w:val="000000"/>
          <w:sz w:val="32"/>
          <w:szCs w:val="32"/>
          <w:lang w:val="en-US" w:eastAsia="zh-CN"/>
        </w:rPr>
        <w:t>2020年</w:t>
      </w:r>
      <w:r>
        <w:rPr>
          <w:rFonts w:hint="eastAsia" w:ascii="仿宋_GB2312" w:hAnsi="仿宋_GB2312" w:eastAsia="仿宋_GB2312" w:cs="仿宋_GB2312"/>
          <w:color w:val="000000"/>
          <w:sz w:val="32"/>
          <w:szCs w:val="32"/>
        </w:rPr>
        <w:t>，我局</w:t>
      </w:r>
      <w:r>
        <w:rPr>
          <w:rFonts w:hint="eastAsia" w:ascii="仿宋_GB2312" w:hAnsi="仿宋_GB2312" w:eastAsia="仿宋_GB2312" w:cs="仿宋_GB2312"/>
          <w:color w:val="000000"/>
          <w:sz w:val="32"/>
          <w:szCs w:val="32"/>
          <w:lang w:eastAsia="zh-CN"/>
        </w:rPr>
        <w:t>在财政结算评审的基础上，</w:t>
      </w:r>
      <w:r>
        <w:rPr>
          <w:rFonts w:hint="eastAsia" w:ascii="仿宋_GB2312" w:hAnsi="仿宋_GB2312" w:eastAsia="仿宋_GB2312" w:cs="仿宋_GB2312"/>
          <w:color w:val="000000"/>
          <w:sz w:val="32"/>
          <w:szCs w:val="32"/>
          <w:lang w:val="en-US" w:eastAsia="zh-CN"/>
        </w:rPr>
        <w:t>完成或正在开展政府投资工程建设项目审计15个</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投资审计主要从项目建设程序、工程造价、工程质量、资金管理使用、生态环境治理等方面开展审计，不仅为财政节约了大量资金，而且从根本上完善了政府投资项目结算审核机制，</w:t>
      </w:r>
      <w:r>
        <w:rPr>
          <w:rFonts w:hint="eastAsia" w:ascii="仿宋_GB2312" w:eastAsia="仿宋_GB2312" w:cs="Times New Roman"/>
          <w:sz w:val="32"/>
          <w:szCs w:val="32"/>
          <w:lang w:val="en-US" w:eastAsia="zh-CN"/>
        </w:rPr>
        <w:t>揭露了项目建设中存在的一些不规范的问题，促进了我县政府投资项目的规范化管理，提高政府资金的投资效益。</w:t>
      </w:r>
      <w:r>
        <w:rPr>
          <w:rFonts w:hint="eastAsia" w:ascii="仿宋_GB2312" w:hAnsi="仿宋_GB2312" w:eastAsia="仿宋_GB2312" w:cs="仿宋_GB2312"/>
          <w:color w:val="000000"/>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3" w:firstLineChars="200"/>
        <w:textAlignment w:val="auto"/>
        <w:outlineLvl w:val="9"/>
        <w:rPr>
          <w:rFonts w:hint="default" w:ascii="仿宋_GB2312" w:hAnsi="仿宋_GB2312" w:eastAsia="仿宋_GB2312" w:cs="仿宋_GB2312"/>
          <w:color w:val="000000"/>
          <w:sz w:val="32"/>
          <w:szCs w:val="32"/>
          <w:lang w:val="en-US" w:eastAsia="zh-CN"/>
        </w:rPr>
      </w:pPr>
      <w:r>
        <w:rPr>
          <w:rFonts w:hint="eastAsia" w:ascii="楷体" w:hAnsi="楷体" w:eastAsia="楷体" w:cs="楷体"/>
          <w:b/>
          <w:bCs/>
          <w:color w:val="000000"/>
          <w:sz w:val="32"/>
          <w:szCs w:val="32"/>
        </w:rPr>
        <w:t>（四）着力</w:t>
      </w:r>
      <w:r>
        <w:rPr>
          <w:rFonts w:hint="eastAsia" w:ascii="楷体" w:hAnsi="楷体" w:eastAsia="楷体" w:cs="楷体"/>
          <w:b/>
          <w:bCs/>
          <w:color w:val="000000"/>
          <w:sz w:val="32"/>
          <w:szCs w:val="32"/>
          <w:lang w:eastAsia="zh-CN"/>
        </w:rPr>
        <w:t>做实民本</w:t>
      </w:r>
      <w:r>
        <w:rPr>
          <w:rFonts w:hint="eastAsia" w:ascii="楷体" w:hAnsi="楷体" w:eastAsia="楷体" w:cs="楷体"/>
          <w:b/>
          <w:bCs/>
          <w:color w:val="000000"/>
          <w:sz w:val="32"/>
          <w:szCs w:val="32"/>
        </w:rPr>
        <w:t>民生审计。</w:t>
      </w:r>
      <w:r>
        <w:rPr>
          <w:rFonts w:hint="eastAsia" w:ascii="仿宋_GB2312" w:hAnsi="仿宋_GB2312" w:eastAsia="仿宋_GB2312" w:cs="仿宋_GB2312"/>
          <w:color w:val="000000"/>
          <w:kern w:val="0"/>
          <w:sz w:val="32"/>
          <w:szCs w:val="32"/>
          <w:shd w:val="clear" w:fill="FFFFFF"/>
          <w:lang w:val="en-US" w:eastAsia="zh-CN" w:bidi="ar"/>
        </w:rPr>
        <w:t>将疫情防控专项资金、捐赠款物和各项政策落实跟踪审计作为重大政治任务，坚决扛起政治责任，跟进疫情防控工作节奏要求，对财政安排的疫情防控资金和社会捐赠款物情况加强审计监督，及时发现问题，及时推动整改，增强监督效能，确保党中央决策部署不折不扣落实到位。</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firstLine="643" w:firstLineChars="200"/>
        <w:textAlignment w:val="auto"/>
        <w:rPr>
          <w:rFonts w:hint="eastAsia" w:ascii="楷体" w:hAnsi="楷体" w:eastAsia="楷体" w:cs="楷体"/>
          <w:b/>
          <w:bCs/>
          <w:color w:val="000000"/>
          <w:sz w:val="32"/>
          <w:szCs w:val="32"/>
          <w:lang w:val="en-US" w:eastAsia="zh-CN"/>
        </w:rPr>
      </w:pPr>
      <w:r>
        <w:rPr>
          <w:rFonts w:hint="eastAsia" w:ascii="楷体" w:hAnsi="楷体" w:eastAsia="楷体" w:cs="楷体"/>
          <w:b/>
          <w:bCs/>
          <w:sz w:val="32"/>
          <w:szCs w:val="32"/>
          <w:lang w:val="en-US" w:eastAsia="zh-CN"/>
        </w:rPr>
        <w:t>（五）持之以恒落实审计整改。</w:t>
      </w:r>
      <w:r>
        <w:rPr>
          <w:rFonts w:hint="eastAsia" w:ascii="仿宋_GB2312" w:hAnsi="仿宋_GB2312" w:eastAsia="仿宋_GB2312" w:cs="仿宋_GB2312"/>
          <w:b w:val="0"/>
          <w:bCs w:val="0"/>
          <w:sz w:val="32"/>
          <w:szCs w:val="32"/>
          <w:lang w:val="en-US" w:eastAsia="zh-CN"/>
        </w:rPr>
        <w:t>审计机关加大对审计发现问题整改落实，推动相关问题及时有效得到处理，彰显审计威慑力。一是借力巡视巡察抓整改。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审计部门</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高度重视巡视巡察工作，</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积极</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协助做好巡视巡察发现问题的督促整改，配合有力、成效显著</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聚力推动巡视巡察审计问题整改落地落实、见底见效</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b w:val="0"/>
          <w:bCs w:val="0"/>
          <w:sz w:val="32"/>
          <w:szCs w:val="32"/>
          <w:lang w:val="en-US" w:eastAsia="zh-CN"/>
        </w:rPr>
        <w:t>二是人大督促抓整改。道县人大常委会高度重视审计整改工作，将审计整改工作列入人大报告，要求被审计单位向人大常委会报告审计整改工作情况，有力促进了审计整改工作。三是党委督考抓整改。道县县委、县政府主要领导高度重视审计整改工作，多次对上报的审计报告和审计要情进行批复，通过大督考办跟踪督办，督促被审计单位对审计查出的问题，逐项抓好整改落实。</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i w:val="0"/>
          <w:caps w:val="0"/>
          <w:color w:val="000000"/>
          <w:spacing w:val="0"/>
          <w:sz w:val="32"/>
          <w:szCs w:val="32"/>
          <w:shd w:val="clear" w:color="auto" w:fill="FFFFFF"/>
          <w:lang w:eastAsia="zh-CN"/>
        </w:rPr>
      </w:pPr>
      <w:r>
        <w:rPr>
          <w:rFonts w:hint="eastAsia" w:ascii="楷体" w:hAnsi="楷体" w:eastAsia="楷体" w:cs="楷体"/>
          <w:b/>
          <w:bCs/>
          <w:color w:val="000000"/>
          <w:sz w:val="32"/>
          <w:szCs w:val="32"/>
          <w:lang w:val="en-US" w:eastAsia="zh-CN"/>
        </w:rPr>
        <w:t>（六）</w:t>
      </w:r>
      <w:r>
        <w:rPr>
          <w:rFonts w:hint="eastAsia" w:ascii="楷体" w:hAnsi="楷体" w:eastAsia="楷体" w:cs="楷体"/>
          <w:b/>
          <w:bCs/>
          <w:color w:val="000000"/>
          <w:kern w:val="2"/>
          <w:sz w:val="32"/>
          <w:szCs w:val="32"/>
          <w:lang w:val="en-US" w:eastAsia="zh-CN" w:bidi="ar-SA"/>
        </w:rPr>
        <w:t>发挥职能配合巡视巡察。</w:t>
      </w:r>
      <w:r>
        <w:rPr>
          <w:rFonts w:hint="eastAsia" w:ascii="仿宋_GB2312" w:hAnsi="仿宋_GB2312" w:eastAsia="仿宋_GB2312" w:cs="仿宋_GB2312"/>
          <w:i w:val="0"/>
          <w:caps w:val="0"/>
          <w:color w:val="000000"/>
          <w:spacing w:val="0"/>
          <w:sz w:val="32"/>
          <w:szCs w:val="32"/>
          <w:shd w:val="clear" w:color="auto" w:fill="FFFFFF"/>
          <w:lang w:val="en-US" w:eastAsia="zh-CN"/>
        </w:rPr>
        <w:t>以</w:t>
      </w:r>
      <w:r>
        <w:rPr>
          <w:rFonts w:hint="eastAsia" w:ascii="仿宋_GB2312" w:hAnsi="仿宋_GB2312" w:eastAsia="仿宋_GB2312" w:cs="仿宋_GB2312"/>
          <w:i w:val="0"/>
          <w:caps w:val="0"/>
          <w:color w:val="000000"/>
          <w:spacing w:val="0"/>
          <w:sz w:val="32"/>
          <w:szCs w:val="32"/>
          <w:shd w:val="clear" w:color="auto" w:fill="FFFFFF"/>
        </w:rPr>
        <w:t>巡视巡察工作</w:t>
      </w:r>
      <w:r>
        <w:rPr>
          <w:rFonts w:hint="eastAsia" w:ascii="仿宋_GB2312" w:hAnsi="仿宋_GB2312" w:eastAsia="仿宋_GB2312" w:cs="仿宋_GB2312"/>
          <w:i w:val="0"/>
          <w:caps w:val="0"/>
          <w:color w:val="000000"/>
          <w:spacing w:val="0"/>
          <w:sz w:val="32"/>
          <w:szCs w:val="32"/>
          <w:shd w:val="clear" w:color="auto" w:fill="FFFFFF"/>
          <w:lang w:val="en-US" w:eastAsia="zh-CN"/>
        </w:rPr>
        <w:t>为契机</w:t>
      </w:r>
      <w:r>
        <w:rPr>
          <w:rFonts w:hint="eastAsia" w:ascii="仿宋_GB2312" w:hAnsi="仿宋_GB2312" w:eastAsia="仿宋_GB2312" w:cs="仿宋_GB2312"/>
          <w:i w:val="0"/>
          <w:caps w:val="0"/>
          <w:color w:val="000000"/>
          <w:spacing w:val="0"/>
          <w:sz w:val="32"/>
          <w:szCs w:val="32"/>
          <w:shd w:val="clear" w:color="auto" w:fill="FFFFFF"/>
        </w:rPr>
        <w:t>，</w:t>
      </w:r>
      <w:r>
        <w:rPr>
          <w:rFonts w:hint="eastAsia" w:ascii="仿宋_GB2312" w:hAnsi="仿宋_GB2312" w:eastAsia="仿宋_GB2312" w:cs="仿宋_GB2312"/>
          <w:color w:val="000000"/>
          <w:sz w:val="32"/>
          <w:szCs w:val="32"/>
          <w:shd w:val="clear" w:color="auto" w:fill="FFFFFF"/>
        </w:rPr>
        <w:t>根据巡视巡察工作要求，及时提供相关审计档案资料，组织人员梳理出审计发现问题，并汇报审计发现疑点和线索</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聚焦突出问题，</w:t>
      </w:r>
      <w:r>
        <w:rPr>
          <w:rFonts w:hint="eastAsia" w:ascii="仿宋_GB2312" w:hAnsi="仿宋_GB2312" w:eastAsia="仿宋_GB2312" w:cs="仿宋_GB2312"/>
          <w:i w:val="0"/>
          <w:caps w:val="0"/>
          <w:color w:val="000000"/>
          <w:spacing w:val="0"/>
          <w:sz w:val="32"/>
          <w:szCs w:val="32"/>
          <w:shd w:val="clear" w:color="auto" w:fill="FFFFFF"/>
        </w:rPr>
        <w:t>细化措施，认真分析尚未完成整改的问题，研究制定针对性、操作性强的审计整改措施，</w:t>
      </w: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减少巡视巡察工作成本。</w:t>
      </w:r>
      <w:r>
        <w:rPr>
          <w:rFonts w:hint="eastAsia" w:ascii="仿宋_GB2312" w:hAnsi="仿宋_GB2312" w:eastAsia="仿宋_GB2312" w:cs="仿宋_GB2312"/>
          <w:i w:val="0"/>
          <w:caps w:val="0"/>
          <w:color w:val="000000"/>
          <w:spacing w:val="0"/>
          <w:sz w:val="32"/>
          <w:szCs w:val="32"/>
          <w:shd w:val="clear" w:color="auto" w:fill="FFFFFF"/>
          <w:lang w:val="en-US" w:eastAsia="zh-CN"/>
        </w:rPr>
        <w:t>派出审计</w:t>
      </w:r>
      <w:r>
        <w:rPr>
          <w:rFonts w:hint="eastAsia" w:ascii="仿宋_GB2312" w:hAnsi="仿宋_GB2312" w:eastAsia="仿宋_GB2312" w:cs="仿宋_GB2312"/>
          <w:i w:val="0"/>
          <w:caps w:val="0"/>
          <w:color w:val="000000"/>
          <w:spacing w:val="0"/>
          <w:sz w:val="32"/>
          <w:szCs w:val="32"/>
          <w:shd w:val="clear" w:color="auto" w:fill="FFFFFF"/>
        </w:rPr>
        <w:t>骨干力量参与巡视巡察，</w:t>
      </w:r>
      <w:r>
        <w:rPr>
          <w:rFonts w:hint="eastAsia" w:ascii="仿宋_GB2312" w:hAnsi="仿宋_GB2312" w:eastAsia="仿宋_GB2312" w:cs="仿宋_GB2312"/>
          <w:b w:val="0"/>
          <w:bCs w:val="0"/>
          <w:color w:val="000000"/>
          <w:kern w:val="2"/>
          <w:sz w:val="32"/>
          <w:szCs w:val="32"/>
          <w:lang w:val="en-US" w:eastAsia="zh-CN" w:bidi="ar-SA"/>
        </w:rPr>
        <w:t>2020年，我局先后抽调4人分别参与了省委巡视、市委县委巡察工作，</w:t>
      </w:r>
      <w:r>
        <w:rPr>
          <w:rFonts w:hint="eastAsia" w:ascii="仿宋_GB2312" w:hAnsi="仿宋_GB2312" w:eastAsia="仿宋_GB2312" w:cs="仿宋_GB2312"/>
          <w:color w:val="000000"/>
          <w:kern w:val="2"/>
          <w:sz w:val="32"/>
          <w:szCs w:val="32"/>
          <w:shd w:val="clear" w:color="auto" w:fill="FFFFFF"/>
          <w:lang w:eastAsia="zh-CN"/>
        </w:rPr>
        <w:t>为助力</w:t>
      </w:r>
      <w:r>
        <w:rPr>
          <w:rFonts w:hint="eastAsia" w:ascii="仿宋_GB2312" w:hAnsi="仿宋_GB2312" w:eastAsia="仿宋_GB2312" w:cs="仿宋_GB2312"/>
          <w:color w:val="000000"/>
          <w:kern w:val="2"/>
          <w:sz w:val="32"/>
          <w:szCs w:val="32"/>
          <w:shd w:val="clear" w:color="auto" w:fill="FFFFFF"/>
          <w:lang w:val="en-US" w:eastAsia="zh-CN"/>
        </w:rPr>
        <w:t>巡视</w:t>
      </w:r>
      <w:r>
        <w:rPr>
          <w:rFonts w:hint="eastAsia" w:ascii="仿宋_GB2312" w:hAnsi="仿宋_GB2312" w:eastAsia="仿宋_GB2312" w:cs="仿宋_GB2312"/>
          <w:color w:val="000000"/>
          <w:kern w:val="2"/>
          <w:sz w:val="32"/>
          <w:szCs w:val="32"/>
          <w:shd w:val="clear" w:color="auto" w:fill="FFFFFF"/>
          <w:lang w:eastAsia="zh-CN"/>
        </w:rPr>
        <w:t>巡</w:t>
      </w:r>
      <w:r>
        <w:rPr>
          <w:rFonts w:hint="eastAsia" w:ascii="仿宋_GB2312" w:hAnsi="仿宋_GB2312" w:eastAsia="仿宋_GB2312" w:cs="仿宋_GB2312"/>
          <w:color w:val="000000"/>
          <w:kern w:val="2"/>
          <w:sz w:val="32"/>
          <w:szCs w:val="32"/>
          <w:shd w:val="clear" w:color="auto" w:fill="FFFFFF"/>
          <w:lang w:val="en-US" w:eastAsia="zh-CN"/>
        </w:rPr>
        <w:t>察</w:t>
      </w:r>
      <w:r>
        <w:rPr>
          <w:rFonts w:hint="eastAsia" w:ascii="仿宋_GB2312" w:hAnsi="仿宋_GB2312" w:eastAsia="仿宋_GB2312" w:cs="仿宋_GB2312"/>
          <w:color w:val="000000"/>
          <w:kern w:val="2"/>
          <w:sz w:val="32"/>
          <w:szCs w:val="32"/>
          <w:shd w:val="clear" w:color="auto" w:fill="FFFFFF"/>
          <w:lang w:eastAsia="zh-CN"/>
        </w:rPr>
        <w:t>工作发挥了积极作用。</w:t>
      </w:r>
    </w:p>
    <w:p>
      <w:pPr>
        <w:pStyle w:val="4"/>
        <w:widowControl/>
        <w:spacing w:before="0" w:beforeAutospacing="0" w:after="0" w:afterAutospacing="0"/>
        <w:ind w:right="11" w:firstLine="602" w:firstLineChars="200"/>
        <w:rPr>
          <w:rFonts w:hint="eastAsia" w:ascii="宋体" w:hAnsi="宋体" w:cs="Times New Roman"/>
          <w:b/>
          <w:bCs w:val="0"/>
          <w:color w:val="010101"/>
          <w:sz w:val="30"/>
          <w:szCs w:val="30"/>
          <w:lang w:val="en-US" w:eastAsia="zh-CN"/>
        </w:rPr>
      </w:pPr>
      <w:r>
        <w:rPr>
          <w:rFonts w:hint="eastAsia" w:ascii="宋体" w:hAnsi="宋体" w:cs="Times New Roman"/>
          <w:b/>
          <w:bCs w:val="0"/>
          <w:color w:val="010101"/>
          <w:sz w:val="30"/>
          <w:szCs w:val="30"/>
          <w:lang w:val="en-US" w:eastAsia="zh-CN"/>
        </w:rPr>
        <w:t>七、存在的问题及原因分析</w:t>
      </w:r>
    </w:p>
    <w:p>
      <w:pPr>
        <w:pStyle w:val="4"/>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b w:val="0"/>
          <w:bCs w:val="0"/>
          <w:color w:val="000000" w:themeColor="text1"/>
          <w:sz w:val="30"/>
          <w:szCs w:val="30"/>
          <w14:textFill>
            <w14:solidFill>
              <w14:schemeClr w14:val="tx1"/>
            </w14:solidFill>
          </w14:textFill>
        </w:rPr>
        <w:t>审计</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全覆盖不到位</w:t>
      </w:r>
      <w:r>
        <w:rPr>
          <w:rFonts w:hint="eastAsia" w:ascii="仿宋_GB2312" w:hAnsi="仿宋_GB2312" w:eastAsia="仿宋_GB2312" w:cs="仿宋_GB2312"/>
          <w:b w:val="0"/>
          <w:bCs w:val="0"/>
          <w:color w:val="000000" w:themeColor="text1"/>
          <w:sz w:val="30"/>
          <w:szCs w:val="30"/>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目前审计工作处于</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新时期中国特色社会主义</w:t>
      </w:r>
      <w:r>
        <w:rPr>
          <w:rFonts w:hint="eastAsia" w:ascii="仿宋_GB2312" w:hAnsi="仿宋_GB2312" w:eastAsia="仿宋_GB2312" w:cs="仿宋_GB2312"/>
          <w:color w:val="000000" w:themeColor="text1"/>
          <w:sz w:val="32"/>
          <w:szCs w:val="32"/>
          <w14:textFill>
            <w14:solidFill>
              <w14:schemeClr w14:val="tx1"/>
            </w14:solidFill>
          </w14:textFill>
        </w:rPr>
        <w:t>新常态，要求审计监督全覆盖，但是由于受诸多方面的影响，审计监督的覆盖面还不广。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特别是</w:t>
      </w:r>
      <w:r>
        <w:rPr>
          <w:rFonts w:hint="eastAsia" w:ascii="仿宋_GB2312" w:hAnsi="仿宋_GB2312" w:eastAsia="仿宋_GB2312" w:cs="仿宋_GB2312"/>
          <w:color w:val="000000" w:themeColor="text1"/>
          <w:sz w:val="32"/>
          <w:szCs w:val="32"/>
          <w:lang w:eastAsia="zh-CN"/>
          <w14:textFill>
            <w14:solidFill>
              <w14:schemeClr w14:val="tx1"/>
            </w14:solidFill>
          </w14:textFill>
        </w:rPr>
        <w:t>在财政审计方面，</w:t>
      </w:r>
      <w:r>
        <w:rPr>
          <w:rFonts w:hint="eastAsia" w:ascii="仿宋_GB2312" w:hAnsi="仿宋_GB2312" w:eastAsia="仿宋_GB2312" w:cs="仿宋_GB2312"/>
          <w:color w:val="000000" w:themeColor="text1"/>
          <w:sz w:val="32"/>
          <w:szCs w:val="32"/>
          <w14:textFill>
            <w14:solidFill>
              <w14:schemeClr w14:val="tx1"/>
            </w14:solidFill>
          </w14:textFill>
        </w:rPr>
        <w:t>审计仅限于对财政预算执行进行审计，以及延伸到少数预算单位，没有实现对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全部一级预算单位</w:t>
      </w:r>
      <w:r>
        <w:rPr>
          <w:rFonts w:hint="eastAsia" w:ascii="仿宋_GB2312" w:hAnsi="仿宋_GB2312" w:eastAsia="仿宋_GB2312" w:cs="仿宋_GB2312"/>
          <w:color w:val="000000" w:themeColor="text1"/>
          <w:sz w:val="32"/>
          <w:szCs w:val="32"/>
          <w14:textFill>
            <w14:solidFill>
              <w14:schemeClr w14:val="tx1"/>
            </w14:solidFill>
          </w14:textFill>
        </w:rPr>
        <w:t>开展全口径财政预决算审计监督。</w:t>
      </w:r>
      <w:r>
        <w:rPr>
          <w:rFonts w:hint="eastAsia" w:ascii="仿宋_GB2312" w:hAnsi="仿宋_GB2312" w:eastAsia="仿宋_GB2312" w:cs="仿宋_GB2312"/>
          <w:color w:val="000000" w:themeColor="text1"/>
          <w:sz w:val="32"/>
          <w:szCs w:val="32"/>
          <w:lang w:eastAsia="zh-CN"/>
          <w14:textFill>
            <w14:solidFill>
              <w14:schemeClr w14:val="tx1"/>
            </w14:solidFill>
          </w14:textFill>
        </w:rPr>
        <w:t>在投资审计方面，政府投资审计因建设项目多，审计力量薄弱，政府投资审计跟不上形势发展的需要，</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在执行审计署关于开展内部审计工作的规定方面，因审计力量短缺，内审工作落实不到位，工作力度不大</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pStyle w:val="4"/>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2、</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审计整改跟踪措施不健全。一是对审计整改工作认识不深刻。一些审计人员对整改工作重视程度不高，未将审计整改与审计查出问题放在同等重要位置，因此落实或督促审计整改的态度并不积极。提出的审计建议可行性较差，造成被审计单位难以落实。二是整改工作不到位。对审计发现的屡审屡犯的问题，缺乏相应的处理手段，没有建立相应的问责制度，审计整改往往是流于形式</w:t>
      </w: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w:t>
      </w:r>
    </w:p>
    <w:p>
      <w:pPr>
        <w:pStyle w:val="4"/>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eastAsia="仿宋_GB2312" w:cs="Times New Roman"/>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14:textFill>
            <w14:solidFill>
              <w14:schemeClr w14:val="tx1"/>
            </w14:solidFill>
          </w14:textFill>
        </w:rPr>
        <w:t>审计</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队伍建设需待加强</w:t>
      </w:r>
      <w:r>
        <w:rPr>
          <w:rFonts w:hint="eastAsia" w:ascii="仿宋_GB2312" w:hAnsi="仿宋_GB2312" w:eastAsia="仿宋_GB2312" w:cs="仿宋_GB2312"/>
          <w:b w:val="0"/>
          <w:bCs w:val="0"/>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目前审计机关主要存在专业人才和人员偏少的问题。特别是</w:t>
      </w:r>
      <w:r>
        <w:rPr>
          <w:rFonts w:hint="eastAsia" w:ascii="仿宋_GB2312" w:hAnsi="仿宋_GB2312" w:eastAsia="仿宋_GB2312" w:cs="仿宋_GB2312"/>
          <w:color w:val="000000" w:themeColor="text1"/>
          <w:sz w:val="32"/>
          <w:szCs w:val="32"/>
          <w:lang w:eastAsia="zh-CN"/>
          <w14:textFill>
            <w14:solidFill>
              <w14:schemeClr w14:val="tx1"/>
            </w14:solidFill>
          </w14:textFill>
        </w:rPr>
        <w:t>投资、计算机</w:t>
      </w:r>
      <w:r>
        <w:rPr>
          <w:rFonts w:hint="eastAsia" w:ascii="仿宋_GB2312" w:hAnsi="仿宋_GB2312" w:eastAsia="仿宋_GB2312" w:cs="仿宋_GB2312"/>
          <w:color w:val="000000" w:themeColor="text1"/>
          <w:sz w:val="32"/>
          <w:szCs w:val="32"/>
          <w14:textFill>
            <w14:solidFill>
              <w14:schemeClr w14:val="tx1"/>
            </w14:solidFill>
          </w14:textFill>
        </w:rPr>
        <w:t>审计</w:t>
      </w:r>
      <w:r>
        <w:rPr>
          <w:rFonts w:hint="eastAsia" w:ascii="仿宋_GB2312" w:hAnsi="仿宋_GB2312" w:eastAsia="仿宋_GB2312" w:cs="仿宋_GB2312"/>
          <w:color w:val="000000" w:themeColor="text1"/>
          <w:sz w:val="32"/>
          <w:szCs w:val="32"/>
          <w:lang w:eastAsia="zh-CN"/>
          <w14:textFill>
            <w14:solidFill>
              <w14:schemeClr w14:val="tx1"/>
            </w14:solidFill>
          </w14:textFill>
        </w:rPr>
        <w:t>技术人才缺乏，</w:t>
      </w:r>
      <w:r>
        <w:rPr>
          <w:rFonts w:hint="eastAsia" w:ascii="仿宋_GB2312" w:hAnsi="仿宋_GB2312" w:eastAsia="仿宋_GB2312" w:cs="仿宋_GB2312"/>
          <w:color w:val="000000" w:themeColor="text1"/>
          <w:sz w:val="32"/>
          <w:szCs w:val="32"/>
          <w14:textFill>
            <w14:solidFill>
              <w14:schemeClr w14:val="tx1"/>
            </w14:solidFill>
          </w14:textFill>
        </w:rPr>
        <w:t>技术装备</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不适应工作的需要</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对运用大数据开展审计能力不强，</w:t>
      </w:r>
      <w:r>
        <w:rPr>
          <w:rFonts w:hint="eastAsia" w:ascii="仿宋_GB2312" w:hAnsi="仿宋_GB2312" w:eastAsia="仿宋_GB2312" w:cs="仿宋_GB2312"/>
          <w:color w:val="000000" w:themeColor="text1"/>
          <w:sz w:val="32"/>
          <w:szCs w:val="32"/>
          <w14:textFill>
            <w14:solidFill>
              <w14:schemeClr w14:val="tx1"/>
            </w14:solidFill>
          </w14:textFill>
        </w:rPr>
        <w:t>审计信息的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归集和</w:t>
      </w:r>
      <w:r>
        <w:rPr>
          <w:rFonts w:hint="eastAsia" w:ascii="仿宋_GB2312" w:hAnsi="仿宋_GB2312" w:eastAsia="仿宋_GB2312" w:cs="仿宋_GB2312"/>
          <w:color w:val="000000" w:themeColor="text1"/>
          <w:sz w:val="32"/>
          <w:szCs w:val="32"/>
          <w14:textFill>
            <w14:solidFill>
              <w14:schemeClr w14:val="tx1"/>
            </w14:solidFill>
          </w14:textFill>
        </w:rPr>
        <w:t>应用不够，不适应新形势下审计工作的需要。</w:t>
      </w:r>
    </w:p>
    <w:p>
      <w:pPr>
        <w:ind w:firstLine="64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eastAsia="仿宋_GB2312" w:cs="Times New Roman"/>
          <w:b w:val="0"/>
          <w:bCs w:val="0"/>
          <w:color w:val="000000" w:themeColor="text1"/>
          <w:sz w:val="32"/>
          <w:szCs w:val="32"/>
          <w:lang w:val="en-US" w:eastAsia="zh-CN"/>
          <w14:textFill>
            <w14:solidFill>
              <w14:schemeClr w14:val="tx1"/>
            </w14:solidFill>
          </w14:textFill>
        </w:rPr>
        <w:t>4、</w:t>
      </w:r>
      <w:r>
        <w:rPr>
          <w:rFonts w:hint="eastAsia" w:ascii="仿宋_GB2312" w:eastAsia="仿宋_GB2312" w:cs="Times New Roman"/>
          <w:b w:val="0"/>
          <w:bCs w:val="0"/>
          <w:color w:val="000000" w:themeColor="text1"/>
          <w:sz w:val="32"/>
          <w:szCs w:val="32"/>
          <w14:textFill>
            <w14:solidFill>
              <w14:schemeClr w14:val="tx1"/>
            </w14:solidFill>
          </w14:textFill>
        </w:rPr>
        <w:t>信息化建设滞后。</w:t>
      </w:r>
      <w:r>
        <w:rPr>
          <w:rFonts w:hint="eastAsia" w:ascii="仿宋_GB2312" w:eastAsia="仿宋_GB2312" w:cs="Times New Roman"/>
          <w:color w:val="000000" w:themeColor="text1"/>
          <w:sz w:val="32"/>
          <w:szCs w:val="32"/>
          <w14:textFill>
            <w14:solidFill>
              <w14:schemeClr w14:val="tx1"/>
            </w14:solidFill>
          </w14:textFill>
        </w:rPr>
        <w:t>主要是计算机审计特别是大数据审计技术运用不多，空间地理信息技术在自然资源资产离任（任中）审计中的应用尚在探索之中。</w:t>
      </w:r>
    </w:p>
    <w:p>
      <w:pPr>
        <w:pStyle w:val="4"/>
        <w:widowControl/>
        <w:spacing w:before="0" w:beforeAutospacing="0" w:after="0" w:afterAutospacing="0"/>
        <w:ind w:right="11" w:firstLine="602" w:firstLineChars="200"/>
        <w:rPr>
          <w:rFonts w:hint="eastAsia" w:ascii="宋体" w:hAnsi="宋体" w:cs="宋体"/>
          <w:b/>
          <w:bCs w:val="0"/>
          <w:color w:val="000000"/>
          <w:sz w:val="30"/>
          <w:szCs w:val="30"/>
          <w:lang w:eastAsia="zh-CN"/>
        </w:rPr>
      </w:pPr>
      <w:r>
        <w:rPr>
          <w:rFonts w:hint="eastAsia" w:ascii="宋体" w:hAnsi="宋体" w:cs="宋体"/>
          <w:b/>
          <w:bCs w:val="0"/>
          <w:color w:val="000000"/>
          <w:sz w:val="30"/>
          <w:szCs w:val="30"/>
          <w:lang w:eastAsia="zh-CN"/>
        </w:rPr>
        <w:t>八、下一步改进措施</w:t>
      </w:r>
    </w:p>
    <w:p>
      <w:pPr>
        <w:ind w:firstLine="640" w:firstLineChars="200"/>
        <w:rPr>
          <w:rFonts w:hint="eastAsia" w:ascii="仿宋_GB2312" w:hAnsi="宋体" w:eastAsia="仿宋_GB2312"/>
          <w:color w:val="000000" w:themeColor="text1"/>
          <w:kern w:val="2"/>
          <w:sz w:val="32"/>
          <w:szCs w:val="32"/>
          <w:lang w:val="en-US" w:eastAsia="zh-CN" w:bidi="ar-SA"/>
          <w14:textFill>
            <w14:solidFill>
              <w14:schemeClr w14:val="tx1"/>
            </w14:solidFill>
          </w14:textFill>
        </w:rPr>
      </w:pPr>
      <w:r>
        <w:rPr>
          <w:rFonts w:hint="eastAsia" w:ascii="仿宋_GB2312" w:hAnsi="宋体" w:eastAsia="仿宋_GB2312"/>
          <w:color w:val="000000" w:themeColor="text1"/>
          <w:kern w:val="2"/>
          <w:sz w:val="32"/>
          <w:szCs w:val="32"/>
          <w:lang w:val="en-US" w:eastAsia="zh-CN" w:bidi="ar-SA"/>
          <w14:textFill>
            <w14:solidFill>
              <w14:schemeClr w14:val="tx1"/>
            </w14:solidFill>
          </w14:textFill>
        </w:rPr>
        <w:t>2021年，我局将认真学习贯彻党的十九大及十九届二中、三中、四中、五中全会和习近平新时代中国特色社会主义精神，依法依规履行审计监督职能，当好政策落实的“督查员”，当好公共资金的“守护神”。</w:t>
      </w:r>
    </w:p>
    <w:p>
      <w:pPr>
        <w:numPr>
          <w:ilvl w:val="0"/>
          <w:numId w:val="2"/>
        </w:numPr>
        <w:ind w:firstLine="640" w:firstLineChars="200"/>
        <w:rPr>
          <w:rFonts w:hint="eastAsia" w:ascii="仿宋_GB2312" w:hAnsi="宋体" w:eastAsia="仿宋_GB2312"/>
          <w:color w:val="000000" w:themeColor="text1"/>
          <w:kern w:val="2"/>
          <w:sz w:val="32"/>
          <w:szCs w:val="32"/>
          <w:lang w:val="en-US" w:eastAsia="zh-CN" w:bidi="ar-SA"/>
          <w14:textFill>
            <w14:solidFill>
              <w14:schemeClr w14:val="tx1"/>
            </w14:solidFill>
          </w14:textFill>
        </w:rPr>
      </w:pPr>
      <w:r>
        <w:rPr>
          <w:rFonts w:hint="eastAsia" w:ascii="仿宋_GB2312" w:hAnsi="宋体" w:eastAsia="仿宋_GB2312"/>
          <w:color w:val="000000" w:themeColor="text1"/>
          <w:kern w:val="2"/>
          <w:sz w:val="32"/>
          <w:szCs w:val="32"/>
          <w:lang w:val="en-US" w:eastAsia="zh-CN" w:bidi="ar-SA"/>
          <w14:textFill>
            <w14:solidFill>
              <w14:schemeClr w14:val="tx1"/>
            </w14:solidFill>
          </w14:textFill>
        </w:rPr>
        <w:t>继续加强财政审计监督。紧紧围绕县委、县政府的目标任务，以财政预算执行审计为纽带统筹安排审计项目，</w:t>
      </w:r>
      <w:r>
        <w:rPr>
          <w:rFonts w:hint="eastAsia" w:ascii="仿宋_GB2312" w:hAnsi="仿宋_GB2312" w:eastAsia="仿宋_GB2312" w:cs="仿宋_GB2312"/>
          <w:color w:val="000000" w:themeColor="text1"/>
          <w:sz w:val="32"/>
          <w:szCs w:val="32"/>
          <w:lang w:eastAsia="zh-CN"/>
          <w14:textFill>
            <w14:solidFill>
              <w14:schemeClr w14:val="tx1"/>
            </w14:solidFill>
          </w14:textFill>
        </w:rPr>
        <w:t>积极开展新增财政资金直达基层直接惠企利民情况专项审计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和财政奖补资金专项审计</w:t>
      </w:r>
      <w:r>
        <w:rPr>
          <w:rFonts w:hint="eastAsia" w:ascii="仿宋_GB2312" w:hAnsi="仿宋_GB2312" w:eastAsia="仿宋_GB2312" w:cs="仿宋_GB2312"/>
          <w:color w:val="000000" w:themeColor="text1"/>
          <w:sz w:val="32"/>
          <w:szCs w:val="32"/>
          <w:lang w:eastAsia="zh-CN"/>
          <w14:textFill>
            <w14:solidFill>
              <w14:schemeClr w14:val="tx1"/>
            </w14:solidFill>
          </w14:textFill>
        </w:rPr>
        <w:t>工作，</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推进政府债务预算绩效管理体系建设</w:t>
      </w:r>
      <w:r>
        <w:rPr>
          <w:rFonts w:hint="eastAsia" w:ascii="仿宋_GB2312" w:hAnsi="宋体" w:eastAsia="仿宋_GB2312"/>
          <w:color w:val="000000" w:themeColor="text1"/>
          <w:kern w:val="2"/>
          <w:sz w:val="32"/>
          <w:szCs w:val="32"/>
          <w:lang w:val="en-US" w:eastAsia="zh-CN" w:bidi="ar-SA"/>
          <w14:textFill>
            <w14:solidFill>
              <w14:schemeClr w14:val="tx1"/>
            </w14:solidFill>
          </w14:textFill>
        </w:rPr>
        <w:t>。</w:t>
      </w:r>
    </w:p>
    <w:p>
      <w:pPr>
        <w:numPr>
          <w:ilvl w:val="0"/>
          <w:numId w:val="2"/>
        </w:numPr>
        <w:ind w:firstLine="640" w:firstLineChars="200"/>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宋体" w:eastAsia="仿宋_GB2312"/>
          <w:color w:val="000000" w:themeColor="text1"/>
          <w:kern w:val="2"/>
          <w:sz w:val="32"/>
          <w:szCs w:val="32"/>
          <w:lang w:val="en-US" w:eastAsia="zh-CN" w:bidi="ar-SA"/>
          <w14:textFill>
            <w14:solidFill>
              <w14:schemeClr w14:val="tx1"/>
            </w14:solidFill>
          </w14:textFill>
        </w:rPr>
        <w:t>继续加大领导干部经济责任审计力度，客观评价被审计领导干部任职期间经济责任履行情况，促进被审计领导干部守法、守纪、尽责</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同时，与领导干部自然资源资产离任审计相结合，开展生态环境审计，推动生态绿色发展，促进领导干部更好践行新发展理念，依法作为</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w:t>
      </w:r>
    </w:p>
    <w:p>
      <w:pPr>
        <w:numPr>
          <w:ilvl w:val="0"/>
          <w:numId w:val="2"/>
        </w:numPr>
        <w:ind w:firstLine="640" w:firstLineChars="200"/>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宋体" w:eastAsia="仿宋_GB2312"/>
          <w:color w:val="000000" w:themeColor="text1"/>
          <w:kern w:val="2"/>
          <w:sz w:val="32"/>
          <w:szCs w:val="32"/>
          <w:lang w:val="en-US" w:eastAsia="zh-CN" w:bidi="ar-SA"/>
          <w14:textFill>
            <w14:solidFill>
              <w14:schemeClr w14:val="tx1"/>
            </w14:solidFill>
          </w14:textFill>
        </w:rPr>
        <w:t>继续深入开展固定资产投资审计，借助社会专业机构，全面提升审计规模，加强项目资金管理，努力提高政府投资项目的经济效益和社会效益。</w:t>
      </w:r>
    </w:p>
    <w:p>
      <w:pPr>
        <w:numPr>
          <w:ilvl w:val="0"/>
          <w:numId w:val="2"/>
        </w:numPr>
        <w:ind w:firstLine="640" w:firstLineChars="200"/>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宋体" w:eastAsia="仿宋_GB2312"/>
          <w:color w:val="000000" w:themeColor="text1"/>
          <w:kern w:val="2"/>
          <w:sz w:val="32"/>
          <w:szCs w:val="32"/>
          <w:lang w:val="en-US" w:eastAsia="zh-CN" w:bidi="ar-SA"/>
          <w14:textFill>
            <w14:solidFill>
              <w14:schemeClr w14:val="tx1"/>
            </w14:solidFill>
          </w14:textFill>
        </w:rPr>
        <w:t>开展疫情防控和乡村振兴专项审计。</w:t>
      </w:r>
      <w:r>
        <w:rPr>
          <w:rFonts w:hint="eastAsia" w:ascii="仿宋_GB2312" w:hAnsi="仿宋_GB2312" w:eastAsia="仿宋_GB2312" w:cs="仿宋_GB2312"/>
          <w:i w:val="0"/>
          <w:caps w:val="0"/>
          <w:color w:val="000000" w:themeColor="text1"/>
          <w:spacing w:val="15"/>
          <w:sz w:val="32"/>
          <w:szCs w:val="32"/>
          <w:shd w:val="clear" w:fill="FFFFFF"/>
          <w14:textFill>
            <w14:solidFill>
              <w14:schemeClr w14:val="tx1"/>
            </w14:solidFill>
          </w14:textFill>
        </w:rPr>
        <w:t>坚持总体防疫工作不结束，审计监督就持续跟踪，把审计监督效应推送到防疫保障工作最前沿。把控政策要求做好审计监督推进</w:t>
      </w:r>
      <w:r>
        <w:rPr>
          <w:rFonts w:hint="eastAsia" w:ascii="仿宋_GB2312" w:hAnsi="仿宋_GB2312" w:eastAsia="仿宋_GB2312" w:cs="仿宋_GB2312"/>
          <w:i w:val="0"/>
          <w:caps w:val="0"/>
          <w:color w:val="000000" w:themeColor="text1"/>
          <w:spacing w:val="15"/>
          <w:sz w:val="32"/>
          <w:szCs w:val="32"/>
          <w:shd w:val="clear" w:fill="FFFFFF"/>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15"/>
          <w:sz w:val="32"/>
          <w:szCs w:val="32"/>
          <w:shd w:val="clear" w:fill="FFFFFF"/>
          <w14:textFill>
            <w14:solidFill>
              <w14:schemeClr w14:val="tx1"/>
            </w14:solidFill>
          </w14:textFill>
        </w:rPr>
        <w:t>坚持边审边防、边审边建、边审边改，及时推动并监督相关部门迅速、准确地将资金、物资用到位</w:t>
      </w:r>
      <w:r>
        <w:rPr>
          <w:rFonts w:hint="eastAsia" w:ascii="仿宋_GB2312" w:hAnsi="仿宋_GB2312" w:eastAsia="仿宋_GB2312" w:cs="仿宋_GB2312"/>
          <w:i w:val="0"/>
          <w:caps w:val="0"/>
          <w:color w:val="000000" w:themeColor="text1"/>
          <w:spacing w:val="15"/>
          <w:sz w:val="32"/>
          <w:szCs w:val="32"/>
          <w:shd w:val="clear" w:fill="FFFFFF"/>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15"/>
          <w:sz w:val="32"/>
          <w:szCs w:val="32"/>
          <w:shd w:val="clear" w:fill="FFFFFF"/>
          <w:lang w:val="en-US" w:eastAsia="zh-CN"/>
          <w14:textFill>
            <w14:solidFill>
              <w14:schemeClr w14:val="tx1"/>
            </w14:solidFill>
          </w14:textFill>
        </w:rPr>
        <w:t>更好发挥审计在推进国家治理现代化中的作用</w:t>
      </w:r>
      <w:r>
        <w:rPr>
          <w:rFonts w:hint="eastAsia" w:ascii="仿宋_GB2312" w:hAnsi="仿宋_GB2312" w:eastAsia="仿宋_GB2312" w:cs="仿宋_GB2312"/>
          <w:i w:val="0"/>
          <w:caps w:val="0"/>
          <w:color w:val="000000" w:themeColor="text1"/>
          <w:spacing w:val="15"/>
          <w:sz w:val="32"/>
          <w:szCs w:val="32"/>
          <w:shd w:val="clear" w:fill="FFFFFF"/>
          <w14:textFill>
            <w14:solidFill>
              <w14:schemeClr w14:val="tx1"/>
            </w14:solidFill>
          </w14:textFill>
        </w:rPr>
        <w:t>。</w:t>
      </w:r>
    </w:p>
    <w:p>
      <w:pPr>
        <w:numPr>
          <w:ilvl w:val="0"/>
          <w:numId w:val="2"/>
        </w:numPr>
        <w:ind w:firstLine="640" w:firstLineChars="200"/>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宋体" w:eastAsia="仿宋_GB2312"/>
          <w:color w:val="000000" w:themeColor="text1"/>
          <w:kern w:val="2"/>
          <w:sz w:val="32"/>
          <w:szCs w:val="32"/>
          <w:lang w:val="en-US" w:eastAsia="zh-CN" w:bidi="ar-SA"/>
          <w14:textFill>
            <w14:solidFill>
              <w14:schemeClr w14:val="tx1"/>
            </w14:solidFill>
          </w14:textFill>
        </w:rPr>
        <w:t>进一步强化审计整改工作，对审计整改情况进行跟踪督查，重点检查被审计单位执行审计意见、落实审计整改等情况，力促审计发现的问题得到全面有效整改。</w:t>
      </w:r>
    </w:p>
    <w:p>
      <w:pPr>
        <w:numPr>
          <w:ilvl w:val="0"/>
          <w:numId w:val="2"/>
        </w:numPr>
        <w:ind w:firstLine="640" w:firstLineChars="200"/>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配合做好巡视巡察工作。</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及时广泛深入学习关于巡视巡察工作的系列文件和具体要求，做到入脑入心、自觉自律</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支持巡视巡察工作，充分发挥审计职能优势，积极提供巡视巡察所需审计结果资料</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派出审计</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骨干力量共同参与各级巡视巡察</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w:t>
      </w:r>
    </w:p>
    <w:p>
      <w:pPr>
        <w:numPr>
          <w:ilvl w:val="0"/>
          <w:numId w:val="2"/>
        </w:numPr>
        <w:ind w:firstLine="640" w:firstLineChars="200"/>
      </w:pPr>
      <w:r>
        <w:rPr>
          <w:rFonts w:hint="eastAsia" w:ascii="仿宋_GB2312" w:hAnsi="仿宋_GB2312" w:eastAsia="仿宋_GB2312" w:cs="仿宋_GB2312"/>
          <w:b w:val="0"/>
          <w:bCs w:val="0"/>
          <w:color w:val="000000" w:themeColor="text1"/>
          <w:kern w:val="0"/>
          <w:sz w:val="32"/>
          <w:szCs w:val="32"/>
          <w:shd w:val="clear" w:color="auto" w:fill="FFFFFF"/>
          <w:lang w:val="en-US" w:eastAsia="zh-CN"/>
          <w14:textFill>
            <w14:solidFill>
              <w14:schemeClr w14:val="tx1"/>
            </w14:solidFill>
          </w14:textFill>
        </w:rPr>
        <w:t>强化队伍建设。按照</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w:t>
      </w:r>
      <w:r>
        <w:rPr>
          <w:rFonts w:hint="eastAsia" w:ascii="仿宋_GB2312" w:eastAsia="仿宋_GB2312" w:cs="Times New Roman"/>
          <w:color w:val="000000" w:themeColor="text1"/>
          <w:sz w:val="32"/>
          <w:szCs w:val="32"/>
          <w:lang w:val="en-US" w:eastAsia="zh-CN"/>
          <w14:textFill>
            <w14:solidFill>
              <w14:schemeClr w14:val="tx1"/>
            </w14:solidFill>
          </w14:textFill>
        </w:rPr>
        <w:t>以审计精神立身、以创新规范立业、以自身建设立信”的要求，切实加强自身建设，引进人才，</w:t>
      </w:r>
      <w:r>
        <w:rPr>
          <w:rFonts w:hint="eastAsia" w:ascii="仿宋_GB2312" w:hAnsi="仿宋_GB2312" w:eastAsia="仿宋_GB2312" w:cs="仿宋_GB2312"/>
          <w:b w:val="0"/>
          <w:bCs w:val="0"/>
          <w:color w:val="000000" w:themeColor="text1"/>
          <w:kern w:val="0"/>
          <w:sz w:val="32"/>
          <w:szCs w:val="32"/>
          <w:shd w:val="clear" w:color="auto" w:fill="FFFFFF"/>
          <w:lang w:val="en-US" w:eastAsia="zh-CN"/>
          <w14:textFill>
            <w14:solidFill>
              <w14:schemeClr w14:val="tx1"/>
            </w14:solidFill>
          </w14:textFill>
        </w:rPr>
        <w:t>加大培训力度</w:t>
      </w:r>
      <w:r>
        <w:rPr>
          <w:rFonts w:hint="eastAsia" w:ascii="仿宋_GB2312" w:hAnsi="仿宋_GB2312" w:eastAsia="仿宋_GB2312" w:cs="仿宋_GB2312"/>
          <w:color w:val="000000" w:themeColor="text1"/>
          <w:kern w:val="0"/>
          <w:sz w:val="32"/>
          <w:szCs w:val="32"/>
          <w:shd w:val="clear" w:color="auto" w:fill="FFFFFF"/>
          <w:lang w:val="en-US" w:eastAsia="zh-CN"/>
          <w14:textFill>
            <w14:solidFill>
              <w14:schemeClr w14:val="tx1"/>
            </w14:solidFill>
          </w14:textFill>
        </w:rPr>
        <w:t>，及时更新知识结构，</w:t>
      </w:r>
      <w:r>
        <w:rPr>
          <w:rFonts w:hint="eastAsia" w:ascii="仿宋_GB2312" w:hAnsi="仿宋_GB2312" w:eastAsia="仿宋_GB2312" w:cs="仿宋_GB2312"/>
          <w:color w:val="000000" w:themeColor="text1"/>
          <w:sz w:val="32"/>
          <w:szCs w:val="32"/>
          <w:u w:val="none"/>
          <w14:textFill>
            <w14:solidFill>
              <w14:schemeClr w14:val="tx1"/>
            </w14:solidFill>
          </w14:textFill>
        </w:rPr>
        <w:t>激励审计干部担当作为</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，强化审计人员的责任意识、规范意识、质量意识、服务意识、成本意识，着力提升审计监督服务水平，为</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道县</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经济</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社会高质量</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发展保驾护航。</w:t>
      </w:r>
      <w:bookmarkStart w:id="0" w:name="_GoBack"/>
      <w:bookmarkEnd w:id="0"/>
      <w:r>
        <w:rPr>
          <w:rFonts w:hint="eastAsia" w:ascii="宋体" w:hAnsi="宋体"/>
          <w:sz w:val="30"/>
          <w:szCs w:val="30"/>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AD2421"/>
    <w:multiLevelType w:val="singleLevel"/>
    <w:tmpl w:val="BDAD2421"/>
    <w:lvl w:ilvl="0" w:tentative="0">
      <w:start w:val="1"/>
      <w:numFmt w:val="chineseCounting"/>
      <w:suff w:val="nothing"/>
      <w:lvlText w:val="（%1）"/>
      <w:lvlJc w:val="left"/>
      <w:rPr>
        <w:rFonts w:hint="eastAsia"/>
      </w:rPr>
    </w:lvl>
  </w:abstractNum>
  <w:abstractNum w:abstractNumId="1">
    <w:nsid w:val="4350432E"/>
    <w:multiLevelType w:val="singleLevel"/>
    <w:tmpl w:val="4350432E"/>
    <w:lvl w:ilvl="0" w:tentative="0">
      <w:start w:val="2"/>
      <w:numFmt w:val="chineseCounting"/>
      <w:suff w:val="nothing"/>
      <w:lvlText w:val="%1、"/>
      <w:lvlJc w:val="left"/>
      <w:pPr>
        <w:ind w:left="901" w:leftChars="0" w:firstLine="0" w:firstLineChars="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CC5093"/>
    <w:rsid w:val="10CE1BFA"/>
    <w:rsid w:val="120B52C0"/>
    <w:rsid w:val="231C7F2B"/>
    <w:rsid w:val="28D32FD5"/>
    <w:rsid w:val="331F10B0"/>
    <w:rsid w:val="41D82B48"/>
    <w:rsid w:val="455A23E6"/>
    <w:rsid w:val="491431D4"/>
    <w:rsid w:val="52AF6206"/>
    <w:rsid w:val="65A31DD7"/>
    <w:rsid w:val="676563B3"/>
    <w:rsid w:val="6E294DA7"/>
    <w:rsid w:val="724634B1"/>
    <w:rsid w:val="724942AA"/>
    <w:rsid w:val="74854D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customStyle="1" w:styleId="2">
    <w:name w:val="列出段落1"/>
    <w:qFormat/>
    <w:uiPriority w:val="0"/>
    <w:pPr>
      <w:widowControl w:val="0"/>
      <w:ind w:firstLine="420"/>
      <w:jc w:val="both"/>
    </w:pPr>
    <w:rPr>
      <w:rFonts w:ascii="Times New Roman" w:hAnsi="Times New Roman" w:eastAsia="宋体" w:cs="黑体"/>
      <w:kern w:val="2"/>
      <w:sz w:val="21"/>
      <w:szCs w:val="24"/>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unhideWhenUsed/>
    <w:qFormat/>
    <w:uiPriority w:val="0"/>
    <w:pPr>
      <w:spacing w:before="100" w:beforeAutospacing="1" w:after="100" w:afterAutospacing="1"/>
      <w:jc w:val="left"/>
    </w:pPr>
    <w:rPr>
      <w:rFonts w:ascii="Calibri" w:hAnsi="Calibri"/>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2021-06-20T03:01:00Z</dcterms:created>
  <dc:creator>Lenovo</dc:creator>
  <cp:lastModifiedBy>Administrator</cp:lastModifiedBy>
  <dcterms:modified xsi:type="dcterms:W3CDTF">2021-09-08T09:50:56Z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ICV">
    <vt:lpwstr>33082FB00EFD4550972A4228F4969BF4</vt:lpwstr>
  </property>
</Properties>
</file>