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"/>
        <w:jc w:val="center"/>
        <w:rPr>
          <w:rFonts w:hint="default" w:ascii="仿宋_GB2312" w:eastAsia="仿宋_GB2312" w:cs="仿宋_GB2312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44"/>
          <w:szCs w:val="44"/>
        </w:rPr>
        <w:t>2022年道县乡村振兴局部门预算</w:t>
      </w:r>
    </w:p>
    <w:p>
      <w:pPr>
        <w:spacing w:after="2"/>
        <w:jc w:val="center"/>
        <w:rPr>
          <w:rFonts w:hint="default" w:ascii="仿宋_GB2312" w:eastAsia="仿宋_GB2312" w:cs="仿宋_GB2312"/>
          <w:sz w:val="21"/>
          <w:szCs w:val="21"/>
        </w:rPr>
      </w:pPr>
    </w:p>
    <w:p>
      <w:pPr>
        <w:spacing w:after="2"/>
        <w:jc w:val="center"/>
        <w:rPr>
          <w:rFonts w:hint="default" w:ascii="仿宋_GB2312" w:eastAsia="仿宋_GB2312" w:cs="仿宋_GB2312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目 录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color w:val="0000FF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第一部分 2022年部门预算说明</w:t>
      </w:r>
    </w:p>
    <w:p>
      <w:pPr>
        <w:pStyle w:val="8"/>
        <w:spacing w:before="0" w:beforeAutospacing="0" w:after="2" w:afterAutospacing="0"/>
        <w:ind w:firstLine="700"/>
        <w:rPr>
          <w:rFonts w:hint="default" w:cs="宋体"/>
        </w:rPr>
      </w:pPr>
      <w:r>
        <w:rPr>
          <w:rFonts w:cs="宋体"/>
          <w:b/>
          <w:bCs/>
          <w:color w:val="000000"/>
          <w:sz w:val="32"/>
          <w:szCs w:val="32"/>
        </w:rPr>
        <w:t>一、部门基本概况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（一）职能职责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（二）机构设置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二、部门预算单位构成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三、部门收支总体情况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四、一般公共预算拨款支出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五、政府性基金预算支出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六、其他重要事项的情况说明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（一）机关运行经费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（二）“三公”经费预算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（三）一般性支出情况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（四）政府采购情况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（五）国有资产占用使用及新增资产配置情况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（六）预算绩效目标说明</w:t>
      </w:r>
    </w:p>
    <w:p>
      <w:pPr>
        <w:spacing w:after="2"/>
        <w:ind w:firstLine="643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七、名词解释</w:t>
      </w:r>
    </w:p>
    <w:p>
      <w:pPr>
        <w:spacing w:after="2"/>
        <w:ind w:firstLine="643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第二部分 2022年部门预算表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1、收支总表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2、收入总表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3、支出总表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4、支出分类（政府预算）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5、支出分类（部门预算）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6、财政拨款收支总表</w:t>
      </w:r>
    </w:p>
    <w:p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7、一般公共预算支出表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8、一般公共预算基本支出表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、一般公共预算基本支出表-人员经费（工资福利支出）（按政府预算经济分类）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、一般公共预算基本支出表-人员经费（工资福利支出）（按部门预算经济分类）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、一般公共预算基本支出表-人员经费（对个人和家庭的补助）（按政府预算经济分类）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、一般公共预算基本支出表-人员经费（对个人和家庭的补助）（按部门预算经济分类）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公用</w:t>
      </w:r>
      <w:r>
        <w:rPr>
          <w:rFonts w:ascii="仿宋_GB2312" w:eastAsia="仿宋_GB2312" w:cs="仿宋_GB2312"/>
          <w:color w:val="000000"/>
          <w:sz w:val="32"/>
          <w:szCs w:val="32"/>
        </w:rPr>
        <w:t>经费（商品和服务支出）（按政府预算经济分类）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、一般公共预算基本支出表-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公用</w:t>
      </w:r>
      <w:r>
        <w:rPr>
          <w:rFonts w:ascii="仿宋_GB2312" w:eastAsia="仿宋_GB2312" w:cs="仿宋_GB2312"/>
          <w:color w:val="000000"/>
          <w:sz w:val="32"/>
          <w:szCs w:val="32"/>
        </w:rPr>
        <w:t>经费（商品和服务支出）（按部门预算经济分类）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一般公共预算“三公”经费支出表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预算支出表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预算支出分类汇总表</w:t>
      </w:r>
      <w:r>
        <w:rPr>
          <w:rFonts w:ascii="仿宋_GB2312" w:eastAsia="仿宋_GB2312" w:cs="仿宋_GB2312"/>
          <w:color w:val="000000"/>
          <w:sz w:val="32"/>
          <w:szCs w:val="32"/>
        </w:rPr>
        <w:t>（政府预算）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、政府性基金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预算支出分类汇总表</w:t>
      </w:r>
      <w:r>
        <w:rPr>
          <w:rFonts w:ascii="仿宋_GB2312" w:eastAsia="仿宋_GB2312" w:cs="仿宋_GB2312"/>
          <w:color w:val="000000"/>
          <w:sz w:val="32"/>
          <w:szCs w:val="32"/>
        </w:rPr>
        <w:t>（部门预算）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、国有资本经营预算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、财政专户管理资金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专项资金预算汇总表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after="2"/>
        <w:jc w:val="center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第一部分 部门预算说明</w:t>
      </w:r>
    </w:p>
    <w:p>
      <w:pPr>
        <w:spacing w:after="2"/>
        <w:rPr>
          <w:rFonts w:hint="default" w:ascii="仿宋_GB2312" w:eastAsia="仿宋_GB2312" w:cs="仿宋_GB2312"/>
          <w:sz w:val="21"/>
          <w:szCs w:val="21"/>
        </w:rPr>
      </w:pPr>
    </w:p>
    <w:p>
      <w:pPr>
        <w:spacing w:after="2"/>
        <w:ind w:firstLine="627"/>
        <w:rPr>
          <w:rFonts w:hint="default" w:ascii="仿宋_GB2312" w:eastAsia="仿宋_GB2312" w:cs="仿宋_GB2312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一、部门基本概况</w:t>
      </w:r>
    </w:p>
    <w:p>
      <w:pPr>
        <w:spacing w:after="2"/>
        <w:ind w:firstLine="627"/>
        <w:rPr>
          <w:rFonts w:hint="default" w:ascii="仿宋_GB2312" w:eastAsia="仿宋_GB2312" w:cs="仿宋_GB2312"/>
          <w:color w:val="000000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（一）职能职责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1、贯彻落实国家有关乡村振兴方针、政策和省、市、县决策部署，编制实施乡村振兴发展规划及年度计划；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2、负责全县乡村振兴项目的评估、申报和项目计划</w:t>
      </w:r>
    </w:p>
    <w:p>
      <w:pPr>
        <w:spacing w:line="60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下达、组织与实施工作，组织开展精准扶贫工作考核；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3、负责全县乡村振兴衔接资金的筹集管理与监督检查工作；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4、会同有关部门抓好中央和省、市、县乡村振兴衔接资金的监督管理；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5、负责驻村帮扶工作和结对帮扶工作的日常管理；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6、负责道县县委组织实施乡村振兴战略领导小组的日常工作；</w:t>
      </w:r>
    </w:p>
    <w:p>
      <w:pPr>
        <w:spacing w:line="700" w:lineRule="exact"/>
        <w:ind w:firstLine="480" w:firstLineChars="15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7、承办县委、县政府交办的其他工作。</w:t>
      </w:r>
    </w:p>
    <w:p>
      <w:pPr>
        <w:spacing w:after="2"/>
        <w:ind w:firstLine="628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（二）机构设置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根据编委核定，我局内设股室6个，仅有本级单位，纳入2022年部门预算编制范围。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内设机构分别是</w:t>
      </w:r>
      <w:r>
        <w:rPr>
          <w:rFonts w:hint="default" w:ascii="Times New Roman" w:hAnsi="Times New Roman" w:eastAsia="仿宋_GB2312"/>
          <w:bCs/>
          <w:sz w:val="32"/>
          <w:szCs w:val="32"/>
        </w:rPr>
        <w:t>综合</w:t>
      </w:r>
      <w:r>
        <w:rPr>
          <w:rFonts w:ascii="Times New Roman" w:hAnsi="Times New Roman" w:eastAsia="仿宋_GB2312"/>
          <w:bCs/>
          <w:sz w:val="32"/>
          <w:szCs w:val="32"/>
        </w:rPr>
        <w:t>人事</w:t>
      </w:r>
      <w:r>
        <w:rPr>
          <w:rFonts w:hint="default" w:ascii="Times New Roman" w:hAnsi="Times New Roman" w:eastAsia="仿宋_GB2312"/>
          <w:bCs/>
          <w:sz w:val="32"/>
          <w:szCs w:val="32"/>
        </w:rPr>
        <w:t>股、开发指导股、</w:t>
      </w:r>
      <w:r>
        <w:rPr>
          <w:rFonts w:ascii="Times New Roman" w:hAnsi="Times New Roman" w:eastAsia="仿宋_GB2312"/>
          <w:bCs/>
          <w:sz w:val="32"/>
          <w:szCs w:val="32"/>
        </w:rPr>
        <w:t>贫困</w:t>
      </w:r>
      <w:r>
        <w:rPr>
          <w:rFonts w:hint="default" w:ascii="Times New Roman" w:hAnsi="Times New Roman" w:eastAsia="仿宋_GB2312"/>
          <w:bCs/>
          <w:sz w:val="32"/>
          <w:szCs w:val="32"/>
        </w:rPr>
        <w:t>监测股、</w:t>
      </w:r>
      <w:r>
        <w:rPr>
          <w:rFonts w:ascii="Times New Roman" w:hAnsi="Times New Roman" w:eastAsia="仿宋_GB2312"/>
          <w:bCs/>
          <w:sz w:val="32"/>
          <w:szCs w:val="32"/>
        </w:rPr>
        <w:t>调研法规政策协调股、规划财务股、督察考核股</w:t>
      </w:r>
      <w:r>
        <w:rPr>
          <w:rFonts w:eastAsia="仿宋_GB2312"/>
          <w:sz w:val="32"/>
          <w:szCs w:val="32"/>
        </w:rPr>
        <w:t>。</w:t>
      </w:r>
    </w:p>
    <w:p>
      <w:pPr>
        <w:spacing w:after="2"/>
        <w:ind w:firstLine="627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二、部门预算单位构成</w:t>
      </w:r>
    </w:p>
    <w:p>
      <w:pPr>
        <w:spacing w:line="700" w:lineRule="exact"/>
        <w:ind w:firstLine="480" w:firstLineChars="15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道县乡村振兴局只有本级，没有其他二级预算单位，因此，纳入2022年部门预算编制范围的只有道县乡村振兴局本级。</w:t>
      </w:r>
    </w:p>
    <w:p>
      <w:pPr>
        <w:spacing w:after="2"/>
        <w:ind w:firstLine="627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三、部门收支总体情况</w:t>
      </w:r>
    </w:p>
    <w:p>
      <w:pPr>
        <w:spacing w:after="2"/>
        <w:ind w:firstLine="628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hAnsi="仿宋_GB2312" w:eastAsia="仿宋_GB2312" w:cs="仿宋_GB2312"/>
          <w:sz w:val="32"/>
          <w:szCs w:val="32"/>
        </w:rPr>
        <w:t>2022年年初预算数3256.91万元，其中：工资福利收入预算数135.81万元，一般商品和服务收入预算数51.8万元，项目收入3069.8万元。</w:t>
      </w:r>
      <w:r>
        <w:rPr>
          <w:rFonts w:ascii="仿宋_GB2312" w:eastAsia="仿宋_GB2312" w:cs="仿宋_GB2312"/>
          <w:color w:val="000000"/>
          <w:sz w:val="32"/>
          <w:szCs w:val="32"/>
        </w:rPr>
        <w:t>2022年本部门收入预算</w:t>
      </w:r>
      <w:r>
        <w:rPr>
          <w:rFonts w:ascii="仿宋_GB2312" w:hAnsi="仿宋_GB2312" w:eastAsia="仿宋_GB2312" w:cs="仿宋_GB2312"/>
          <w:sz w:val="32"/>
          <w:szCs w:val="32"/>
        </w:rPr>
        <w:t>3256.91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万元，其中，一般公共预算拨款</w:t>
      </w:r>
      <w:r>
        <w:rPr>
          <w:rFonts w:ascii="仿宋_GB2312" w:hAnsi="仿宋_GB2312" w:eastAsia="仿宋_GB2312" w:cs="仿宋_GB2312"/>
          <w:sz w:val="32"/>
          <w:szCs w:val="32"/>
        </w:rPr>
        <w:t>3256.91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</w:p>
    <w:p>
      <w:pPr>
        <w:spacing w:after="2"/>
        <w:ind w:firstLine="628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收入较去年增加3044.02万元，主要原因有二：一是2022年度预计发生的项目支出纳入年初预算，包括县级特批乡村振兴工作经费及县级配套乡村振兴衔接资金等；二是衔接过程中职能调整有所变化。</w:t>
      </w:r>
    </w:p>
    <w:p>
      <w:pPr>
        <w:numPr>
          <w:ilvl w:val="0"/>
          <w:numId w:val="1"/>
        </w:numPr>
        <w:spacing w:line="700" w:lineRule="exact"/>
        <w:ind w:firstLine="482" w:firstLineChars="15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支出预算：</w:t>
      </w:r>
      <w:r>
        <w:rPr>
          <w:rFonts w:ascii="仿宋_GB2312" w:hAnsi="仿宋_GB2312" w:eastAsia="仿宋_GB2312" w:cs="仿宋_GB2312"/>
          <w:sz w:val="32"/>
          <w:szCs w:val="32"/>
        </w:rPr>
        <w:t>2022年年初预算数3256.91万元，其中，工资福利收入预算数135.81万元，一般商品和服务收入预算数51.8万元，项目收入3069.8万元。</w:t>
      </w:r>
    </w:p>
    <w:p>
      <w:pPr>
        <w:spacing w:after="2"/>
        <w:ind w:firstLine="628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支出较去年增加3044.02万元，主要原因有二：一是2022年度预计发生的项目支出纳入年初预算，包括县级特批乡村振兴工作经费及县级配套乡村振兴衔接资金等；二是衔接过程中职能调整有所变化。</w:t>
      </w:r>
    </w:p>
    <w:p>
      <w:pPr>
        <w:tabs>
          <w:tab w:val="left" w:pos="7490"/>
        </w:tabs>
        <w:spacing w:line="700" w:lineRule="exact"/>
        <w:ind w:firstLine="627" w:firstLineChars="196"/>
        <w:rPr>
          <w:rFonts w:hint="default"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四、一般公共预算拨款支出预算</w:t>
      </w:r>
      <w:r>
        <w:rPr>
          <w:rFonts w:ascii="仿宋_GB2312" w:hAnsi="仿宋_GB2312" w:eastAsia="仿宋_GB2312" w:cs="仿宋_GB2312"/>
          <w:b/>
          <w:sz w:val="32"/>
          <w:szCs w:val="32"/>
        </w:rPr>
        <w:tab/>
      </w:r>
    </w:p>
    <w:p>
      <w:pPr>
        <w:spacing w:line="700" w:lineRule="exact"/>
        <w:ind w:firstLine="66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2022年一般公共预算拨款收入3256.91万元，具体安排情况如下：</w:t>
      </w:r>
    </w:p>
    <w:p>
      <w:pPr>
        <w:numPr>
          <w:ilvl w:val="0"/>
          <w:numId w:val="2"/>
        </w:numPr>
        <w:spacing w:line="700" w:lineRule="exact"/>
        <w:ind w:firstLine="66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基本支出：</w:t>
      </w:r>
      <w:r>
        <w:rPr>
          <w:rFonts w:ascii="仿宋_GB2312" w:hAnsi="仿宋_GB2312" w:eastAsia="仿宋_GB2312" w:cs="仿宋_GB2312"/>
          <w:sz w:val="32"/>
          <w:szCs w:val="32"/>
        </w:rPr>
        <w:t>2021年预算数为187.11万元，是指为保障单位机构正常运转、完成日常工作任务而发生的各项支出，包括用于基本工资、津贴补贴等人员经费以及办公费、印刷费、水电费、办公设备购置等日常工作运转经费。</w:t>
      </w:r>
    </w:p>
    <w:p>
      <w:pPr>
        <w:spacing w:line="7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1.工资福利支出</w:t>
      </w:r>
      <w:r>
        <w:rPr>
          <w:rFonts w:ascii="仿宋_GB2312" w:hAnsi="仿宋_GB2312" w:eastAsia="仿宋_GB2312" w:cs="仿宋_GB2312"/>
          <w:sz w:val="32"/>
          <w:szCs w:val="32"/>
        </w:rPr>
        <w:t>。全年工资福利预算支出共计135.81万元，其中：基本工资101.75万元，津贴补贴37.52万元，奖金3.94万元，绩效工资6.49万元，基本养老保险缴费14.85万元，基本医疗缴费8.07万元，住房公积金11.14万元。</w:t>
      </w:r>
    </w:p>
    <w:p>
      <w:pPr>
        <w:spacing w:line="7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2.一般商品和服务支出</w:t>
      </w:r>
      <w:r>
        <w:rPr>
          <w:rFonts w:ascii="仿宋_GB2312" w:hAnsi="仿宋_GB2312" w:eastAsia="仿宋_GB2312" w:cs="仿宋_GB2312"/>
          <w:sz w:val="32"/>
          <w:szCs w:val="32"/>
        </w:rPr>
        <w:t>。指公用经费51.3万元，是指乡村振兴局为完成工作任务用于设备设施的维持性费用支出，以及直接用于公务活动的支出，具体包括办公费、印刷费、差旅费、公务接待费、福利费、修缮费、设备购置费、其他费用等。</w:t>
      </w:r>
    </w:p>
    <w:p>
      <w:pPr>
        <w:spacing w:line="700" w:lineRule="exact"/>
        <w:ind w:firstLine="66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（二）项目支出：</w:t>
      </w:r>
      <w:r>
        <w:rPr>
          <w:rFonts w:ascii="仿宋_GB2312" w:hAnsi="仿宋_GB2312" w:eastAsia="仿宋_GB2312" w:cs="仿宋_GB2312"/>
          <w:sz w:val="32"/>
          <w:szCs w:val="32"/>
        </w:rPr>
        <w:t>2022年项目支出年初预算数为3069.8万元，</w:t>
      </w:r>
      <w:r>
        <w:rPr>
          <w:rFonts w:ascii="仿宋_GB2312" w:eastAsia="仿宋_GB2312" w:cs="仿宋_GB2312"/>
          <w:color w:val="000000"/>
          <w:sz w:val="32"/>
          <w:szCs w:val="32"/>
        </w:rPr>
        <w:t>主要是部门为完成特定行政工作任务或事业发展目标而发生的支出，包括有关事业发展专项、专项业务费、基本建设支出等，</w:t>
      </w:r>
      <w:r>
        <w:rPr>
          <w:rFonts w:ascii="仿宋_GB2312" w:hAnsi="仿宋_GB2312" w:eastAsia="仿宋_GB2312" w:cs="仿宋_GB2312"/>
          <w:sz w:val="32"/>
          <w:szCs w:val="32"/>
        </w:rPr>
        <w:t>其中：社会扶贫网管理中心人员经费、管理费及工作经费18.1万元，主要用于社会扶贫网员工工资、培训费等相关费用；乡村振兴品牌创建活动60万元，主要用于打造乡村振兴“三片引领”做好“三色”文章，一片开展一次现场活动。邀请中央、省级主流媒体宣传报道“三片引领”靓丽名片；乡村振兴政策宣传35万元，用于印刷2022年乡村振兴政策宣传挂历及印刷2022年乡村振兴政策口袋书；各项考核经费、专项核查、督查经费、培训费、会议费等工作经费110万元，用于县级开展乡村振兴工作支出；防贫综合保险开支381.6万元，用于农村人口防止因病、因学、因灾返贫投保；乡村振兴领导小组办公室工作经费19万元，主要用于乡村振兴领导小组办公室日常工作经费开支；县级财政衔接推进乡村振兴补助资金县级配套2300万元，主要用于实施产业发展、基础设施、人居环境政治等项目资金；乡村振兴招商引资工作经费30万元，主要用于乡村振兴发展方向的招商引资工作开支；县级年终考核奖金116.1万元，用于全县绩效考核奖励发放开支。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五、政府性基金预算支出</w:t>
      </w:r>
    </w:p>
    <w:p>
      <w:pPr>
        <w:spacing w:line="700" w:lineRule="exact"/>
        <w:ind w:firstLine="480" w:firstLineChars="15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2022年本部门无政府性基金安排的支出。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六、其他重要事项的情况说明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机关运行经费</w:t>
      </w:r>
    </w:p>
    <w:p>
      <w:pPr>
        <w:spacing w:line="700" w:lineRule="exact"/>
        <w:ind w:firstLine="480" w:firstLineChars="15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2022年本部门机关运行经费51.3万元，比上年预算保持不变，主要是乡村振兴工作衔接期间保障的工作经费。</w:t>
      </w:r>
    </w:p>
    <w:p>
      <w:pPr>
        <w:spacing w:after="2"/>
        <w:ind w:firstLine="660"/>
        <w:jc w:val="both"/>
        <w:rPr>
          <w:rFonts w:hint="default" w:cs="宋体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）“三公”经费预算</w:t>
      </w:r>
    </w:p>
    <w:p>
      <w:pPr>
        <w:spacing w:line="700" w:lineRule="exact"/>
        <w:ind w:firstLine="66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2022年本单位本级“三公”经费预算数为5万元，其中：公务接待费5万元，公务用车购置及运行费0万元（公车移交机关事务局的公车平台），因公出国（境）费 0万元。2022年“三公”经费预算比2021年“三公”经费预算5万元相同，本单位按照以往年度的公务接待开支填列，保持不变。</w:t>
      </w:r>
    </w:p>
    <w:p>
      <w:pPr>
        <w:spacing w:after="2"/>
        <w:ind w:firstLine="660"/>
        <w:jc w:val="both"/>
        <w:rPr>
          <w:rFonts w:hint="default" w:cs="宋体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）一般性支出情况</w:t>
      </w:r>
    </w:p>
    <w:p>
      <w:pPr>
        <w:spacing w:line="700" w:lineRule="exact"/>
        <w:ind w:firstLine="480" w:firstLineChars="15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2022年本部门会议费预算6万元，主要是本单位开展乡村振兴工作布置会、动态监控系统安排会等；培训费预算6万元，主要是本单位项目管理培训会、动态监控系统清洗培训费等。</w:t>
      </w:r>
    </w:p>
    <w:p>
      <w:pPr>
        <w:spacing w:after="2"/>
        <w:ind w:firstLine="660"/>
        <w:jc w:val="both"/>
        <w:rPr>
          <w:rFonts w:hint="default" w:cs="宋体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四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）政府采购情况</w:t>
      </w:r>
    </w:p>
    <w:p>
      <w:pPr>
        <w:spacing w:after="2"/>
        <w:ind w:firstLine="660"/>
        <w:jc w:val="both"/>
        <w:rPr>
          <w:rFonts w:hint="default" w:ascii="仿宋_GB2312" w:eastAsia="仿宋_GB2312" w:cs="仿宋_GB2312"/>
          <w:color w:val="000000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2022年本部门政府采购预算总额0万元，其中，货物类采购预算0万元；工程类采购预算0万元；服务类采购预算0万元。</w:t>
      </w:r>
    </w:p>
    <w:p>
      <w:pPr>
        <w:spacing w:after="2"/>
        <w:ind w:firstLine="660"/>
        <w:rPr>
          <w:rFonts w:hint="default" w:cs="宋体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五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）国有资产占用使用及新增资产配置情况</w:t>
      </w:r>
    </w:p>
    <w:p>
      <w:pPr>
        <w:spacing w:after="2"/>
        <w:ind w:firstLine="660"/>
        <w:rPr>
          <w:rFonts w:hint="default" w:ascii="仿宋_GB2312" w:eastAsia="仿宋_GB2312" w:cs="仿宋_GB2312"/>
          <w:color w:val="000000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截至2021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2022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spacing w:after="2"/>
        <w:ind w:firstLine="660"/>
        <w:rPr>
          <w:rFonts w:hint="default" w:cs="宋体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）预算绩效目标说明</w:t>
      </w:r>
    </w:p>
    <w:p>
      <w:pPr>
        <w:spacing w:after="2"/>
        <w:ind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本部门所有支出实行绩效目标管理。纳入2022年部门整体支出绩效目标的金额为3,256.91万元，其中，基本支出187.11万元，项目支出3,069.80万元。</w:t>
      </w:r>
    </w:p>
    <w:p>
      <w:pPr>
        <w:spacing w:after="2"/>
        <w:ind w:firstLine="66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七、名词解释</w:t>
      </w:r>
    </w:p>
    <w:p>
      <w:pPr>
        <w:spacing w:after="2"/>
        <w:ind w:firstLine="643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bookmarkStart w:id="0" w:name="_GoBack"/>
      <w:bookmarkEnd w:id="0"/>
    </w:p>
    <w:p>
      <w:pPr>
        <w:spacing w:after="2"/>
        <w:ind w:firstLine="643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2、项目支出：是指单位为完成特定行政工作任务或事业发展目标而发生的支出。</w:t>
      </w:r>
    </w:p>
    <w:p>
      <w:pPr>
        <w:spacing w:after="2"/>
        <w:ind w:firstLine="643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after="2"/>
        <w:ind w:firstLine="643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after="2"/>
        <w:ind w:firstLine="640"/>
        <w:rPr>
          <w:rFonts w:hint="default" w:ascii="仿宋_GB2312" w:eastAsia="仿宋_GB2312" w:cs="仿宋_GB2312"/>
          <w:sz w:val="21"/>
          <w:szCs w:val="21"/>
        </w:rPr>
      </w:pPr>
    </w:p>
    <w:p>
      <w:pPr>
        <w:spacing w:after="2"/>
        <w:rPr>
          <w:rFonts w:hint="default" w:ascii="仿宋_GB2312" w:eastAsia="仿宋_GB2312" w:cs="仿宋_GB2312"/>
          <w:sz w:val="21"/>
          <w:szCs w:val="21"/>
        </w:rPr>
      </w:pPr>
    </w:p>
    <w:p>
      <w:pPr>
        <w:spacing w:after="2"/>
        <w:jc w:val="both"/>
        <w:rPr>
          <w:rFonts w:hint="default" w:ascii="仿宋_GB2312" w:eastAsia="仿宋_GB2312" w:cs="仿宋_GB2312"/>
          <w:sz w:val="21"/>
          <w:szCs w:val="21"/>
        </w:rPr>
      </w:pPr>
    </w:p>
    <w:p>
      <w:pPr>
        <w:spacing w:after="2"/>
        <w:ind w:firstLine="720"/>
        <w:jc w:val="center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第二部分 2022年部门预算表</w:t>
      </w:r>
    </w:p>
    <w:p>
      <w:pPr>
        <w:spacing w:after="2"/>
        <w:ind w:firstLine="660"/>
        <w:jc w:val="center"/>
        <w:rPr>
          <w:rFonts w:hint="default" w:ascii="仿宋_GB2312" w:eastAsia="仿宋_GB2312" w:cs="仿宋_GB2312"/>
          <w:color w:val="000000"/>
          <w:sz w:val="32"/>
          <w:szCs w:val="32"/>
        </w:rPr>
      </w:pPr>
    </w:p>
    <w:p>
      <w:pPr>
        <w:spacing w:after="2"/>
        <w:ind w:firstLine="660"/>
        <w:jc w:val="center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"道县乡村振兴局2022年部门预算公开表.xlsx" </w:instrText>
      </w:r>
      <w:r>
        <w:fldChar w:fldCharType="separate"/>
      </w:r>
      <w:r>
        <w:rPr>
          <w:rStyle w:val="7"/>
          <w:rFonts w:ascii="仿宋_GB2312" w:eastAsia="仿宋_GB2312" w:cs="仿宋_GB2312"/>
          <w:color w:val="000000"/>
          <w:sz w:val="32"/>
          <w:szCs w:val="32"/>
        </w:rPr>
        <w:t>道县乡村振兴局2022年部门预算公开表.xlsx</w:t>
      </w:r>
      <w:r>
        <w:rPr>
          <w:rStyle w:val="7"/>
          <w:rFonts w:asci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spacing w:after="2"/>
        <w:ind w:firstLine="660"/>
        <w:jc w:val="center"/>
        <w:rPr>
          <w:rFonts w:hint="default" w:ascii="仿宋_GB2312" w:eastAsia="仿宋_GB2312" w:cs="仿宋_GB2312"/>
          <w:color w:val="000000"/>
          <w:sz w:val="21"/>
          <w:szCs w:val="21"/>
        </w:rPr>
      </w:pPr>
    </w:p>
    <w:p>
      <w:pPr>
        <w:spacing w:after="2"/>
        <w:ind w:firstLine="660"/>
        <w:jc w:val="both"/>
        <w:rPr>
          <w:rFonts w:hint="default" w:ascii="仿宋_GB2312" w:eastAsia="仿宋_GB2312" w:cs="仿宋_GB2312"/>
          <w:color w:val="000000"/>
          <w:sz w:val="21"/>
          <w:szCs w:val="21"/>
        </w:rPr>
      </w:pPr>
    </w:p>
    <w:p>
      <w:pPr>
        <w:spacing w:line="700" w:lineRule="exact"/>
        <w:ind w:firstLine="480" w:firstLineChars="150"/>
        <w:rPr>
          <w:rFonts w:hint="default" w:ascii="仿宋_GB2312" w:eastAsia="仿宋_GB2312" w:cs="仿宋_GB2312"/>
          <w:color w:val="000000"/>
          <w:sz w:val="32"/>
          <w:szCs w:val="32"/>
        </w:rPr>
      </w:pPr>
    </w:p>
    <w:p>
      <w:pPr>
        <w:spacing w:after="2"/>
        <w:ind w:firstLine="627"/>
        <w:rPr>
          <w:rFonts w:hint="default" w:ascii="仿宋_GB2312" w:eastAsia="仿宋_GB2312" w:cs="仿宋_GB2312"/>
          <w:color w:val="000000"/>
          <w:sz w:val="21"/>
          <w:szCs w:val="21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3838A"/>
    <w:multiLevelType w:val="singleLevel"/>
    <w:tmpl w:val="9D0383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F3BFD2"/>
    <w:multiLevelType w:val="singleLevel"/>
    <w:tmpl w:val="C4F3B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c3NDI5MzYxNGMxNTRmYWMwMGQ2OWZlY2E2ODc4OWUifQ=="/>
  </w:docVars>
  <w:rsids>
    <w:rsidRoot w:val="00D923E2"/>
    <w:rsid w:val="003E4F0A"/>
    <w:rsid w:val="00817237"/>
    <w:rsid w:val="009B683F"/>
    <w:rsid w:val="00D923E2"/>
    <w:rsid w:val="0AED6203"/>
    <w:rsid w:val="28C32F63"/>
    <w:rsid w:val="2CD6667B"/>
    <w:rsid w:val="30E21348"/>
    <w:rsid w:val="3DB129B1"/>
    <w:rsid w:val="4557299B"/>
    <w:rsid w:val="46287097"/>
    <w:rsid w:val="4655459E"/>
    <w:rsid w:val="486C49B0"/>
    <w:rsid w:val="5B911FBB"/>
    <w:rsid w:val="6C5429C5"/>
    <w:rsid w:val="6E7004A6"/>
    <w:rsid w:val="718D681F"/>
    <w:rsid w:val="76BF646F"/>
    <w:rsid w:val="77835261"/>
    <w:rsid w:val="7E736BE6"/>
    <w:rsid w:val="7F25708B"/>
    <w:rsid w:val="7FEC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普通(网站) Char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页眉 Char"/>
    <w:basedOn w:val="5"/>
    <w:link w:val="3"/>
    <w:qFormat/>
    <w:uiPriority w:val="0"/>
    <w:rPr>
      <w:rFonts w:ascii="宋体" w:hAnsi="宋体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3237</Words>
  <Characters>440</Characters>
  <Lines>3</Lines>
  <Paragraphs>7</Paragraphs>
  <TotalTime>7</TotalTime>
  <ScaleCrop>false</ScaleCrop>
  <LinksUpToDate>false</LinksUpToDate>
  <CharactersWithSpaces>3670</CharactersWithSpaces>
  <Application>WPS Office_11.1.0.9208_F1E327BC-269C-435d-A152-05C5408002CA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2023-09-25T02:31:00Z</dcterms:created>
  <dc:creator>V5490</dc:creator>
  <cp:lastModifiedBy>。</cp:lastModifiedBy>
  <dcterms:modified xsi:type="dcterms:W3CDTF">2023-09-27T01:29:57Z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F42B8981EF4D4FE3A42DFACB3AF15FCB</vt:lpwstr>
  </property>
</Properties>
</file>