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
        <w:jc w:val="center"/>
        <w:rPr>
          <w:rFonts w:hint="eastAsia" w:ascii="宋体" w:hAnsi="宋体" w:eastAsia="宋体" w:cs="宋体"/>
          <w:color w:val="000000"/>
          <w:sz w:val="48"/>
          <w:szCs w:val="48"/>
        </w:rPr>
      </w:pPr>
      <w:r>
        <w:rPr>
          <w:rFonts w:hint="eastAsia" w:ascii="宋体" w:hAnsi="宋体" w:eastAsia="宋体" w:cs="宋体"/>
          <w:color w:val="000000"/>
          <w:sz w:val="48"/>
          <w:szCs w:val="48"/>
        </w:rPr>
        <w:t>2022年道县农机事务中心部门预算</w:t>
      </w:r>
    </w:p>
    <w:p>
      <w:pPr>
        <w:spacing w:after="2"/>
        <w:jc w:val="center"/>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700" w:lineRule="exact"/>
        <w:ind w:firstLine="800" w:firstLineChars="200"/>
        <w:jc w:val="center"/>
        <w:textAlignment w:val="auto"/>
        <w:rPr>
          <w:rFonts w:hint="eastAsia" w:ascii="宋体" w:hAnsi="宋体" w:eastAsia="宋体" w:cs="宋体"/>
          <w:color w:val="000000"/>
          <w:sz w:val="40"/>
          <w:szCs w:val="40"/>
        </w:rPr>
      </w:pPr>
      <w:r>
        <w:rPr>
          <w:rFonts w:hint="eastAsia" w:ascii="宋体" w:hAnsi="宋体" w:eastAsia="宋体" w:cs="宋体"/>
          <w:color w:val="000000"/>
          <w:sz w:val="40"/>
          <w:szCs w:val="40"/>
        </w:rPr>
        <w:t>目 录</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color w:val="0000FF"/>
          <w:sz w:val="21"/>
          <w:szCs w:val="21"/>
        </w:rPr>
      </w:pPr>
      <w:r>
        <w:rPr>
          <w:rFonts w:hint="eastAsia" w:ascii="宋体" w:hAnsi="宋体" w:eastAsia="宋体" w:cs="宋体"/>
          <w:b/>
          <w:bCs/>
          <w:color w:val="000000"/>
          <w:sz w:val="32"/>
          <w:szCs w:val="32"/>
        </w:rPr>
        <w:t>第一部分 2022年部门预算说明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643" w:firstLineChars="200"/>
        <w:jc w:val="both"/>
        <w:textAlignment w:val="auto"/>
        <w:rPr>
          <w:rFonts w:hint="eastAsia" w:ascii="宋体" w:hAnsi="宋体" w:eastAsia="宋体" w:cs="宋体"/>
        </w:rPr>
      </w:pPr>
      <w:r>
        <w:rPr>
          <w:rFonts w:hint="eastAsia" w:ascii="宋体" w:hAnsi="宋体" w:eastAsia="宋体" w:cs="宋体"/>
          <w:b/>
          <w:bCs/>
          <w:color w:val="000000"/>
          <w:sz w:val="32"/>
          <w:szCs w:val="32"/>
        </w:rPr>
        <w:t>一、部门基本概况</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（一）职能职责</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（二）机构设置</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二、部门预算单位构成</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三、部门收支总体情况</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四、一般公共预算拨款支出</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五、政府性基金预算支出</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六、其他重要事项的情况说明</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（一）机关运行经费</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（二）“三公”经费预算</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（三）一般性支出情况</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（四）政府采购情况</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（五）国有资产占用使用及新增资产配置情况</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（六）预算绩效目标说明</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七、名词解释</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第二部分 2022年部门预算表</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1、收支总表</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2、收入总表</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3、支出总表</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4、支出分类（政府预算）</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5、支出分类（部门预算）</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21"/>
          <w:szCs w:val="21"/>
        </w:rPr>
      </w:pPr>
      <w:r>
        <w:rPr>
          <w:rFonts w:hint="eastAsia" w:ascii="宋体" w:hAnsi="宋体" w:eastAsia="宋体" w:cs="宋体"/>
          <w:color w:val="000000"/>
          <w:sz w:val="32"/>
          <w:szCs w:val="32"/>
        </w:rPr>
        <w:t>6、财政拨款收支总表</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7、一般公共预算支出表</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lang w:val="en-US" w:eastAsia="zh-CN"/>
        </w:rPr>
      </w:pPr>
      <w:r>
        <w:rPr>
          <w:rFonts w:hint="eastAsia" w:cs="宋体"/>
          <w:color w:val="000000"/>
          <w:sz w:val="32"/>
          <w:szCs w:val="32"/>
          <w:lang w:val="en-US" w:eastAsia="zh-CN"/>
        </w:rPr>
        <w:t>8、一般公共预算基本支出表</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cs="宋体"/>
          <w:color w:val="000000"/>
          <w:sz w:val="32"/>
          <w:szCs w:val="32"/>
          <w:lang w:val="en-US" w:eastAsia="zh-CN"/>
        </w:rPr>
        <w:t>9</w:t>
      </w:r>
      <w:r>
        <w:rPr>
          <w:rFonts w:hint="eastAsia" w:ascii="宋体" w:hAnsi="宋体" w:eastAsia="宋体" w:cs="宋体"/>
          <w:color w:val="000000"/>
          <w:sz w:val="32"/>
          <w:szCs w:val="32"/>
        </w:rPr>
        <w:t>、一般公共预算基本支出表--人员经费(工资福利支出)(按政府预算经济分类)</w:t>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cs="宋体"/>
          <w:color w:val="000000"/>
          <w:sz w:val="32"/>
          <w:szCs w:val="32"/>
          <w:lang w:val="en-US" w:eastAsia="zh-CN"/>
        </w:rPr>
        <w:t>10</w:t>
      </w:r>
      <w:r>
        <w:rPr>
          <w:rFonts w:hint="eastAsia" w:ascii="宋体" w:hAnsi="宋体" w:eastAsia="宋体" w:cs="宋体"/>
          <w:color w:val="000000"/>
          <w:sz w:val="32"/>
          <w:szCs w:val="32"/>
        </w:rPr>
        <w:t>、一般公共预算基本支出表--人员经费(工资福利支出)(按部门预算经济分类)</w:t>
      </w:r>
      <w:r>
        <w:rPr>
          <w:rFonts w:hint="eastAsia" w:ascii="宋体" w:hAnsi="宋体" w:eastAsia="宋体" w:cs="宋体"/>
          <w:color w:val="000000"/>
          <w:sz w:val="32"/>
          <w:szCs w:val="32"/>
        </w:rPr>
        <w:tab/>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w:t>
      </w:r>
      <w:r>
        <w:rPr>
          <w:rFonts w:hint="eastAsia" w:cs="宋体"/>
          <w:color w:val="000000"/>
          <w:sz w:val="32"/>
          <w:szCs w:val="32"/>
          <w:lang w:val="en-US" w:eastAsia="zh-CN"/>
        </w:rPr>
        <w:t>1</w:t>
      </w:r>
      <w:r>
        <w:rPr>
          <w:rFonts w:hint="eastAsia" w:ascii="宋体" w:hAnsi="宋体" w:eastAsia="宋体" w:cs="宋体"/>
          <w:color w:val="000000"/>
          <w:sz w:val="32"/>
          <w:szCs w:val="32"/>
        </w:rPr>
        <w:t>、一般公共预算基本支出表--人员经费(对个人和家庭的补助)(按政府预算经济分类)</w:t>
      </w:r>
      <w:r>
        <w:rPr>
          <w:rFonts w:hint="eastAsia" w:ascii="宋体" w:hAnsi="宋体" w:eastAsia="宋体" w:cs="宋体"/>
          <w:color w:val="000000"/>
          <w:sz w:val="32"/>
          <w:szCs w:val="32"/>
        </w:rPr>
        <w:tab/>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w:t>
      </w:r>
      <w:r>
        <w:rPr>
          <w:rFonts w:hint="eastAsia" w:cs="宋体"/>
          <w:color w:val="000000"/>
          <w:sz w:val="32"/>
          <w:szCs w:val="32"/>
          <w:lang w:val="en-US" w:eastAsia="zh-CN"/>
        </w:rPr>
        <w:t>2</w:t>
      </w:r>
      <w:r>
        <w:rPr>
          <w:rFonts w:hint="eastAsia" w:ascii="宋体" w:hAnsi="宋体" w:eastAsia="宋体" w:cs="宋体"/>
          <w:color w:val="000000"/>
          <w:sz w:val="32"/>
          <w:szCs w:val="32"/>
        </w:rPr>
        <w:t>、一般公共预算基本支出表--人员经费(对个人和家庭的补助)（按部门预算经济分类）</w:t>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w:t>
      </w:r>
      <w:r>
        <w:rPr>
          <w:rFonts w:hint="eastAsia" w:cs="宋体"/>
          <w:color w:val="000000"/>
          <w:sz w:val="32"/>
          <w:szCs w:val="32"/>
          <w:lang w:val="en-US" w:eastAsia="zh-CN"/>
        </w:rPr>
        <w:t>3</w:t>
      </w:r>
      <w:r>
        <w:rPr>
          <w:rFonts w:hint="eastAsia" w:ascii="宋体" w:hAnsi="宋体" w:eastAsia="宋体" w:cs="宋体"/>
          <w:color w:val="000000"/>
          <w:sz w:val="32"/>
          <w:szCs w:val="32"/>
        </w:rPr>
        <w:t>、一般公共预算基本支出表--公用经费(商品和服务支出)（按政府预算经济分类）</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w:t>
      </w:r>
      <w:r>
        <w:rPr>
          <w:rFonts w:hint="eastAsia" w:cs="宋体"/>
          <w:color w:val="000000"/>
          <w:sz w:val="32"/>
          <w:szCs w:val="32"/>
          <w:lang w:val="en-US" w:eastAsia="zh-CN"/>
        </w:rPr>
        <w:t>4</w:t>
      </w:r>
      <w:r>
        <w:rPr>
          <w:rFonts w:hint="eastAsia" w:ascii="宋体" w:hAnsi="宋体" w:eastAsia="宋体" w:cs="宋体"/>
          <w:color w:val="000000"/>
          <w:sz w:val="32"/>
          <w:szCs w:val="32"/>
        </w:rPr>
        <w:t>、一般公共预算基本支出表--公用经费(商品和服务支出)(按部门预算经济分类)</w:t>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w:t>
      </w:r>
      <w:r>
        <w:rPr>
          <w:rFonts w:hint="eastAsia" w:cs="宋体"/>
          <w:color w:val="000000"/>
          <w:sz w:val="32"/>
          <w:szCs w:val="32"/>
          <w:lang w:val="en-US" w:eastAsia="zh-CN"/>
        </w:rPr>
        <w:t>5</w:t>
      </w:r>
      <w:r>
        <w:rPr>
          <w:rFonts w:hint="eastAsia" w:ascii="宋体" w:hAnsi="宋体" w:eastAsia="宋体" w:cs="宋体"/>
          <w:color w:val="000000"/>
          <w:sz w:val="32"/>
          <w:szCs w:val="32"/>
        </w:rPr>
        <w:t>、一般公共预算“三公”经费支出表</w:t>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r>
        <w:rPr>
          <w:rFonts w:hint="eastAsia" w:ascii="宋体" w:hAnsi="宋体" w:eastAsia="宋体" w:cs="宋体"/>
          <w:color w:val="000000"/>
          <w:sz w:val="32"/>
          <w:szCs w:val="32"/>
        </w:rPr>
        <w:tab/>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1</w:t>
      </w:r>
      <w:r>
        <w:rPr>
          <w:rFonts w:hint="eastAsia" w:cs="宋体"/>
          <w:color w:val="000000"/>
          <w:sz w:val="32"/>
          <w:szCs w:val="32"/>
          <w:lang w:val="en-US" w:eastAsia="zh-CN"/>
        </w:rPr>
        <w:t>6</w:t>
      </w:r>
      <w:r>
        <w:rPr>
          <w:rFonts w:hint="eastAsia" w:ascii="宋体" w:hAnsi="宋体" w:eastAsia="宋体" w:cs="宋体"/>
          <w:color w:val="000000"/>
          <w:sz w:val="32"/>
          <w:szCs w:val="32"/>
        </w:rPr>
        <w:t>、政府性基金</w:t>
      </w:r>
      <w:r>
        <w:rPr>
          <w:rFonts w:hint="eastAsia" w:cs="宋体"/>
          <w:color w:val="000000"/>
          <w:sz w:val="32"/>
          <w:szCs w:val="32"/>
          <w:lang w:eastAsia="zh-CN"/>
        </w:rPr>
        <w:t>预算支出表</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w:t>
      </w:r>
      <w:r>
        <w:rPr>
          <w:rFonts w:hint="eastAsia" w:cs="宋体"/>
          <w:color w:val="000000"/>
          <w:sz w:val="32"/>
          <w:szCs w:val="32"/>
          <w:lang w:val="en-US" w:eastAsia="zh-CN"/>
        </w:rPr>
        <w:t>7</w:t>
      </w:r>
      <w:r>
        <w:rPr>
          <w:rFonts w:hint="eastAsia" w:ascii="宋体" w:hAnsi="宋体" w:eastAsia="宋体" w:cs="宋体"/>
          <w:color w:val="000000"/>
          <w:sz w:val="32"/>
          <w:szCs w:val="32"/>
        </w:rPr>
        <w:t>、政府性基金</w:t>
      </w:r>
      <w:r>
        <w:rPr>
          <w:rFonts w:hint="eastAsia" w:cs="宋体"/>
          <w:color w:val="000000"/>
          <w:sz w:val="32"/>
          <w:szCs w:val="32"/>
          <w:lang w:eastAsia="zh-CN"/>
        </w:rPr>
        <w:t>预算支出分类汇总表</w:t>
      </w:r>
      <w:r>
        <w:rPr>
          <w:rFonts w:hint="eastAsia" w:ascii="宋体" w:hAnsi="宋体" w:eastAsia="宋体" w:cs="宋体"/>
          <w:color w:val="000000"/>
          <w:sz w:val="32"/>
          <w:szCs w:val="32"/>
        </w:rPr>
        <w:t>（政府预算）</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w:t>
      </w:r>
      <w:r>
        <w:rPr>
          <w:rFonts w:hint="eastAsia" w:cs="宋体"/>
          <w:color w:val="000000"/>
          <w:sz w:val="32"/>
          <w:szCs w:val="32"/>
          <w:lang w:val="en-US" w:eastAsia="zh-CN"/>
        </w:rPr>
        <w:t>8</w:t>
      </w:r>
      <w:r>
        <w:rPr>
          <w:rFonts w:hint="eastAsia" w:ascii="宋体" w:hAnsi="宋体" w:eastAsia="宋体" w:cs="宋体"/>
          <w:color w:val="000000"/>
          <w:sz w:val="32"/>
          <w:szCs w:val="32"/>
        </w:rPr>
        <w:t>、政府性基金</w:t>
      </w:r>
      <w:r>
        <w:rPr>
          <w:rFonts w:hint="eastAsia" w:cs="宋体"/>
          <w:color w:val="000000"/>
          <w:sz w:val="32"/>
          <w:szCs w:val="32"/>
          <w:lang w:eastAsia="zh-CN"/>
        </w:rPr>
        <w:t>预算支出分类汇总表</w:t>
      </w:r>
      <w:r>
        <w:rPr>
          <w:rFonts w:hint="eastAsia" w:ascii="宋体" w:hAnsi="宋体" w:eastAsia="宋体" w:cs="宋体"/>
          <w:color w:val="000000"/>
          <w:sz w:val="32"/>
          <w:szCs w:val="32"/>
        </w:rPr>
        <w:t>（部门预算）</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1</w:t>
      </w:r>
      <w:r>
        <w:rPr>
          <w:rFonts w:hint="eastAsia" w:cs="宋体"/>
          <w:color w:val="000000"/>
          <w:sz w:val="32"/>
          <w:szCs w:val="32"/>
          <w:lang w:val="en-US" w:eastAsia="zh-CN"/>
        </w:rPr>
        <w:t>9</w:t>
      </w:r>
      <w:r>
        <w:rPr>
          <w:rFonts w:hint="eastAsia" w:ascii="宋体" w:hAnsi="宋体" w:eastAsia="宋体" w:cs="宋体"/>
          <w:color w:val="000000"/>
          <w:sz w:val="32"/>
          <w:szCs w:val="32"/>
        </w:rPr>
        <w:t>、国有资本经营预算</w:t>
      </w:r>
      <w:r>
        <w:rPr>
          <w:rFonts w:hint="eastAsia" w:cs="宋体"/>
          <w:color w:val="000000"/>
          <w:sz w:val="32"/>
          <w:szCs w:val="32"/>
          <w:lang w:eastAsia="zh-CN"/>
        </w:rPr>
        <w:t>支出表</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lang w:eastAsia="zh-CN"/>
        </w:rPr>
      </w:pPr>
      <w:r>
        <w:rPr>
          <w:rFonts w:hint="eastAsia" w:cs="宋体"/>
          <w:color w:val="000000"/>
          <w:sz w:val="32"/>
          <w:szCs w:val="32"/>
          <w:lang w:val="en-US" w:eastAsia="zh-CN"/>
        </w:rPr>
        <w:t>20</w:t>
      </w:r>
      <w:r>
        <w:rPr>
          <w:rFonts w:hint="eastAsia" w:ascii="宋体" w:hAnsi="宋体" w:eastAsia="宋体" w:cs="宋体"/>
          <w:color w:val="000000"/>
          <w:sz w:val="32"/>
          <w:szCs w:val="32"/>
        </w:rPr>
        <w:t>、财政专户管理资金</w:t>
      </w:r>
      <w:r>
        <w:rPr>
          <w:rFonts w:hint="eastAsia" w:cs="宋体"/>
          <w:color w:val="000000"/>
          <w:sz w:val="32"/>
          <w:szCs w:val="32"/>
          <w:lang w:eastAsia="zh-CN"/>
        </w:rPr>
        <w:t>预算支出表</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6"/>
          <w:szCs w:val="36"/>
          <w:lang w:eastAsia="zh-CN"/>
        </w:rPr>
      </w:pPr>
      <w:r>
        <w:rPr>
          <w:rFonts w:hint="eastAsia" w:ascii="宋体" w:hAnsi="宋体" w:eastAsia="宋体" w:cs="宋体"/>
          <w:color w:val="000000"/>
          <w:sz w:val="32"/>
          <w:szCs w:val="32"/>
        </w:rPr>
        <w:t>2</w:t>
      </w:r>
      <w:r>
        <w:rPr>
          <w:rFonts w:hint="eastAsia" w:cs="宋体"/>
          <w:color w:val="000000"/>
          <w:sz w:val="32"/>
          <w:szCs w:val="32"/>
          <w:lang w:val="en-US" w:eastAsia="zh-CN"/>
        </w:rPr>
        <w:t>1</w:t>
      </w:r>
      <w:r>
        <w:rPr>
          <w:rFonts w:hint="eastAsia" w:ascii="宋体" w:hAnsi="宋体" w:eastAsia="宋体" w:cs="宋体"/>
          <w:color w:val="000000"/>
          <w:sz w:val="32"/>
          <w:szCs w:val="32"/>
        </w:rPr>
        <w:t>、专项</w:t>
      </w:r>
      <w:r>
        <w:rPr>
          <w:rFonts w:hint="eastAsia" w:cs="宋体"/>
          <w:color w:val="000000"/>
          <w:sz w:val="32"/>
          <w:szCs w:val="32"/>
          <w:lang w:eastAsia="zh-CN"/>
        </w:rPr>
        <w:t>资金预算汇总表</w:t>
      </w:r>
      <w:bookmarkStart w:id="0" w:name="_GoBack"/>
      <w:bookmarkEnd w:id="0"/>
    </w:p>
    <w:p>
      <w:pPr>
        <w:keepNext w:val="0"/>
        <w:keepLines w:val="0"/>
        <w:pageBreakBefore w:val="0"/>
        <w:widowControl/>
        <w:kinsoku/>
        <w:wordWrap/>
        <w:overflowPunct/>
        <w:topLinePunct w:val="0"/>
        <w:autoSpaceDE/>
        <w:autoSpaceDN/>
        <w:bidi w:val="0"/>
        <w:adjustRightInd/>
        <w:snapToGrid/>
        <w:spacing w:line="700" w:lineRule="exact"/>
        <w:ind w:firstLine="723" w:firstLineChars="200"/>
        <w:jc w:val="both"/>
        <w:textAlignment w:val="auto"/>
        <w:rPr>
          <w:rFonts w:ascii="仿宋_GB2312" w:eastAsia="仿宋_GB2312" w:cs="仿宋_GB2312"/>
          <w:b/>
          <w:bCs/>
          <w:color w:val="000000"/>
          <w:sz w:val="36"/>
          <w:szCs w:val="36"/>
        </w:rPr>
      </w:pPr>
      <w:r>
        <w:rPr>
          <w:rFonts w:ascii="仿宋_GB2312" w:eastAsia="仿宋_GB2312" w:cs="仿宋_GB2312"/>
          <w:b/>
          <w:bCs/>
          <w:color w:val="000000"/>
          <w:sz w:val="36"/>
          <w:szCs w:val="36"/>
        </w:rPr>
        <w:br w:type="page"/>
      </w:r>
    </w:p>
    <w:p>
      <w:pPr>
        <w:spacing w:after="2"/>
        <w:jc w:val="center"/>
        <w:rPr>
          <w:rFonts w:hint="eastAsia" w:ascii="宋体" w:hAnsi="宋体" w:eastAsia="宋体" w:cs="宋体"/>
          <w:b/>
          <w:bCs/>
          <w:sz w:val="44"/>
          <w:szCs w:val="44"/>
        </w:rPr>
      </w:pPr>
      <w:r>
        <w:rPr>
          <w:rFonts w:hint="eastAsia" w:ascii="宋体" w:hAnsi="宋体" w:eastAsia="宋体" w:cs="宋体"/>
          <w:b/>
          <w:bCs/>
          <w:color w:val="000000"/>
          <w:sz w:val="44"/>
          <w:szCs w:val="44"/>
        </w:rPr>
        <w:t>第一部分 部门预算说明</w:t>
      </w:r>
    </w:p>
    <w:p>
      <w:pPr>
        <w:spacing w:after="2"/>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700" w:lineRule="exact"/>
        <w:ind w:firstLine="40"/>
        <w:jc w:val="both"/>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一、部门基本概况</w:t>
      </w:r>
    </w:p>
    <w:p>
      <w:pPr>
        <w:spacing w:after="2"/>
        <w:ind w:firstLine="627"/>
        <w:rPr>
          <w:rFonts w:hint="eastAsia" w:ascii="宋体" w:hAnsi="宋体" w:eastAsia="宋体" w:cs="宋体"/>
          <w:b/>
          <w:bCs/>
          <w:color w:val="000000"/>
          <w:sz w:val="21"/>
          <w:szCs w:val="21"/>
        </w:rPr>
      </w:pPr>
      <w:r>
        <w:rPr>
          <w:rFonts w:hint="eastAsia" w:ascii="宋体" w:hAnsi="宋体" w:eastAsia="宋体" w:cs="宋体"/>
          <w:b/>
          <w:bCs/>
          <w:color w:val="000000"/>
          <w:sz w:val="32"/>
          <w:szCs w:val="32"/>
        </w:rPr>
        <w:t>（一）职能职责</w:t>
      </w:r>
    </w:p>
    <w:p>
      <w:pPr>
        <w:keepNext w:val="0"/>
        <w:keepLines w:val="0"/>
        <w:pageBreakBefore w:val="0"/>
        <w:widowControl/>
        <w:kinsoku/>
        <w:wordWrap/>
        <w:overflowPunct/>
        <w:topLinePunct w:val="0"/>
        <w:autoSpaceDE/>
        <w:autoSpaceDN/>
        <w:bidi w:val="0"/>
        <w:adjustRightInd/>
        <w:snapToGrid/>
        <w:spacing w:after="2"/>
        <w:ind w:firstLine="629"/>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根据道政办发（2020）50号文件规定，本单位主要工作职责是：</w:t>
      </w:r>
    </w:p>
    <w:p>
      <w:pPr>
        <w:keepNext w:val="0"/>
        <w:keepLines w:val="0"/>
        <w:pageBreakBefore w:val="0"/>
        <w:widowControl/>
        <w:kinsoku/>
        <w:wordWrap/>
        <w:overflowPunct/>
        <w:topLinePunct w:val="0"/>
        <w:autoSpaceDE/>
        <w:autoSpaceDN/>
        <w:bidi w:val="0"/>
        <w:adjustRightInd/>
        <w:snapToGrid/>
        <w:spacing w:after="2"/>
        <w:ind w:firstLine="629"/>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（1）、承担农业机械化补贴政策实施相关事务性工作。</w:t>
      </w:r>
    </w:p>
    <w:p>
      <w:pPr>
        <w:keepNext w:val="0"/>
        <w:keepLines w:val="0"/>
        <w:pageBreakBefore w:val="0"/>
        <w:widowControl/>
        <w:kinsoku/>
        <w:wordWrap/>
        <w:overflowPunct/>
        <w:topLinePunct w:val="0"/>
        <w:autoSpaceDE/>
        <w:autoSpaceDN/>
        <w:bidi w:val="0"/>
        <w:adjustRightInd/>
        <w:snapToGrid/>
        <w:spacing w:after="2"/>
        <w:ind w:firstLine="629"/>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（2）、承担农业机械化从业人员教育培训和职业技能开发。</w:t>
      </w:r>
    </w:p>
    <w:p>
      <w:pPr>
        <w:keepNext w:val="0"/>
        <w:keepLines w:val="0"/>
        <w:pageBreakBefore w:val="0"/>
        <w:widowControl/>
        <w:kinsoku/>
        <w:wordWrap/>
        <w:overflowPunct/>
        <w:topLinePunct w:val="0"/>
        <w:autoSpaceDE/>
        <w:autoSpaceDN/>
        <w:bidi w:val="0"/>
        <w:adjustRightInd/>
        <w:snapToGrid/>
        <w:spacing w:after="2"/>
        <w:ind w:firstLine="629"/>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（3）、承担农业机械化新机具、新技术引进和示范推广。</w:t>
      </w:r>
    </w:p>
    <w:p>
      <w:pPr>
        <w:spacing w:after="2"/>
        <w:ind w:firstLine="628"/>
        <w:rPr>
          <w:rFonts w:hint="eastAsia" w:ascii="宋体" w:hAnsi="宋体" w:eastAsia="宋体" w:cs="宋体"/>
          <w:b/>
          <w:bCs/>
          <w:color w:val="000000"/>
          <w:sz w:val="21"/>
          <w:szCs w:val="21"/>
        </w:rPr>
      </w:pPr>
      <w:r>
        <w:rPr>
          <w:rFonts w:hint="eastAsia" w:ascii="宋体" w:hAnsi="宋体" w:eastAsia="宋体" w:cs="宋体"/>
          <w:b/>
          <w:bCs/>
          <w:color w:val="000000"/>
          <w:sz w:val="32"/>
          <w:szCs w:val="32"/>
        </w:rPr>
        <w:t>（二）机构设置</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根据编委核定，我单位内设</w:t>
      </w:r>
      <w:r>
        <w:rPr>
          <w:rFonts w:hint="eastAsia" w:ascii="宋体" w:hAnsi="宋体" w:eastAsia="宋体" w:cs="宋体"/>
          <w:sz w:val="32"/>
          <w:szCs w:val="32"/>
          <w:lang w:val="en-US" w:eastAsia="zh-CN"/>
        </w:rPr>
        <w:t>股室3个，下属事业单位1个，纳入2022年部门预算编制范围。</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内设股室分别是综合室、产业发展室、农机推广服务室。</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下属事业单位道县农机安全监理站。</w:t>
      </w:r>
    </w:p>
    <w:p>
      <w:pPr>
        <w:keepNext w:val="0"/>
        <w:keepLines w:val="0"/>
        <w:pageBreakBefore w:val="0"/>
        <w:widowControl/>
        <w:kinsoku/>
        <w:wordWrap/>
        <w:overflowPunct/>
        <w:topLinePunct w:val="0"/>
        <w:autoSpaceDE/>
        <w:autoSpaceDN/>
        <w:bidi w:val="0"/>
        <w:adjustRightInd/>
        <w:snapToGrid/>
        <w:spacing w:line="700" w:lineRule="exact"/>
        <w:ind w:firstLine="40"/>
        <w:jc w:val="both"/>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二、部门预算单位构成</w:t>
      </w:r>
    </w:p>
    <w:p>
      <w:pPr>
        <w:ind w:firstLine="627" w:firstLineChars="196"/>
        <w:rPr>
          <w:rFonts w:hint="eastAsia" w:ascii="宋体" w:hAnsi="宋体" w:eastAsia="宋体" w:cs="宋体"/>
          <w:sz w:val="32"/>
          <w:szCs w:val="32"/>
        </w:rPr>
      </w:pPr>
      <w:r>
        <w:rPr>
          <w:rFonts w:hint="eastAsia" w:ascii="宋体" w:hAnsi="宋体" w:eastAsia="宋体" w:cs="宋体"/>
          <w:sz w:val="32"/>
          <w:szCs w:val="32"/>
        </w:rPr>
        <w:t>纳入2022年部门预算编制范围的二级预算单位包括：</w:t>
      </w:r>
    </w:p>
    <w:p>
      <w:pPr>
        <w:ind w:firstLine="627" w:firstLineChars="196"/>
        <w:rPr>
          <w:rFonts w:hint="eastAsia" w:ascii="宋体" w:hAnsi="宋体" w:eastAsia="宋体" w:cs="宋体"/>
          <w:sz w:val="32"/>
          <w:szCs w:val="32"/>
        </w:rPr>
      </w:pPr>
      <w:r>
        <w:rPr>
          <w:rFonts w:hint="eastAsia" w:ascii="宋体" w:hAnsi="宋体" w:eastAsia="宋体" w:cs="宋体"/>
          <w:sz w:val="32"/>
          <w:szCs w:val="32"/>
        </w:rPr>
        <w:t>1、道县农机事务中心本级</w:t>
      </w:r>
    </w:p>
    <w:p>
      <w:pPr>
        <w:ind w:firstLine="627" w:firstLineChars="196"/>
        <w:rPr>
          <w:rFonts w:hint="eastAsia" w:ascii="宋体" w:hAnsi="宋体" w:eastAsia="宋体" w:cs="宋体"/>
          <w:sz w:val="21"/>
          <w:szCs w:val="21"/>
        </w:rPr>
      </w:pPr>
      <w:r>
        <w:rPr>
          <w:rFonts w:hint="eastAsia" w:ascii="宋体" w:hAnsi="宋体" w:eastAsia="宋体" w:cs="宋体"/>
          <w:sz w:val="32"/>
          <w:szCs w:val="32"/>
        </w:rPr>
        <w:t>2、道县农机安全监理站</w:t>
      </w:r>
    </w:p>
    <w:p>
      <w:pPr>
        <w:keepNext w:val="0"/>
        <w:keepLines w:val="0"/>
        <w:pageBreakBefore w:val="0"/>
        <w:widowControl/>
        <w:kinsoku/>
        <w:wordWrap/>
        <w:overflowPunct/>
        <w:topLinePunct w:val="0"/>
        <w:autoSpaceDE/>
        <w:autoSpaceDN/>
        <w:bidi w:val="0"/>
        <w:adjustRightInd/>
        <w:snapToGrid/>
        <w:spacing w:line="700" w:lineRule="exact"/>
        <w:ind w:firstLine="40"/>
        <w:jc w:val="both"/>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三、部门收支总体情况</w:t>
      </w:r>
    </w:p>
    <w:p>
      <w:pPr>
        <w:keepNext w:val="0"/>
        <w:keepLines w:val="0"/>
        <w:pageBreakBefore w:val="0"/>
        <w:widowControl/>
        <w:kinsoku/>
        <w:wordWrap/>
        <w:overflowPunct/>
        <w:topLinePunct w:val="0"/>
        <w:autoSpaceDE/>
        <w:autoSpaceDN/>
        <w:bidi w:val="0"/>
        <w:adjustRightInd/>
        <w:snapToGrid/>
        <w:spacing w:line="700" w:lineRule="exact"/>
        <w:ind w:firstLine="482" w:firstLineChars="15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b/>
          <w:bCs/>
          <w:color w:val="000000"/>
          <w:sz w:val="32"/>
          <w:szCs w:val="32"/>
        </w:rPr>
        <w:t>（一）收入预算：</w:t>
      </w:r>
      <w:r>
        <w:rPr>
          <w:rFonts w:hint="eastAsia" w:ascii="宋体" w:hAnsi="宋体" w:eastAsia="宋体" w:cs="宋体"/>
          <w:color w:val="000000"/>
          <w:sz w:val="32"/>
          <w:szCs w:val="32"/>
        </w:rPr>
        <w:t>2022年年初预算数1094.05万元，其中：工资福利收入预算数266.85万元，一般商品服务</w:t>
      </w:r>
      <w:r>
        <w:rPr>
          <w:rFonts w:hint="eastAsia" w:ascii="宋体" w:hAnsi="宋体" w:eastAsia="宋体" w:cs="宋体"/>
          <w:color w:val="000000"/>
          <w:sz w:val="32"/>
          <w:szCs w:val="32"/>
          <w:lang w:eastAsia="zh-CN"/>
        </w:rPr>
        <w:t>收入</w:t>
      </w:r>
      <w:r>
        <w:rPr>
          <w:rFonts w:hint="eastAsia" w:ascii="宋体" w:hAnsi="宋体" w:eastAsia="宋体" w:cs="宋体"/>
          <w:color w:val="000000"/>
          <w:sz w:val="32"/>
          <w:szCs w:val="32"/>
        </w:rPr>
        <w:t>预算数36.2万元，对个人和家庭的补助</w:t>
      </w:r>
      <w:r>
        <w:rPr>
          <w:rFonts w:hint="eastAsia" w:ascii="宋体" w:hAnsi="宋体" w:eastAsia="宋体" w:cs="宋体"/>
          <w:color w:val="000000"/>
          <w:sz w:val="32"/>
          <w:szCs w:val="32"/>
          <w:lang w:eastAsia="zh-CN"/>
        </w:rPr>
        <w:t>收入</w:t>
      </w:r>
      <w:r>
        <w:rPr>
          <w:rFonts w:hint="eastAsia" w:ascii="宋体" w:hAnsi="宋体" w:eastAsia="宋体" w:cs="宋体"/>
          <w:color w:val="000000"/>
          <w:sz w:val="32"/>
          <w:szCs w:val="32"/>
        </w:rPr>
        <w:t>预算数1.00万元</w:t>
      </w:r>
      <w:r>
        <w:rPr>
          <w:rFonts w:hint="eastAsia" w:ascii="宋体" w:hAnsi="宋体" w:eastAsia="宋体" w:cs="宋体"/>
          <w:color w:val="000000"/>
          <w:sz w:val="32"/>
          <w:szCs w:val="32"/>
          <w:lang w:eastAsia="zh-CN"/>
        </w:rPr>
        <w:t>，项目收入预算数</w:t>
      </w:r>
      <w:r>
        <w:rPr>
          <w:rFonts w:hint="eastAsia" w:ascii="宋体" w:hAnsi="宋体" w:eastAsia="宋体" w:cs="宋体"/>
          <w:color w:val="000000"/>
          <w:sz w:val="32"/>
          <w:szCs w:val="32"/>
          <w:lang w:val="en-US" w:eastAsia="zh-CN"/>
        </w:rPr>
        <w:t>790万元。2022年本部门收入预算1094.05万元，其中，一般公共预算拨款1094.05万元。</w:t>
      </w:r>
    </w:p>
    <w:p>
      <w:pPr>
        <w:keepNext w:val="0"/>
        <w:keepLines w:val="0"/>
        <w:pageBreakBefore w:val="0"/>
        <w:widowControl/>
        <w:kinsoku/>
        <w:wordWrap/>
        <w:overflowPunct/>
        <w:topLinePunct w:val="0"/>
        <w:autoSpaceDE/>
        <w:autoSpaceDN/>
        <w:bidi w:val="0"/>
        <w:adjustRightInd/>
        <w:snapToGrid/>
        <w:spacing w:line="700" w:lineRule="exact"/>
        <w:ind w:firstLine="480" w:firstLineChars="150"/>
        <w:jc w:val="both"/>
        <w:textAlignment w:val="auto"/>
        <w:rPr>
          <w:rFonts w:hint="eastAsia" w:ascii="宋体" w:hAnsi="宋体" w:eastAsia="宋体" w:cs="宋体"/>
          <w:sz w:val="32"/>
          <w:szCs w:val="32"/>
        </w:rPr>
      </w:pPr>
      <w:r>
        <w:rPr>
          <w:rFonts w:hint="eastAsia" w:ascii="宋体" w:hAnsi="宋体" w:eastAsia="宋体" w:cs="宋体"/>
          <w:color w:val="000000"/>
          <w:sz w:val="32"/>
          <w:szCs w:val="32"/>
        </w:rPr>
        <w:t>收入较去年增加669.6万元，主要</w:t>
      </w:r>
      <w:r>
        <w:rPr>
          <w:rFonts w:hint="eastAsia" w:ascii="宋体" w:hAnsi="宋体" w:eastAsia="宋体" w:cs="宋体"/>
          <w:color w:val="000000"/>
          <w:sz w:val="32"/>
          <w:szCs w:val="32"/>
          <w:lang w:eastAsia="zh-CN"/>
        </w:rPr>
        <w:t>原因有三：一是</w:t>
      </w:r>
      <w:r>
        <w:rPr>
          <w:rFonts w:hint="eastAsia" w:ascii="宋体" w:hAnsi="宋体" w:eastAsia="宋体" w:cs="宋体"/>
          <w:color w:val="000000"/>
          <w:sz w:val="32"/>
          <w:szCs w:val="32"/>
        </w:rPr>
        <w:t>增加省级项目购置补贴资金600万元和现代农机合作示范社创建100万元</w:t>
      </w:r>
      <w:r>
        <w:rPr>
          <w:rFonts w:hint="eastAsia" w:ascii="宋体" w:hAnsi="宋体" w:eastAsia="宋体" w:cs="宋体"/>
          <w:color w:val="000000"/>
          <w:sz w:val="32"/>
          <w:szCs w:val="32"/>
          <w:lang w:eastAsia="zh-CN"/>
        </w:rPr>
        <w:t>；二是</w:t>
      </w:r>
      <w:r>
        <w:rPr>
          <w:rFonts w:hint="eastAsia" w:ascii="宋体" w:hAnsi="宋体" w:eastAsia="宋体" w:cs="宋体"/>
          <w:color w:val="000000"/>
          <w:sz w:val="32"/>
          <w:szCs w:val="32"/>
        </w:rPr>
        <w:t>本级增加拖拉机站养老保险、医疗保险、遗属生活补助、抚恤金等经费收入90万元</w:t>
      </w:r>
      <w:r>
        <w:rPr>
          <w:rFonts w:hint="eastAsia" w:ascii="宋体" w:hAnsi="宋体" w:eastAsia="宋体" w:cs="宋体"/>
          <w:color w:val="000000"/>
          <w:sz w:val="32"/>
          <w:szCs w:val="32"/>
          <w:lang w:eastAsia="zh-CN"/>
        </w:rPr>
        <w:t>；三是</w:t>
      </w:r>
      <w:r>
        <w:rPr>
          <w:rFonts w:hint="eastAsia" w:ascii="宋体" w:hAnsi="宋体" w:eastAsia="宋体" w:cs="宋体"/>
          <w:color w:val="000000"/>
          <w:sz w:val="32"/>
          <w:szCs w:val="32"/>
        </w:rPr>
        <w:t>人平公用经费收入减少了10万元</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还减少了水稻育插秧推广经费收入24.4万元、年终绩效考核奖金39.7万元、2020创文奖10.93万元、2020公车补贴4.84万元、退休1人减少了工资、养老保险、住房公积金等收入30.53万元。</w:t>
      </w:r>
    </w:p>
    <w:p>
      <w:pPr>
        <w:keepNext w:val="0"/>
        <w:keepLines w:val="0"/>
        <w:pageBreakBefore w:val="0"/>
        <w:widowControl/>
        <w:numPr>
          <w:ilvl w:val="0"/>
          <w:numId w:val="1"/>
        </w:numPr>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color w:val="000000"/>
          <w:sz w:val="32"/>
          <w:szCs w:val="32"/>
        </w:rPr>
        <w:t>支出预算：</w:t>
      </w:r>
      <w:r>
        <w:rPr>
          <w:rFonts w:hint="eastAsia" w:ascii="宋体" w:hAnsi="宋体" w:eastAsia="宋体" w:cs="宋体"/>
          <w:sz w:val="32"/>
          <w:szCs w:val="32"/>
        </w:rPr>
        <w:t>2022年年初预算支出数1094.05万元，其中：工资福利支出预算数266.85万元，一般商品服务支出预算数36.2万元，对个人和家庭的补助支出预算数</w:t>
      </w:r>
      <w:r>
        <w:rPr>
          <w:rFonts w:hint="eastAsia" w:ascii="宋体" w:hAnsi="宋体" w:eastAsia="宋体" w:cs="宋体"/>
          <w:sz w:val="32"/>
          <w:szCs w:val="32"/>
          <w:lang w:val="en-US" w:eastAsia="zh-CN"/>
        </w:rPr>
        <w:t>1</w:t>
      </w:r>
      <w:r>
        <w:rPr>
          <w:rFonts w:hint="eastAsia" w:ascii="宋体" w:hAnsi="宋体" w:eastAsia="宋体" w:cs="宋体"/>
          <w:sz w:val="32"/>
          <w:szCs w:val="32"/>
        </w:rPr>
        <w:t>万元</w:t>
      </w:r>
      <w:r>
        <w:rPr>
          <w:rFonts w:hint="eastAsia" w:ascii="宋体" w:hAnsi="宋体" w:eastAsia="宋体" w:cs="宋体"/>
          <w:sz w:val="32"/>
          <w:szCs w:val="32"/>
          <w:lang w:eastAsia="zh-CN"/>
        </w:rPr>
        <w:t>，项目支出预算数</w:t>
      </w:r>
      <w:r>
        <w:rPr>
          <w:rFonts w:hint="eastAsia" w:ascii="宋体" w:hAnsi="宋体" w:eastAsia="宋体" w:cs="宋体"/>
          <w:sz w:val="32"/>
          <w:szCs w:val="32"/>
          <w:lang w:val="en-US" w:eastAsia="zh-CN"/>
        </w:rPr>
        <w:t>790万元</w:t>
      </w:r>
      <w:r>
        <w:rPr>
          <w:rFonts w:hint="eastAsia" w:ascii="宋体" w:hAnsi="宋体" w:eastAsia="宋体" w:cs="宋体"/>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支出较去年增加669.6万元，主要原因有</w:t>
      </w:r>
      <w:r>
        <w:rPr>
          <w:rFonts w:hint="eastAsia" w:ascii="宋体" w:hAnsi="宋体" w:eastAsia="宋体" w:cs="宋体"/>
          <w:sz w:val="32"/>
          <w:szCs w:val="32"/>
          <w:lang w:eastAsia="zh-CN"/>
        </w:rPr>
        <w:t>三</w:t>
      </w:r>
      <w:r>
        <w:rPr>
          <w:rFonts w:hint="eastAsia" w:ascii="宋体" w:hAnsi="宋体" w:eastAsia="宋体" w:cs="宋体"/>
          <w:sz w:val="32"/>
          <w:szCs w:val="32"/>
        </w:rPr>
        <w:t>：一是增加省级项目购置补贴资金600万元和现代农机合作示范社创建100万元；二是本级增加拖拉机站养老保险、医疗保险、遗属生活补助、抚恤金等经费收入90万元；三是人平公用经费收入减少了10万元，还减少了水稻育插秧推广经费收入24.4万元、年终绩效考核奖金39.7万元、2020创文奖10.93万元、2020公车补贴4.84万元、退休1人减少了工资、养老保险、住房公积金等收入30.53万元。</w:t>
      </w:r>
    </w:p>
    <w:p>
      <w:pPr>
        <w:keepNext w:val="0"/>
        <w:keepLines w:val="0"/>
        <w:pageBreakBefore w:val="0"/>
        <w:widowControl/>
        <w:kinsoku/>
        <w:wordWrap/>
        <w:overflowPunct/>
        <w:topLinePunct w:val="0"/>
        <w:autoSpaceDE/>
        <w:autoSpaceDN/>
        <w:bidi w:val="0"/>
        <w:adjustRightInd/>
        <w:snapToGrid/>
        <w:spacing w:line="700" w:lineRule="exact"/>
        <w:ind w:firstLine="40"/>
        <w:jc w:val="both"/>
        <w:textAlignment w:val="auto"/>
        <w:rPr>
          <w:rFonts w:hint="eastAsia" w:ascii="宋体" w:hAnsi="宋体" w:eastAsia="宋体" w:cs="宋体"/>
          <w:b/>
          <w:bCs w:val="0"/>
          <w:sz w:val="32"/>
          <w:szCs w:val="32"/>
        </w:rPr>
      </w:pPr>
      <w:r>
        <w:rPr>
          <w:rFonts w:hint="eastAsia" w:ascii="宋体" w:hAnsi="宋体" w:eastAsia="宋体" w:cs="宋体"/>
          <w:b/>
          <w:bCs/>
          <w:color w:val="000000"/>
          <w:sz w:val="36"/>
          <w:szCs w:val="36"/>
        </w:rPr>
        <w:t>四、一般公共预算拨款支出预算</w:t>
      </w:r>
      <w:r>
        <w:rPr>
          <w:rFonts w:hint="eastAsia" w:ascii="宋体" w:hAnsi="宋体" w:eastAsia="宋体" w:cs="宋体"/>
          <w:b/>
          <w:bCs w:val="0"/>
          <w:sz w:val="32"/>
          <w:szCs w:val="32"/>
        </w:rPr>
        <w:tab/>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2022年一般公共预算拨款收入1094.05万元，具体安排情况如下：</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b/>
          <w:sz w:val="32"/>
          <w:szCs w:val="32"/>
          <w:lang w:eastAsia="zh-CN"/>
        </w:rPr>
        <w:t>（一）</w:t>
      </w:r>
      <w:r>
        <w:rPr>
          <w:rFonts w:hint="eastAsia" w:ascii="宋体" w:hAnsi="宋体" w:eastAsia="宋体" w:cs="宋体"/>
          <w:b/>
          <w:sz w:val="32"/>
          <w:szCs w:val="32"/>
        </w:rPr>
        <w:t>基本支出：</w:t>
      </w:r>
      <w:r>
        <w:rPr>
          <w:rFonts w:hint="eastAsia" w:ascii="宋体" w:hAnsi="宋体" w:eastAsia="宋体" w:cs="宋体"/>
          <w:sz w:val="32"/>
          <w:szCs w:val="32"/>
        </w:rPr>
        <w:t>2022年预算数为304.05万元，是指为保障单位机构正常运转、完成日常工作任务而发生的各项支出，包括用于基本工资、津贴补贴等人员经费以及办公费、印刷费、水电费、办公设备购置等日常工作运转经费。</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cs="宋体"/>
          <w:sz w:val="32"/>
          <w:szCs w:val="32"/>
          <w:lang w:eastAsia="zh-CN"/>
        </w:rPr>
        <w:t>、</w:t>
      </w:r>
      <w:r>
        <w:rPr>
          <w:rFonts w:hint="eastAsia" w:ascii="宋体" w:hAnsi="宋体" w:eastAsia="宋体" w:cs="宋体"/>
          <w:sz w:val="32"/>
          <w:szCs w:val="32"/>
        </w:rPr>
        <w:t>工资福利支出266.85万元；中：基本工资119.19万元，津贴补贴37.48</w:t>
      </w:r>
      <w:r>
        <w:rPr>
          <w:rFonts w:hint="eastAsia" w:ascii="宋体" w:hAnsi="宋体" w:eastAsia="宋体" w:cs="宋体"/>
          <w:sz w:val="32"/>
          <w:szCs w:val="32"/>
          <w:lang w:eastAsia="zh-CN"/>
        </w:rPr>
        <w:t>万</w:t>
      </w:r>
      <w:r>
        <w:rPr>
          <w:rFonts w:hint="eastAsia" w:ascii="宋体" w:hAnsi="宋体" w:eastAsia="宋体" w:cs="宋体"/>
          <w:sz w:val="32"/>
          <w:szCs w:val="32"/>
        </w:rPr>
        <w:t>元，</w:t>
      </w:r>
      <w:r>
        <w:rPr>
          <w:rFonts w:hint="eastAsia" w:ascii="宋体" w:hAnsi="宋体" w:eastAsia="宋体" w:cs="宋体"/>
          <w:sz w:val="32"/>
          <w:szCs w:val="32"/>
          <w:lang w:eastAsia="zh-CN"/>
        </w:rPr>
        <w:t>绩效工资32.74万元，</w:t>
      </w:r>
      <w:r>
        <w:rPr>
          <w:rFonts w:hint="eastAsia" w:ascii="宋体" w:hAnsi="宋体" w:eastAsia="宋体" w:cs="宋体"/>
          <w:sz w:val="32"/>
          <w:szCs w:val="32"/>
        </w:rPr>
        <w:t>奖金5.8万元（第13月奖励工资），基本养老保险缴费31.23万元，基本医疗缴费16.98万元，住房公积金23.43万元。</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2</w:t>
      </w:r>
      <w:r>
        <w:rPr>
          <w:rFonts w:hint="eastAsia" w:cs="宋体"/>
          <w:sz w:val="32"/>
          <w:szCs w:val="32"/>
          <w:lang w:eastAsia="zh-CN"/>
        </w:rPr>
        <w:t>、</w:t>
      </w:r>
      <w:r>
        <w:rPr>
          <w:rFonts w:hint="eastAsia" w:ascii="宋体" w:hAnsi="宋体" w:eastAsia="宋体" w:cs="宋体"/>
          <w:sz w:val="32"/>
          <w:szCs w:val="32"/>
        </w:rPr>
        <w:t>一般商品和服务支出。指人平公用经费37.2万元，是按农机事务中心在职在编核算的，用于本单位工作、机要、保密、文印、工会等日常工作开支36.2万元。</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3</w:t>
      </w:r>
      <w:r>
        <w:rPr>
          <w:rFonts w:hint="eastAsia" w:cs="宋体"/>
          <w:sz w:val="32"/>
          <w:szCs w:val="32"/>
          <w:lang w:eastAsia="zh-CN"/>
        </w:rPr>
        <w:t>、</w:t>
      </w:r>
      <w:r>
        <w:rPr>
          <w:rFonts w:hint="eastAsia" w:ascii="宋体" w:hAnsi="宋体" w:eastAsia="宋体" w:cs="宋体"/>
          <w:sz w:val="32"/>
          <w:szCs w:val="32"/>
        </w:rPr>
        <w:t>对个人和家庭补助支出。退休职工独生子女奖励1万元。</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b/>
          <w:sz w:val="32"/>
          <w:szCs w:val="32"/>
        </w:rPr>
        <w:t>（二）项目支出：</w:t>
      </w:r>
      <w:r>
        <w:rPr>
          <w:rFonts w:hint="eastAsia" w:ascii="宋体" w:hAnsi="宋体" w:eastAsia="宋体" w:cs="宋体"/>
          <w:color w:val="000000"/>
          <w:sz w:val="32"/>
          <w:szCs w:val="32"/>
        </w:rPr>
        <w:t>2022年本部门项目支出预算790万元，主要是部门为完成特定行政工作任务或事业发展目标而发生的支出。</w:t>
      </w:r>
      <w:r>
        <w:rPr>
          <w:rFonts w:hint="eastAsia" w:ascii="宋体" w:hAnsi="宋体" w:eastAsia="宋体" w:cs="宋体"/>
          <w:sz w:val="32"/>
          <w:szCs w:val="32"/>
        </w:rPr>
        <w:t>其中：1、农机购置补贴资金支出600万元，全部用于</w:t>
      </w:r>
      <w:r>
        <w:rPr>
          <w:rFonts w:hint="eastAsia" w:ascii="宋体" w:hAnsi="宋体" w:eastAsia="宋体" w:cs="宋体"/>
          <w:color w:val="000000"/>
          <w:sz w:val="32"/>
          <w:szCs w:val="32"/>
        </w:rPr>
        <w:t>通过购置补贴系统申报，由财政、农机、乡镇各部门核查属实，通过一卡通发放</w:t>
      </w:r>
      <w:r>
        <w:rPr>
          <w:rFonts w:hint="eastAsia" w:ascii="宋体" w:hAnsi="宋体" w:eastAsia="宋体" w:cs="宋体"/>
          <w:sz w:val="32"/>
          <w:szCs w:val="32"/>
        </w:rPr>
        <w:t>的农机购置补贴资金；2、现代农机合作示范社创建资金100万元，全部用于对经营规模适度，配备符合现代农业发展要求、质量优良、性能可靠农机装备的现代农机合作社</w:t>
      </w:r>
      <w:r>
        <w:rPr>
          <w:rFonts w:hint="eastAsia" w:ascii="宋体" w:hAnsi="宋体" w:eastAsia="宋体" w:cs="宋体"/>
          <w:sz w:val="32"/>
          <w:szCs w:val="32"/>
          <w:lang w:eastAsia="zh-CN"/>
        </w:rPr>
        <w:t>、现代农机合作社示范社，</w:t>
      </w:r>
      <w:r>
        <w:rPr>
          <w:rFonts w:hint="eastAsia" w:ascii="宋体" w:hAnsi="宋体" w:eastAsia="宋体" w:cs="宋体"/>
          <w:sz w:val="32"/>
          <w:szCs w:val="32"/>
        </w:rPr>
        <w:t>省财政按创建指标每个奖补15万元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30万元</w:t>
      </w:r>
      <w:r>
        <w:rPr>
          <w:rFonts w:hint="eastAsia" w:ascii="宋体" w:hAnsi="宋体" w:eastAsia="宋体" w:cs="宋体"/>
          <w:sz w:val="32"/>
          <w:szCs w:val="32"/>
        </w:rPr>
        <w:t>；3、拖拉机站人员经费90万元：其中养老保险30万、职业年金13万、医疗保险19.7万、遗属生活补助8万、抚恤金3.3万、工资16万。</w:t>
      </w:r>
    </w:p>
    <w:p>
      <w:pPr>
        <w:keepNext w:val="0"/>
        <w:keepLines w:val="0"/>
        <w:pageBreakBefore w:val="0"/>
        <w:widowControl/>
        <w:kinsoku/>
        <w:wordWrap/>
        <w:overflowPunct/>
        <w:topLinePunct w:val="0"/>
        <w:autoSpaceDE/>
        <w:autoSpaceDN/>
        <w:bidi w:val="0"/>
        <w:adjustRightInd/>
        <w:snapToGrid/>
        <w:spacing w:line="700" w:lineRule="exact"/>
        <w:ind w:firstLine="40"/>
        <w:jc w:val="both"/>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五、政府性基金预算支出</w:t>
      </w:r>
    </w:p>
    <w:p>
      <w:pPr>
        <w:keepNext w:val="0"/>
        <w:keepLines w:val="0"/>
        <w:pageBreakBefore w:val="0"/>
        <w:widowControl/>
        <w:kinsoku/>
        <w:wordWrap/>
        <w:overflowPunct/>
        <w:topLinePunct w:val="0"/>
        <w:autoSpaceDE/>
        <w:autoSpaceDN/>
        <w:bidi w:val="0"/>
        <w:adjustRightInd/>
        <w:snapToGrid/>
        <w:spacing w:line="70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2022年本部门无政府性基金安排的支出。</w:t>
      </w:r>
    </w:p>
    <w:p>
      <w:pPr>
        <w:keepNext w:val="0"/>
        <w:keepLines w:val="0"/>
        <w:pageBreakBefore w:val="0"/>
        <w:widowControl/>
        <w:kinsoku/>
        <w:wordWrap/>
        <w:overflowPunct/>
        <w:topLinePunct w:val="0"/>
        <w:autoSpaceDE/>
        <w:autoSpaceDN/>
        <w:bidi w:val="0"/>
        <w:adjustRightInd/>
        <w:snapToGrid/>
        <w:spacing w:line="700" w:lineRule="exact"/>
        <w:ind w:firstLine="40"/>
        <w:jc w:val="both"/>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六、其他重要事项的情况说明</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（一）机关运行经费</w:t>
      </w:r>
      <w:r>
        <w:rPr>
          <w:rFonts w:hint="eastAsia" w:cs="宋体"/>
          <w:b/>
          <w:bCs/>
          <w:color w:val="000000"/>
          <w:sz w:val="32"/>
          <w:szCs w:val="32"/>
          <w:lang w:eastAsia="zh-CN"/>
        </w:rPr>
        <w:t>：</w:t>
      </w:r>
      <w:r>
        <w:rPr>
          <w:rFonts w:hint="eastAsia" w:ascii="宋体" w:hAnsi="宋体" w:eastAsia="宋体" w:cs="宋体"/>
          <w:color w:val="000000"/>
          <w:sz w:val="32"/>
          <w:szCs w:val="32"/>
        </w:rPr>
        <w:t>2022年本部门机关运行经费37.2万元，比上年预算减少10万元，减少比例26%，主要是财政减少了经费拨款。</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color w:val="000000"/>
          <w:sz w:val="32"/>
          <w:szCs w:val="32"/>
        </w:rPr>
        <w:t>（二）“三公”经费预算</w:t>
      </w:r>
      <w:r>
        <w:rPr>
          <w:rFonts w:hint="eastAsia" w:cs="宋体"/>
          <w:b/>
          <w:bCs/>
          <w:color w:val="000000"/>
          <w:sz w:val="32"/>
          <w:szCs w:val="32"/>
          <w:lang w:eastAsia="zh-CN"/>
        </w:rPr>
        <w:t>：</w:t>
      </w:r>
      <w:r>
        <w:rPr>
          <w:rFonts w:hint="eastAsia" w:ascii="宋体" w:hAnsi="宋体" w:eastAsia="宋体" w:cs="宋体"/>
          <w:sz w:val="32"/>
          <w:szCs w:val="32"/>
        </w:rPr>
        <w:t>2022年“三公”经费预算数为3.5万元，其中：公务接待费3.5万元，公务用车购置及运行费0万元（</w:t>
      </w:r>
      <w:r>
        <w:rPr>
          <w:rFonts w:hint="eastAsia" w:ascii="宋体" w:hAnsi="宋体" w:eastAsia="宋体" w:cs="宋体"/>
          <w:color w:val="000000"/>
          <w:sz w:val="32"/>
          <w:szCs w:val="32"/>
        </w:rPr>
        <w:t>其中，公务用车购置费0万元，公务用车运行费0万元</w:t>
      </w:r>
      <w:r>
        <w:rPr>
          <w:rFonts w:hint="eastAsia" w:ascii="宋体" w:hAnsi="宋体" w:eastAsia="宋体" w:cs="宋体"/>
          <w:sz w:val="32"/>
          <w:szCs w:val="32"/>
        </w:rPr>
        <w:t>），因公出国（境）费 0万元。2022年“三公”经费预算与2021年“三公”经费预算3.5万元相同，本单位按照以往年度的公务接待开支填列，保持不变。</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（三）一般性支出情况</w:t>
      </w:r>
      <w:r>
        <w:rPr>
          <w:rFonts w:hint="eastAsia" w:cs="宋体"/>
          <w:b/>
          <w:bCs/>
          <w:color w:val="000000"/>
          <w:sz w:val="32"/>
          <w:szCs w:val="32"/>
          <w:lang w:eastAsia="zh-CN"/>
        </w:rPr>
        <w:t>：</w:t>
      </w:r>
      <w:r>
        <w:rPr>
          <w:rFonts w:hint="eastAsia" w:ascii="宋体" w:hAnsi="宋体" w:eastAsia="宋体" w:cs="宋体"/>
          <w:color w:val="000000"/>
          <w:sz w:val="32"/>
          <w:szCs w:val="32"/>
        </w:rPr>
        <w:t>2022年本部门会议费预算0万元，培训费预算0万元。</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color w:val="000000"/>
          <w:sz w:val="21"/>
          <w:szCs w:val="21"/>
        </w:rPr>
      </w:pPr>
      <w:r>
        <w:rPr>
          <w:rFonts w:hint="eastAsia" w:ascii="宋体" w:hAnsi="宋体" w:eastAsia="宋体" w:cs="宋体"/>
          <w:b/>
          <w:bCs/>
          <w:color w:val="000000"/>
          <w:sz w:val="32"/>
          <w:szCs w:val="32"/>
        </w:rPr>
        <w:t>（四）政府采购情况</w:t>
      </w:r>
      <w:r>
        <w:rPr>
          <w:rFonts w:hint="eastAsia" w:cs="宋体"/>
          <w:b/>
          <w:bCs/>
          <w:color w:val="000000"/>
          <w:sz w:val="32"/>
          <w:szCs w:val="32"/>
          <w:lang w:eastAsia="zh-CN"/>
        </w:rPr>
        <w:t>：</w:t>
      </w:r>
      <w:r>
        <w:rPr>
          <w:rFonts w:hint="eastAsia" w:ascii="宋体" w:hAnsi="宋体" w:eastAsia="宋体" w:cs="宋体"/>
          <w:color w:val="000000"/>
          <w:sz w:val="32"/>
          <w:szCs w:val="32"/>
        </w:rPr>
        <w:t>2022年本部门政府采购预算总额0万元，其中，货物类采购预算0万元；工程类采购预算0万元；服务类采购预算0万元。</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color w:val="000000"/>
          <w:sz w:val="21"/>
          <w:szCs w:val="21"/>
        </w:rPr>
      </w:pPr>
      <w:r>
        <w:rPr>
          <w:rFonts w:hint="eastAsia" w:ascii="宋体" w:hAnsi="宋体" w:eastAsia="宋体" w:cs="宋体"/>
          <w:b/>
          <w:bCs/>
          <w:color w:val="000000"/>
          <w:sz w:val="32"/>
          <w:szCs w:val="32"/>
        </w:rPr>
        <w:t>（五）国有资产占用使用及新增资产配置情况</w:t>
      </w:r>
      <w:r>
        <w:rPr>
          <w:rFonts w:hint="eastAsia" w:cs="宋体"/>
          <w:b/>
          <w:bCs/>
          <w:color w:val="000000"/>
          <w:sz w:val="32"/>
          <w:szCs w:val="32"/>
          <w:lang w:eastAsia="zh-CN"/>
        </w:rPr>
        <w:t>：</w:t>
      </w:r>
      <w:r>
        <w:rPr>
          <w:rFonts w:hint="eastAsia" w:ascii="宋体" w:hAnsi="宋体" w:eastAsia="宋体" w:cs="宋体"/>
          <w:color w:val="000000"/>
          <w:sz w:val="32"/>
          <w:szCs w:val="32"/>
        </w:rPr>
        <w:t>截至2021年12月底，本部门共有公务用车0辆，其中，机要通信用车0辆，应急保障用车0辆，执法执勤用车0辆，特种专业技术用车0辆，其他按照规定配备的公务用车0辆；单位价值50万元以上通用设备0台，单位价值100万元以上专用设备0台。2022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keepNext w:val="0"/>
        <w:keepLines w:val="0"/>
        <w:pageBreakBefore w:val="0"/>
        <w:widowControl/>
        <w:kinsoku/>
        <w:wordWrap/>
        <w:overflowPunct/>
        <w:topLinePunct w:val="0"/>
        <w:autoSpaceDE/>
        <w:autoSpaceDN/>
        <w:bidi w:val="0"/>
        <w:adjustRightInd/>
        <w:snapToGrid/>
        <w:spacing w:line="700" w:lineRule="atLeas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（六）预算绩效目标说明</w:t>
      </w:r>
      <w:r>
        <w:rPr>
          <w:rFonts w:hint="eastAsia" w:cs="宋体"/>
          <w:b/>
          <w:bCs/>
          <w:color w:val="000000"/>
          <w:sz w:val="32"/>
          <w:szCs w:val="32"/>
          <w:lang w:eastAsia="zh-CN"/>
        </w:rPr>
        <w:t>：</w:t>
      </w:r>
      <w:r>
        <w:rPr>
          <w:rFonts w:hint="eastAsia" w:ascii="宋体" w:hAnsi="宋体" w:eastAsia="宋体" w:cs="宋体"/>
          <w:color w:val="000000"/>
          <w:sz w:val="32"/>
          <w:szCs w:val="32"/>
        </w:rPr>
        <w:t>本部门所有支出实行绩效目标管理。纳入2022年部门整体支出绩效目标的金额为1094.05万元，其中，基本支出304.05万元，项目支出790万元。</w:t>
      </w:r>
    </w:p>
    <w:p>
      <w:pPr>
        <w:keepNext w:val="0"/>
        <w:keepLines w:val="0"/>
        <w:pageBreakBefore w:val="0"/>
        <w:widowControl/>
        <w:kinsoku/>
        <w:wordWrap/>
        <w:overflowPunct/>
        <w:topLinePunct w:val="0"/>
        <w:autoSpaceDE/>
        <w:autoSpaceDN/>
        <w:bidi w:val="0"/>
        <w:adjustRightInd/>
        <w:snapToGrid/>
        <w:spacing w:line="700" w:lineRule="exact"/>
        <w:ind w:firstLine="40"/>
        <w:jc w:val="both"/>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七、名词解释</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1、基本支出</w:t>
      </w:r>
      <w:r>
        <w:rPr>
          <w:rFonts w:hint="eastAsia" w:ascii="宋体" w:hAnsi="宋体" w:eastAsia="宋体" w:cs="宋体"/>
          <w:color w:val="000000"/>
          <w:sz w:val="32"/>
          <w:szCs w:val="32"/>
        </w:rPr>
        <w:t>：是指为保障单位机构正常运转、完成日常工作任务而发生的各项支出，包括用于基本工资、津贴补贴等人员经费以及办公费、印刷费、水电费、办公设备购置等日常公用经费。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2、项目支出：</w:t>
      </w:r>
      <w:r>
        <w:rPr>
          <w:rFonts w:hint="eastAsia" w:ascii="宋体" w:hAnsi="宋体" w:eastAsia="宋体" w:cs="宋体"/>
          <w:color w:val="000000"/>
          <w:sz w:val="32"/>
          <w:szCs w:val="32"/>
        </w:rPr>
        <w:t>是指单位为完成特定行政工作任务或事业发展目标而发生的支出。本年主要的项目为1、农机购置补贴资金</w:t>
      </w:r>
      <w:r>
        <w:rPr>
          <w:rFonts w:hint="eastAsia" w:ascii="宋体" w:hAnsi="宋体" w:eastAsia="宋体" w:cs="宋体"/>
          <w:sz w:val="32"/>
          <w:szCs w:val="32"/>
        </w:rPr>
        <w:t>是指中央财政和地方财政为农民和农业生产经营组织购买国家支持推广的先进适用的农业机械给予的补贴。2、现代农机合作示范社创建资金是指对经营规模适度，配备符合现代农业发展要求、质量优良、性能可靠农机装备的现代农机合作社，省财政按创建指标每个奖补15万元。</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3、机关运行经费：</w:t>
      </w:r>
      <w:r>
        <w:rPr>
          <w:rFonts w:hint="eastAsia" w:ascii="宋体" w:hAnsi="宋体" w:eastAsia="宋体" w:cs="宋体"/>
          <w:color w:val="00000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700" w:lineRule="exact"/>
        <w:ind w:firstLine="643" w:firstLineChars="200"/>
        <w:jc w:val="both"/>
        <w:textAlignment w:val="auto"/>
        <w:rPr>
          <w:rFonts w:hint="eastAsia" w:ascii="宋体" w:hAnsi="宋体" w:eastAsia="宋体" w:cs="宋体"/>
          <w:sz w:val="21"/>
          <w:szCs w:val="21"/>
        </w:rPr>
      </w:pPr>
      <w:r>
        <w:rPr>
          <w:rFonts w:hint="eastAsia" w:ascii="宋体" w:hAnsi="宋体" w:eastAsia="宋体" w:cs="宋体"/>
          <w:b/>
          <w:bCs/>
          <w:color w:val="000000"/>
          <w:sz w:val="32"/>
          <w:szCs w:val="32"/>
        </w:rPr>
        <w:t>4、“三公”经费：</w:t>
      </w:r>
      <w:r>
        <w:rPr>
          <w:rFonts w:hint="eastAsia" w:ascii="宋体" w:hAnsi="宋体" w:eastAsia="宋体" w:cs="宋体"/>
          <w:color w:val="000000"/>
          <w:sz w:val="32"/>
          <w:szCs w:val="32"/>
        </w:rPr>
        <w:t>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kinsoku/>
        <w:wordWrap/>
        <w:overflowPunct/>
        <w:topLinePunct w:val="0"/>
        <w:autoSpaceDE/>
        <w:autoSpaceDN/>
        <w:bidi w:val="0"/>
        <w:adjustRightInd/>
        <w:snapToGrid/>
        <w:spacing w:line="700" w:lineRule="exact"/>
        <w:ind w:firstLine="420" w:firstLineChars="200"/>
        <w:jc w:val="both"/>
        <w:textAlignment w:val="auto"/>
        <w:rPr>
          <w:rFonts w:hint="eastAsia" w:ascii="宋体" w:hAnsi="宋体" w:eastAsia="宋体" w:cs="宋体"/>
          <w:sz w:val="21"/>
          <w:szCs w:val="21"/>
        </w:rPr>
      </w:pPr>
    </w:p>
    <w:p>
      <w:pPr>
        <w:spacing w:after="2"/>
        <w:rPr>
          <w:rFonts w:hint="eastAsia" w:ascii="宋体" w:hAnsi="宋体" w:eastAsia="宋体" w:cs="宋体"/>
          <w:sz w:val="21"/>
          <w:szCs w:val="21"/>
        </w:rPr>
      </w:pPr>
    </w:p>
    <w:p>
      <w:pPr>
        <w:spacing w:after="2"/>
        <w:jc w:val="both"/>
        <w:rPr>
          <w:rFonts w:hint="eastAsia" w:ascii="宋体" w:hAnsi="宋体" w:eastAsia="宋体" w:cs="宋体"/>
          <w:sz w:val="21"/>
          <w:szCs w:val="21"/>
        </w:rPr>
      </w:pPr>
    </w:p>
    <w:p>
      <w:pPr>
        <w:spacing w:after="2"/>
        <w:ind w:firstLine="720"/>
        <w:jc w:val="center"/>
        <w:rPr>
          <w:rFonts w:hint="eastAsia" w:ascii="宋体" w:hAnsi="宋体" w:eastAsia="宋体" w:cs="宋体"/>
          <w:color w:val="000000"/>
          <w:sz w:val="36"/>
          <w:szCs w:val="36"/>
        </w:rPr>
      </w:pPr>
    </w:p>
    <w:p>
      <w:pPr>
        <w:rPr>
          <w:rFonts w:hint="eastAsia" w:ascii="宋体" w:hAnsi="宋体" w:eastAsia="宋体" w:cs="宋体"/>
          <w:color w:val="000000"/>
          <w:sz w:val="36"/>
          <w:szCs w:val="36"/>
        </w:rPr>
      </w:pPr>
      <w:r>
        <w:rPr>
          <w:rFonts w:hint="eastAsia" w:ascii="宋体" w:hAnsi="宋体" w:eastAsia="宋体" w:cs="宋体"/>
          <w:color w:val="000000"/>
          <w:sz w:val="36"/>
          <w:szCs w:val="36"/>
        </w:rPr>
        <w:br w:type="page"/>
      </w:r>
    </w:p>
    <w:p>
      <w:pPr>
        <w:spacing w:after="2"/>
        <w:ind w:firstLine="627"/>
        <w:rPr>
          <w:rFonts w:hint="eastAsia" w:ascii="宋体" w:hAnsi="宋体" w:eastAsia="宋体" w:cs="宋体"/>
          <w:color w:val="000000"/>
          <w:sz w:val="36"/>
          <w:szCs w:val="36"/>
        </w:rPr>
      </w:pPr>
    </w:p>
    <w:p>
      <w:pPr>
        <w:jc w:val="center"/>
        <w:rPr>
          <w:rFonts w:hint="eastAsia" w:ascii="宋体" w:hAnsi="宋体" w:eastAsia="宋体" w:cs="宋体"/>
          <w:b/>
          <w:bCs/>
          <w:sz w:val="44"/>
          <w:szCs w:val="44"/>
        </w:rPr>
      </w:pPr>
      <w:r>
        <w:rPr>
          <w:rFonts w:hint="eastAsia" w:ascii="宋体" w:hAnsi="宋体" w:eastAsia="宋体" w:cs="宋体"/>
          <w:b/>
          <w:bCs/>
          <w:color w:val="000000"/>
          <w:sz w:val="44"/>
          <w:szCs w:val="44"/>
        </w:rPr>
        <w:t>第二部分 2022年部门预算表</w:t>
      </w:r>
    </w:p>
    <w:p>
      <w:pPr>
        <w:spacing w:after="2"/>
        <w:ind w:firstLine="660"/>
        <w:jc w:val="center"/>
        <w:rPr>
          <w:rFonts w:hint="eastAsia" w:ascii="宋体" w:hAnsi="宋体" w:eastAsia="宋体" w:cs="宋体"/>
          <w:color w:val="000000"/>
          <w:sz w:val="32"/>
          <w:szCs w:val="32"/>
        </w:rPr>
      </w:pPr>
    </w:p>
    <w:p>
      <w:pPr>
        <w:spacing w:after="2"/>
        <w:ind w:firstLine="660"/>
        <w:jc w:val="center"/>
        <w:rPr>
          <w:rFonts w:hint="eastAsia" w:ascii="宋体" w:hAnsi="宋体" w:eastAsia="宋体" w:cs="宋体"/>
          <w:color w:val="000000"/>
          <w:sz w:val="32"/>
          <w:szCs w:val="32"/>
        </w:rPr>
      </w:pPr>
      <w:r>
        <w:rPr>
          <w:rFonts w:hint="eastAsia" w:ascii="宋体" w:hAnsi="宋体" w:eastAsia="宋体" w:cs="宋体"/>
        </w:rPr>
        <w:fldChar w:fldCharType="begin"/>
      </w:r>
      <w:r>
        <w:rPr>
          <w:rFonts w:hint="eastAsia" w:ascii="宋体" w:hAnsi="宋体" w:eastAsia="宋体" w:cs="宋体"/>
        </w:rPr>
        <w:instrText xml:space="preserve"> HYPERLINK "道县农机事务中心2022部门预算公开表.xlsx" </w:instrText>
      </w:r>
      <w:r>
        <w:rPr>
          <w:rFonts w:hint="eastAsia" w:ascii="宋体" w:hAnsi="宋体" w:eastAsia="宋体" w:cs="宋体"/>
        </w:rPr>
        <w:fldChar w:fldCharType="separate"/>
      </w:r>
      <w:r>
        <w:rPr>
          <w:rStyle w:val="7"/>
          <w:rFonts w:hint="eastAsia" w:ascii="宋体" w:hAnsi="宋体" w:eastAsia="宋体" w:cs="宋体"/>
          <w:color w:val="000000"/>
          <w:sz w:val="32"/>
          <w:szCs w:val="32"/>
        </w:rPr>
        <w:t>道县农机事务中心2022年部门预算公开表.xlsx</w:t>
      </w:r>
      <w:r>
        <w:rPr>
          <w:rStyle w:val="7"/>
          <w:rFonts w:hint="eastAsia" w:ascii="宋体" w:hAnsi="宋体" w:eastAsia="宋体" w:cs="宋体"/>
          <w:color w:val="000000"/>
          <w:sz w:val="32"/>
          <w:szCs w:val="32"/>
        </w:rPr>
        <w:fldChar w:fldCharType="end"/>
      </w:r>
    </w:p>
    <w:p>
      <w:pPr>
        <w:spacing w:after="2"/>
        <w:ind w:firstLine="660"/>
        <w:jc w:val="center"/>
        <w:rPr>
          <w:rFonts w:hint="default" w:ascii="仿宋_GB2312" w:eastAsia="仿宋_GB2312" w:cs="仿宋_GB2312"/>
          <w:color w:val="000000"/>
          <w:sz w:val="21"/>
          <w:szCs w:val="21"/>
        </w:rPr>
      </w:pPr>
    </w:p>
    <w:p>
      <w:pPr>
        <w:spacing w:after="2"/>
        <w:ind w:firstLine="660"/>
        <w:jc w:val="both"/>
        <w:rPr>
          <w:rFonts w:hint="default" w:ascii="仿宋_GB2312" w:eastAsia="仿宋_GB2312" w:cs="仿宋_GB2312"/>
          <w:color w:val="000000"/>
          <w:sz w:val="21"/>
          <w:szCs w:val="21"/>
        </w:rPr>
      </w:pPr>
    </w:p>
    <w:p>
      <w:pPr>
        <w:spacing w:line="700" w:lineRule="exact"/>
        <w:ind w:firstLine="480" w:firstLineChars="150"/>
        <w:rPr>
          <w:rFonts w:hint="default" w:ascii="仿宋_GB2312" w:eastAsia="仿宋_GB2312" w:cs="仿宋_GB2312"/>
          <w:color w:val="000000"/>
          <w:sz w:val="32"/>
          <w:szCs w:val="32"/>
        </w:rPr>
      </w:pPr>
    </w:p>
    <w:p>
      <w:pPr>
        <w:spacing w:after="2"/>
        <w:ind w:firstLine="627"/>
        <w:rPr>
          <w:rFonts w:hint="default" w:ascii="仿宋_GB2312" w:eastAsia="仿宋_GB2312" w:cs="仿宋_GB2312"/>
          <w:color w:val="000000"/>
          <w:sz w:val="21"/>
          <w:szCs w:val="21"/>
        </w:rPr>
      </w:pP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FABEB"/>
    <w:multiLevelType w:val="singleLevel"/>
    <w:tmpl w:val="650FAB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zcxMDdkZGM4YzA3NmRlNjAyNDVjNjcyZmVhNDUifQ=="/>
  </w:docVars>
  <w:rsids>
    <w:rsidRoot w:val="000F0795"/>
    <w:rsid w:val="000F0795"/>
    <w:rsid w:val="007868FC"/>
    <w:rsid w:val="03BD5AE4"/>
    <w:rsid w:val="06234C47"/>
    <w:rsid w:val="0AED6203"/>
    <w:rsid w:val="15EE1A63"/>
    <w:rsid w:val="17C251AC"/>
    <w:rsid w:val="1D724583"/>
    <w:rsid w:val="26585754"/>
    <w:rsid w:val="2CD6667B"/>
    <w:rsid w:val="300F506A"/>
    <w:rsid w:val="3DB129B1"/>
    <w:rsid w:val="413411B7"/>
    <w:rsid w:val="4655459E"/>
    <w:rsid w:val="486C49B0"/>
    <w:rsid w:val="53137A0A"/>
    <w:rsid w:val="56AB6FEB"/>
    <w:rsid w:val="60786190"/>
    <w:rsid w:val="628B1903"/>
    <w:rsid w:val="63400ABB"/>
    <w:rsid w:val="63EB6C79"/>
    <w:rsid w:val="656A477A"/>
    <w:rsid w:val="6C50637A"/>
    <w:rsid w:val="718D681F"/>
    <w:rsid w:val="76BF646F"/>
    <w:rsid w:val="79125820"/>
    <w:rsid w:val="7E736BE6"/>
    <w:rsid w:val="7F25708B"/>
    <w:rsid w:val="7FEC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rPr>
      <w:rFonts w:hint="eastAsia" w:ascii="宋体" w:hAnsi="宋体" w:eastAsia="宋体" w:cs="Times New Roman"/>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qFormat/>
    <w:uiPriority w:val="0"/>
    <w:rPr>
      <w:color w:val="0000FF"/>
      <w:u w:val="single"/>
    </w:rPr>
  </w:style>
  <w:style w:type="paragraph" w:customStyle="1" w:styleId="8">
    <w:name w:val="普通(网站) Char"/>
    <w:basedOn w:val="1"/>
    <w:qFormat/>
    <w:uiPriority w:val="0"/>
    <w:pPr>
      <w:spacing w:before="100" w:beforeAutospacing="1" w:after="100" w:afterAutospacing="1"/>
    </w:pPr>
  </w:style>
  <w:style w:type="character" w:customStyle="1" w:styleId="9">
    <w:name w:val="页眉 Char"/>
    <w:basedOn w:val="5"/>
    <w:link w:val="3"/>
    <w:qFormat/>
    <w:uiPriority w:val="0"/>
    <w:rPr>
      <w:rFonts w:ascii="宋体" w:hAnsi="宋体"/>
      <w:sz w:val="18"/>
      <w:szCs w:val="18"/>
    </w:rPr>
  </w:style>
  <w:style w:type="character" w:customStyle="1" w:styleId="10">
    <w:name w:val="页脚 Char"/>
    <w:basedOn w:val="5"/>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3001</Words>
  <Characters>437</Characters>
  <Lines>3</Lines>
  <Paragraphs>6</Paragraphs>
  <TotalTime>64</TotalTime>
  <ScaleCrop>false</ScaleCrop>
  <LinksUpToDate>false</LinksUpToDate>
  <CharactersWithSpaces>3432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V5490</dc:creator>
  <cp:lastModifiedBy>。</cp:lastModifiedBy>
  <dcterms:modified xsi:type="dcterms:W3CDTF">2023-09-27T01:09:13Z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7812D73535654870B53045AEFDFC82B2_13</vt:lpwstr>
  </property>
</Properties>
</file>