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4C" w:rsidRDefault="0063546A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jc w:val="center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44"/>
          <w:szCs w:val="44"/>
        </w:rPr>
        <w:t>2022</w:t>
      </w:r>
      <w:r>
        <w:rPr>
          <w:rFonts w:ascii="仿宋_GB2312" w:eastAsia="仿宋_GB2312" w:cs="仿宋_GB2312"/>
          <w:color w:val="000000"/>
          <w:sz w:val="44"/>
          <w:szCs w:val="44"/>
        </w:rPr>
        <w:t>年</w:t>
      </w:r>
      <w:r>
        <w:rPr>
          <w:rFonts w:ascii="仿宋_GB2312" w:eastAsia="仿宋_GB2312" w:cs="仿宋_GB2312"/>
          <w:color w:val="000000"/>
          <w:sz w:val="44"/>
          <w:szCs w:val="44"/>
        </w:rPr>
        <w:t>道县</w:t>
      </w:r>
      <w:proofErr w:type="gramStart"/>
      <w:r>
        <w:rPr>
          <w:rFonts w:ascii="仿宋_GB2312" w:eastAsia="仿宋_GB2312" w:cs="仿宋_GB2312"/>
          <w:color w:val="000000"/>
          <w:sz w:val="44"/>
          <w:szCs w:val="44"/>
        </w:rPr>
        <w:t>蚣</w:t>
      </w:r>
      <w:proofErr w:type="gramEnd"/>
      <w:r>
        <w:rPr>
          <w:rFonts w:ascii="仿宋_GB2312" w:eastAsia="仿宋_GB2312" w:cs="仿宋_GB2312"/>
          <w:color w:val="000000"/>
          <w:sz w:val="44"/>
          <w:szCs w:val="44"/>
        </w:rPr>
        <w:t>坝镇人民政府</w:t>
      </w:r>
      <w:r>
        <w:rPr>
          <w:rFonts w:ascii="仿宋_GB2312" w:eastAsia="仿宋_GB2312" w:cs="仿宋_GB2312"/>
          <w:color w:val="000000"/>
          <w:sz w:val="44"/>
          <w:szCs w:val="44"/>
        </w:rPr>
        <w:t>部门预算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jc w:val="center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目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录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jc w:val="both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第一部分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2022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年部门预算说明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jc w:val="both"/>
        <w:rPr>
          <w:rFonts w:ascii="仿宋_GB2312" w:eastAsia="仿宋_GB2312" w:cs="仿宋_GB2312" w:hint="default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一、部门基本概况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（一）职能职责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（二）机构设置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二、部门预算单位构成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三、部门收支总体情况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四、一般公共预算拨款支出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五、政府性基金预算支出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六、其他重要事项的情况说明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（二）“三公”经费预算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（三）一般性支出情况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（四）政府采购情况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（五）国有资产占用使用及新增资产配置情况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（六）预算绩效目标说明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七、名词解释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lastRenderedPageBreak/>
        <w:t>第二部分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2022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年部门预算表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、收支总表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、收入总表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、支出总表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、支出分类（政府预算）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、支出分类（部门预算）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、财政拨款收支总表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、一般公共预算支出表</w:t>
      </w:r>
    </w:p>
    <w:p w:rsidR="00200874" w:rsidRPr="00331950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8、</w:t>
      </w:r>
      <w:r w:rsidRPr="00331950">
        <w:rPr>
          <w:rFonts w:ascii="仿宋_GB2312" w:eastAsia="仿宋_GB2312" w:cs="仿宋_GB2312" w:hint="default"/>
          <w:color w:val="000000"/>
          <w:sz w:val="32"/>
          <w:szCs w:val="32"/>
        </w:rPr>
        <w:t>一般公共预算基本支出表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9、一般公共预算支出表-人员经费（工资福利支出）（按政府预算经济分类）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10、一般公共预算支出表-人员经费（工资福利支出）（按部门预算经济分类）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11、一般公共预算支出表-人员经费（对个人和家庭的补助）（按政府预算经济分类）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12、一般公共预算支出表-人员经费（对个人和家庭的补助）（按部门预算经济分类）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13、一般公共预算支出表-公用经费（商品和服务支出）（按政府预算经济分类）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14、一般公共预算支出表-公用经费（商品和服务支出）（按部门预算经济分类）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15、三公经费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16、政府性基金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17、政府性基金（政府预算）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18、政府性基金（部门预算）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19、国有资本经营预算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20、财政专户管理资金</w:t>
      </w:r>
    </w:p>
    <w:p w:rsidR="00200874" w:rsidRDefault="00200874" w:rsidP="00200874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21、专项清单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bookmarkStart w:id="0" w:name="_GoBack"/>
      <w:bookmarkEnd w:id="0"/>
      <w:r>
        <w:rPr>
          <w:rFonts w:cs="宋体"/>
          <w:color w:val="000000"/>
          <w:sz w:val="32"/>
          <w:szCs w:val="32"/>
        </w:rPr>
        <w:t xml:space="preserve">  </w:t>
      </w:r>
    </w:p>
    <w:p w:rsidR="00346E4C" w:rsidRDefault="0063546A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</w:t>
      </w:r>
    </w:p>
    <w:p w:rsidR="00346E4C" w:rsidRDefault="0063546A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第一部分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 w:cs="仿宋_GB2312"/>
          <w:color w:val="000000"/>
          <w:sz w:val="36"/>
          <w:szCs w:val="36"/>
        </w:rPr>
        <w:t>部门预算说明</w:t>
      </w:r>
    </w:p>
    <w:p w:rsidR="00346E4C" w:rsidRDefault="0063546A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27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一、部门基本概况</w:t>
      </w:r>
    </w:p>
    <w:p w:rsidR="00346E4C" w:rsidRDefault="0063546A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（一）职能职责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28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根据《中华人民共和国宪法》规定，本单位主要工作职责是：执行本级人民代表大会的决议和上级国家行政机关的决定和命令，管理本行政区域内的行政工作。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346E4C" w:rsidRDefault="0063546A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（二）机构设置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我单位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</w:t>
      </w: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个职能部室。现实有在编人数行政</w:t>
      </w:r>
      <w:r>
        <w:rPr>
          <w:rFonts w:ascii="仿宋_GB2312" w:eastAsia="仿宋_GB2312" w:cs="仿宋_GB2312"/>
          <w:color w:val="000000"/>
          <w:sz w:val="32"/>
          <w:szCs w:val="32"/>
        </w:rPr>
        <w:t>37</w:t>
      </w:r>
      <w:r>
        <w:rPr>
          <w:rFonts w:ascii="仿宋_GB2312" w:eastAsia="仿宋_GB2312" w:cs="仿宋_GB2312"/>
          <w:color w:val="000000"/>
          <w:sz w:val="32"/>
          <w:szCs w:val="32"/>
        </w:rPr>
        <w:t>人，事业</w:t>
      </w:r>
      <w:r>
        <w:rPr>
          <w:rFonts w:ascii="仿宋_GB2312" w:eastAsia="仿宋_GB2312" w:cs="仿宋_GB2312"/>
          <w:color w:val="000000"/>
          <w:sz w:val="32"/>
          <w:szCs w:val="32"/>
        </w:rPr>
        <w:t>54</w:t>
      </w:r>
      <w:r>
        <w:rPr>
          <w:rFonts w:ascii="仿宋_GB2312" w:eastAsia="仿宋_GB2312" w:cs="仿宋_GB2312"/>
          <w:color w:val="000000"/>
          <w:sz w:val="32"/>
          <w:szCs w:val="32"/>
        </w:rPr>
        <w:t>人，工勤人员</w:t>
      </w: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人，配有小车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辆。</w:t>
      </w:r>
    </w:p>
    <w:p w:rsidR="00346E4C" w:rsidRDefault="0063546A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二、部门预算单位构成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27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道县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蚣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坝镇人民政府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只有本级，没有其他二级预算单位，因此，纳入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年部门预算编制范围的只有</w:t>
      </w:r>
      <w:r>
        <w:rPr>
          <w:rFonts w:ascii="仿宋_GB2312" w:eastAsia="仿宋_GB2312" w:cs="仿宋_GB2312"/>
          <w:color w:val="000000"/>
          <w:sz w:val="32"/>
          <w:szCs w:val="32"/>
        </w:rPr>
        <w:t>道县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蚣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坝镇人民政府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本级。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三、部门收支总体情况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28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（一）收入预算：</w:t>
      </w:r>
      <w:r>
        <w:rPr>
          <w:rFonts w:ascii="仿宋_GB2312" w:eastAsia="仿宋_GB2312" w:cs="仿宋_GB2312"/>
          <w:color w:val="000000"/>
          <w:sz w:val="32"/>
          <w:szCs w:val="32"/>
        </w:rPr>
        <w:t>包括一般预算拨款</w:t>
      </w:r>
      <w:r>
        <w:rPr>
          <w:rFonts w:ascii="仿宋_GB2312" w:eastAsia="仿宋_GB2312" w:cs="仿宋_GB2312"/>
          <w:color w:val="000000"/>
          <w:sz w:val="32"/>
          <w:szCs w:val="32"/>
        </w:rPr>
        <w:t>1323.93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年本部门收入预算</w:t>
      </w:r>
      <w:r>
        <w:rPr>
          <w:rFonts w:ascii="仿宋_GB2312" w:eastAsia="仿宋_GB2312" w:cs="仿宋_GB2312"/>
          <w:color w:val="000000"/>
          <w:sz w:val="32"/>
          <w:szCs w:val="32"/>
        </w:rPr>
        <w:t>1323.93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万元，其中，一般公共预算拨款</w:t>
      </w:r>
      <w:r>
        <w:rPr>
          <w:rFonts w:ascii="仿宋_GB2312" w:eastAsia="仿宋_GB2312" w:cs="仿宋_GB2312"/>
          <w:color w:val="000000"/>
          <w:sz w:val="32"/>
          <w:szCs w:val="32"/>
        </w:rPr>
        <w:t>1323.93</w:t>
      </w:r>
      <w:r>
        <w:rPr>
          <w:rFonts w:ascii="仿宋_GB2312" w:eastAsia="仿宋_GB2312" w:cs="仿宋_GB2312"/>
          <w:color w:val="000000"/>
          <w:sz w:val="32"/>
          <w:szCs w:val="32"/>
        </w:rPr>
        <w:t>万元。收入较去年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20.1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</w:t>
      </w:r>
      <w:r>
        <w:rPr>
          <w:rFonts w:ascii="仿宋_GB2312" w:eastAsia="仿宋_GB2312" w:cs="仿宋_GB2312"/>
          <w:color w:val="000000"/>
          <w:sz w:val="32"/>
          <w:szCs w:val="32"/>
        </w:rPr>
        <w:t>经费压缩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（二）支出预算：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1323.93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</w:t>
      </w:r>
      <w:r>
        <w:rPr>
          <w:rFonts w:ascii="仿宋_GB2312" w:eastAsia="仿宋_GB2312" w:cs="仿宋_GB2312"/>
          <w:color w:val="000000"/>
          <w:sz w:val="32"/>
          <w:szCs w:val="32"/>
        </w:rPr>
        <w:t>一般公共预算支出</w:t>
      </w:r>
      <w:r>
        <w:rPr>
          <w:rFonts w:ascii="仿宋_GB2312" w:eastAsia="仿宋_GB2312" w:cs="仿宋_GB2312"/>
          <w:color w:val="000000"/>
          <w:sz w:val="32"/>
          <w:szCs w:val="32"/>
        </w:rPr>
        <w:t>1323.93</w:t>
      </w:r>
      <w:r>
        <w:rPr>
          <w:rFonts w:ascii="仿宋_GB2312" w:eastAsia="仿宋_GB2312" w:cs="仿宋_GB2312"/>
          <w:color w:val="000000"/>
          <w:sz w:val="32"/>
          <w:szCs w:val="32"/>
        </w:rPr>
        <w:t>万元。支出较去年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20.1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</w:t>
      </w:r>
      <w:r>
        <w:rPr>
          <w:rFonts w:ascii="仿宋_GB2312" w:eastAsia="仿宋_GB2312" w:cs="仿宋_GB2312"/>
          <w:color w:val="000000"/>
          <w:sz w:val="32"/>
          <w:szCs w:val="32"/>
        </w:rPr>
        <w:t>办公经费压缩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四、一般公共预算拨款支出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年本部门一般公共预算拨款支出预算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1323.93</w:t>
      </w:r>
      <w:r>
        <w:rPr>
          <w:rFonts w:ascii="仿宋_GB2312" w:eastAsia="仿宋_GB2312" w:cs="仿宋_GB2312"/>
          <w:color w:val="000000"/>
          <w:sz w:val="32"/>
          <w:szCs w:val="32"/>
        </w:rPr>
        <w:t>万元，具体安排情况如下：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基本支出：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年本部门基本支出预算数</w:t>
      </w:r>
      <w:r>
        <w:rPr>
          <w:rFonts w:ascii="仿宋_GB2312" w:eastAsia="仿宋_GB2312" w:cs="仿宋_GB2312"/>
          <w:color w:val="000000"/>
          <w:sz w:val="32"/>
          <w:szCs w:val="32"/>
        </w:rPr>
        <w:t>548.02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（二）项目支出：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年本部门项目支出预算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775.91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ascii="仿宋_GB2312" w:eastAsia="仿宋_GB2312" w:cs="仿宋_GB2312"/>
          <w:color w:val="000000"/>
          <w:sz w:val="32"/>
          <w:szCs w:val="32"/>
        </w:rPr>
        <w:t>一般公共预算</w:t>
      </w:r>
      <w:r>
        <w:rPr>
          <w:rFonts w:ascii="仿宋_GB2312" w:eastAsia="仿宋_GB2312" w:cs="仿宋_GB2312"/>
          <w:color w:val="000000"/>
          <w:sz w:val="32"/>
          <w:szCs w:val="32"/>
        </w:rPr>
        <w:t>775.91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ascii="仿宋_GB2312" w:eastAsia="仿宋_GB2312" w:cs="仿宋_GB2312"/>
          <w:color w:val="000000"/>
          <w:sz w:val="32"/>
          <w:szCs w:val="32"/>
        </w:rPr>
        <w:t>村干部报酬、村级办公经费、村民服务经费、人大妇联团委经费、乡镇党校办学经费、乡镇纪检办案经费</w:t>
      </w:r>
      <w:r>
        <w:rPr>
          <w:rFonts w:ascii="仿宋_GB2312" w:eastAsia="仿宋_GB2312" w:cs="仿宋_GB2312"/>
          <w:color w:val="000000"/>
          <w:sz w:val="32"/>
          <w:szCs w:val="32"/>
        </w:rPr>
        <w:t>等方面。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五、政府性基金预算支出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</w:t>
      </w:r>
      <w:r>
        <w:rPr>
          <w:rFonts w:ascii="仿宋_GB2312" w:eastAsia="仿宋_GB2312" w:cs="仿宋_GB2312"/>
          <w:color w:val="000000"/>
          <w:sz w:val="32"/>
          <w:szCs w:val="32"/>
        </w:rPr>
        <w:t>门无政府性基金安排的支出。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六、其他重要事项的情况说明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lastRenderedPageBreak/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机关运行经费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年本部门机关运行经费</w:t>
      </w:r>
      <w:r>
        <w:rPr>
          <w:rFonts w:ascii="仿宋_GB2312" w:eastAsia="仿宋_GB2312" w:cs="仿宋_GB2312"/>
          <w:color w:val="000000"/>
          <w:sz w:val="32"/>
          <w:szCs w:val="32"/>
        </w:rPr>
        <w:t>63.61</w:t>
      </w:r>
      <w:r>
        <w:rPr>
          <w:rFonts w:ascii="仿宋_GB2312" w:eastAsia="仿宋_GB2312" w:cs="仿宋_GB2312"/>
          <w:color w:val="000000"/>
          <w:sz w:val="32"/>
          <w:szCs w:val="32"/>
        </w:rPr>
        <w:t>万元，比上年预算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126.74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缩减</w:t>
      </w:r>
      <w:r>
        <w:rPr>
          <w:rFonts w:ascii="仿宋_GB2312" w:eastAsia="仿宋_GB2312" w:cs="仿宋_GB2312"/>
          <w:color w:val="000000"/>
          <w:sz w:val="32"/>
          <w:szCs w:val="32"/>
        </w:rPr>
        <w:t>比例</w:t>
      </w:r>
      <w:r>
        <w:rPr>
          <w:rFonts w:ascii="仿宋_GB2312" w:eastAsia="仿宋_GB2312" w:cs="仿宋_GB2312"/>
          <w:color w:val="000000"/>
          <w:sz w:val="32"/>
          <w:szCs w:val="32"/>
        </w:rPr>
        <w:t>66.98</w:t>
      </w:r>
      <w:r>
        <w:rPr>
          <w:rFonts w:ascii="仿宋_GB2312" w:eastAsia="仿宋_GB2312" w:cs="仿宋_GB2312"/>
          <w:color w:val="000000"/>
          <w:sz w:val="32"/>
          <w:szCs w:val="32"/>
        </w:rPr>
        <w:t>%</w:t>
      </w:r>
      <w:r>
        <w:rPr>
          <w:rFonts w:ascii="仿宋_GB2312" w:eastAsia="仿宋_GB2312" w:cs="仿宋_GB2312"/>
          <w:color w:val="000000"/>
          <w:sz w:val="32"/>
          <w:szCs w:val="32"/>
        </w:rPr>
        <w:t>，主要是</w:t>
      </w:r>
      <w:r>
        <w:rPr>
          <w:rFonts w:ascii="仿宋_GB2312" w:eastAsia="仿宋_GB2312" w:cs="仿宋_GB2312"/>
          <w:color w:val="000000"/>
          <w:sz w:val="32"/>
          <w:szCs w:val="32"/>
        </w:rPr>
        <w:t>办公经费压缩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二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）“三公”经费预算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年本部门“三公”经费预算数为</w:t>
      </w:r>
      <w:r>
        <w:rPr>
          <w:rFonts w:ascii="仿宋_GB2312" w:eastAsia="仿宋_GB2312" w:cs="仿宋_GB2312"/>
          <w:color w:val="000000"/>
          <w:sz w:val="32"/>
          <w:szCs w:val="32"/>
        </w:rPr>
        <w:t>14.3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万元，其中，公务接待费</w:t>
      </w:r>
      <w:r>
        <w:rPr>
          <w:rFonts w:ascii="仿宋_GB2312" w:eastAsia="仿宋_GB2312" w:cs="仿宋_GB2312"/>
          <w:color w:val="000000"/>
          <w:sz w:val="32"/>
          <w:szCs w:val="32"/>
        </w:rPr>
        <w:t>9.8</w:t>
      </w:r>
      <w:r>
        <w:rPr>
          <w:rFonts w:ascii="仿宋_GB2312" w:eastAsia="仿宋_GB2312" w:cs="仿宋_GB2312"/>
          <w:color w:val="000000"/>
          <w:sz w:val="32"/>
          <w:szCs w:val="32"/>
        </w:rPr>
        <w:t>万元，公务用车购置及运行费</w:t>
      </w:r>
      <w:r>
        <w:rPr>
          <w:rFonts w:ascii="仿宋_GB2312" w:eastAsia="仿宋_GB2312" w:cs="仿宋_GB2312"/>
          <w:color w:val="000000"/>
          <w:sz w:val="32"/>
          <w:szCs w:val="32"/>
        </w:rPr>
        <w:t>4.5</w:t>
      </w:r>
      <w:r>
        <w:rPr>
          <w:rFonts w:ascii="仿宋_GB2312" w:eastAsia="仿宋_GB2312" w:cs="仿宋_GB2312"/>
          <w:color w:val="000000"/>
          <w:sz w:val="32"/>
          <w:szCs w:val="32"/>
        </w:rPr>
        <w:t>万元（其中，公务用车购置费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万元，公务用车购置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</w:t>
      </w:r>
      <w:r>
        <w:rPr>
          <w:rFonts w:ascii="仿宋_GB2312" w:eastAsia="仿宋_GB2312" w:cs="仿宋_GB2312"/>
          <w:color w:val="000000"/>
          <w:sz w:val="32"/>
          <w:szCs w:val="32"/>
        </w:rPr>
        <w:t>公务用车运行费</w:t>
      </w:r>
      <w:r>
        <w:rPr>
          <w:rFonts w:ascii="仿宋_GB2312" w:eastAsia="仿宋_GB2312" w:cs="仿宋_GB2312"/>
          <w:color w:val="000000"/>
          <w:sz w:val="32"/>
          <w:szCs w:val="32"/>
        </w:rPr>
        <w:t>4.5</w:t>
      </w:r>
      <w:r>
        <w:rPr>
          <w:rFonts w:ascii="仿宋_GB2312" w:eastAsia="仿宋_GB2312" w:cs="仿宋_GB2312"/>
          <w:color w:val="000000"/>
          <w:sz w:val="32"/>
          <w:szCs w:val="32"/>
        </w:rPr>
        <w:t>万元），因公出国（境）费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年“三公”经费预算较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</w:rPr>
        <w:t>年相比</w:t>
      </w:r>
      <w:r>
        <w:rPr>
          <w:rFonts w:ascii="仿宋_GB2312" w:eastAsia="仿宋_GB2312" w:cs="仿宋_GB2312"/>
          <w:color w:val="000000"/>
          <w:sz w:val="32"/>
          <w:szCs w:val="32"/>
        </w:rPr>
        <w:t>减少了</w:t>
      </w:r>
      <w:r>
        <w:rPr>
          <w:rFonts w:ascii="仿宋_GB2312" w:eastAsia="仿宋_GB2312" w:cs="仿宋_GB2312"/>
          <w:color w:val="000000"/>
          <w:sz w:val="32"/>
          <w:szCs w:val="32"/>
        </w:rPr>
        <w:t>1.8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主要是公务接待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今年没列预算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 w:rsidR="00346E4C" w:rsidRDefault="0063546A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）一般性支出情况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</w:t>
      </w:r>
      <w:r>
        <w:rPr>
          <w:rFonts w:ascii="仿宋_GB2312" w:eastAsia="仿宋_GB2312" w:cs="仿宋_GB2312"/>
          <w:color w:val="000000"/>
          <w:sz w:val="32"/>
          <w:szCs w:val="32"/>
        </w:rPr>
        <w:t>办公费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23</w:t>
      </w:r>
      <w:r>
        <w:rPr>
          <w:rFonts w:ascii="仿宋_GB2312" w:eastAsia="仿宋_GB2312" w:cs="仿宋_GB2312"/>
          <w:color w:val="000000"/>
          <w:sz w:val="32"/>
          <w:szCs w:val="32"/>
        </w:rPr>
        <w:t>万元，印刷费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万元，电费预算</w:t>
      </w:r>
      <w:r>
        <w:rPr>
          <w:rFonts w:ascii="仿宋_GB2312" w:eastAsia="仿宋_GB2312" w:cs="仿宋_GB2312"/>
          <w:color w:val="000000"/>
          <w:sz w:val="32"/>
          <w:szCs w:val="32"/>
        </w:rPr>
        <w:t>4.5</w:t>
      </w:r>
      <w:r>
        <w:rPr>
          <w:rFonts w:ascii="仿宋_GB2312" w:eastAsia="仿宋_GB2312" w:cs="仿宋_GB2312"/>
          <w:color w:val="000000"/>
          <w:sz w:val="32"/>
          <w:szCs w:val="32"/>
        </w:rPr>
        <w:t>万元，邮电费预算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万元，差旅费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25</w:t>
      </w:r>
      <w:r>
        <w:rPr>
          <w:rFonts w:ascii="仿宋_GB2312" w:eastAsia="仿宋_GB2312" w:cs="仿宋_GB2312"/>
          <w:color w:val="000000"/>
          <w:sz w:val="32"/>
          <w:szCs w:val="32"/>
        </w:rPr>
        <w:t>万元，维修费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18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会议费预算</w:t>
      </w: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工会经费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16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4.5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万元，其他交通费用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万元，其他商品与服务支出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3.01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四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）政府采购情况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年本部门政府采购预算总额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万元，其中，货物类采购预算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万元；工程类采购预算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万元；服务类采购预算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五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）国有资产占用使用及新增资产配置情况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截至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cs="仿宋_GB2312"/>
          <w:color w:val="000000"/>
          <w:sz w:val="32"/>
          <w:szCs w:val="32"/>
        </w:rPr>
        <w:t>月底，本部门共有公务用车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辆，其中，机要通信用车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辆，应急保障用车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辆，执法执勤用车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辆，特种专业技术用车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辆，其他按照规定配备的公务用车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辆；单位价值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万元以上通用设备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台，单位价值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万元以上专用设备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年拟新增配置公务用车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</w:t>
      </w: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其中，机要通信用车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辆，应急保障用车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辆，执法执勤用车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辆，特种专业技术用车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辆，其他按照规定配备的公务用车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辆；新增配备单位价值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万元以上通用设备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台，单位价值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万元以上专用设备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六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）预算绩效目标说明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本部门所有支出实行绩效目标管理。纳入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年部门整体支出绩效目标的金额为</w:t>
      </w:r>
      <w:r>
        <w:rPr>
          <w:rFonts w:ascii="仿宋_GB2312" w:eastAsia="仿宋_GB2312" w:cs="仿宋_GB2312"/>
          <w:color w:val="000000"/>
          <w:sz w:val="32"/>
          <w:szCs w:val="32"/>
        </w:rPr>
        <w:t>1323.93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万元，其中，基本支出</w:t>
      </w:r>
      <w:r>
        <w:rPr>
          <w:rFonts w:ascii="仿宋_GB2312" w:eastAsia="仿宋_GB2312" w:cs="仿宋_GB2312"/>
          <w:color w:val="000000"/>
          <w:sz w:val="32"/>
          <w:szCs w:val="32"/>
        </w:rPr>
        <w:t>548.02</w:t>
      </w:r>
      <w:r>
        <w:rPr>
          <w:rFonts w:ascii="仿宋_GB2312" w:eastAsia="仿宋_GB2312" w:cs="仿宋_GB2312"/>
          <w:color w:val="000000"/>
          <w:sz w:val="32"/>
          <w:szCs w:val="32"/>
        </w:rPr>
        <w:t>万元，项目支出</w:t>
      </w:r>
      <w:r>
        <w:rPr>
          <w:rFonts w:ascii="仿宋_GB2312" w:eastAsia="仿宋_GB2312" w:cs="仿宋_GB2312"/>
          <w:color w:val="000000"/>
          <w:sz w:val="32"/>
          <w:szCs w:val="32"/>
        </w:rPr>
        <w:t>775.91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七、名词解释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、项目支出：是指单位为完成特定行政工作任务或事业发展目标而发生的支出。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、机关运行经费：为保障行政单位（包括参照公务员法管理的事业单位）运行用于购买货物和服务的各</w:t>
      </w:r>
      <w:r>
        <w:rPr>
          <w:rFonts w:ascii="仿宋_GB2312" w:eastAsia="仿宋_GB2312" w:cs="仿宋_GB2312"/>
          <w:color w:val="000000"/>
          <w:sz w:val="32"/>
          <w:szCs w:val="32"/>
        </w:rPr>
        <w:t>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、“三公”经费：是指一般公共预算拨款安排的公务接待费、公务用车购置及运行维护费和因公出国（境）费。其中，公务接待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单位按规定开支的各类公务接待支出；公务用车购置及运行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单位公务用车车辆购置支出（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含车辆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购置税），以及燃料费、维修费、保险费等支出；因公出国（境）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单位公务出国（境）的国际旅费、国外城市间交通费、食宿费</w:t>
      </w:r>
      <w:r>
        <w:rPr>
          <w:rFonts w:ascii="仿宋_GB2312" w:eastAsia="仿宋_GB2312" w:cs="仿宋_GB2312"/>
          <w:color w:val="000000"/>
          <w:sz w:val="32"/>
          <w:szCs w:val="32"/>
        </w:rPr>
        <w:t>等支出。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640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6"/>
          <w:szCs w:val="36"/>
        </w:rPr>
        <w:lastRenderedPageBreak/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"/>
        <w:ind w:firstLine="720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第二部分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2022</w:t>
      </w:r>
      <w:r>
        <w:rPr>
          <w:rFonts w:ascii="仿宋_GB2312" w:eastAsia="仿宋_GB2312" w:cs="仿宋_GB2312"/>
          <w:color w:val="000000"/>
          <w:sz w:val="36"/>
          <w:szCs w:val="36"/>
        </w:rPr>
        <w:t>年部门预算表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346E4C" w:rsidRDefault="0063546A">
      <w:pPr>
        <w:spacing w:after="210"/>
        <w:ind w:firstLine="720"/>
        <w:jc w:val="center"/>
        <w:rPr>
          <w:rFonts w:ascii="仿宋_GB2312" w:eastAsia="仿宋_GB2312" w:cs="仿宋_GB2312" w:hint="default"/>
          <w:sz w:val="21"/>
          <w:szCs w:val="21"/>
        </w:rPr>
      </w:pPr>
      <w:hyperlink r:id="rId7" w:history="1">
        <w:r>
          <w:rPr>
            <w:rStyle w:val="a3"/>
            <w:rFonts w:ascii="仿宋_GB2312" w:eastAsia="仿宋_GB2312" w:cs="仿宋_GB2312"/>
            <w:sz w:val="32"/>
            <w:szCs w:val="32"/>
          </w:rPr>
          <w:t>道县</w:t>
        </w:r>
        <w:proofErr w:type="gramStart"/>
        <w:r>
          <w:rPr>
            <w:rStyle w:val="a3"/>
            <w:rFonts w:ascii="仿宋_GB2312" w:eastAsia="仿宋_GB2312" w:cs="仿宋_GB2312"/>
            <w:sz w:val="32"/>
            <w:szCs w:val="32"/>
          </w:rPr>
          <w:t>蚣</w:t>
        </w:r>
        <w:proofErr w:type="gramEnd"/>
        <w:r>
          <w:rPr>
            <w:rStyle w:val="a3"/>
            <w:rFonts w:ascii="仿宋_GB2312" w:eastAsia="仿宋_GB2312" w:cs="仿宋_GB2312"/>
            <w:sz w:val="32"/>
            <w:szCs w:val="32"/>
          </w:rPr>
          <w:t>坝镇人民政府</w:t>
        </w:r>
        <w:r>
          <w:rPr>
            <w:rStyle w:val="a3"/>
            <w:rFonts w:ascii="仿宋_GB2312" w:eastAsia="仿宋_GB2312" w:cs="仿宋_GB2312"/>
            <w:sz w:val="32"/>
            <w:szCs w:val="32"/>
          </w:rPr>
          <w:t>2022</w:t>
        </w:r>
        <w:r>
          <w:rPr>
            <w:rStyle w:val="a3"/>
            <w:rFonts w:ascii="仿宋_GB2312" w:eastAsia="仿宋_GB2312" w:cs="仿宋_GB2312"/>
            <w:sz w:val="32"/>
            <w:szCs w:val="32"/>
          </w:rPr>
          <w:t>年部门预算公开表</w:t>
        </w:r>
        <w:r>
          <w:rPr>
            <w:rStyle w:val="a3"/>
            <w:rFonts w:ascii="仿宋_GB2312" w:eastAsia="仿宋_GB2312" w:cs="仿宋_GB2312"/>
            <w:sz w:val="32"/>
            <w:szCs w:val="32"/>
          </w:rPr>
          <w:t>.</w:t>
        </w:r>
        <w:proofErr w:type="gramStart"/>
        <w:r>
          <w:rPr>
            <w:rStyle w:val="a3"/>
            <w:rFonts w:ascii="仿宋_GB2312" w:eastAsia="仿宋_GB2312" w:cs="仿宋_GB2312"/>
            <w:sz w:val="32"/>
            <w:szCs w:val="32"/>
          </w:rPr>
          <w:t>xls</w:t>
        </w:r>
        <w:proofErr w:type="gramEnd"/>
      </w:hyperlink>
    </w:p>
    <w:p w:rsidR="00346E4C" w:rsidRDefault="0063546A">
      <w:pPr>
        <w:spacing w:after="2"/>
        <w:ind w:firstLine="64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sz w:val="21"/>
          <w:szCs w:val="21"/>
        </w:rPr>
        <w:t xml:space="preserve"> </w:t>
      </w:r>
    </w:p>
    <w:p w:rsidR="00346E4C" w:rsidRDefault="00346E4C">
      <w:pPr>
        <w:rPr>
          <w:rFonts w:hint="default"/>
        </w:rPr>
      </w:pPr>
    </w:p>
    <w:sectPr w:rsidR="00346E4C">
      <w:pgSz w:w="16839" w:h="11906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6A" w:rsidRDefault="0063546A">
      <w:pPr>
        <w:rPr>
          <w:rFonts w:hint="default"/>
        </w:rPr>
      </w:pPr>
      <w:r>
        <w:separator/>
      </w:r>
    </w:p>
  </w:endnote>
  <w:endnote w:type="continuationSeparator" w:id="0">
    <w:p w:rsidR="0063546A" w:rsidRDefault="0063546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6A" w:rsidRDefault="0063546A">
      <w:pPr>
        <w:rPr>
          <w:rFonts w:hint="default"/>
        </w:rPr>
      </w:pPr>
      <w:r>
        <w:separator/>
      </w:r>
    </w:p>
  </w:footnote>
  <w:footnote w:type="continuationSeparator" w:id="0">
    <w:p w:rsidR="0063546A" w:rsidRDefault="0063546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OTMxNmVjNDg3Y2RlYmQ3NTBlOTdlYjNjOTE0MTIifQ=="/>
  </w:docVars>
  <w:rsids>
    <w:rsidRoot w:val="6AC24129"/>
    <w:rsid w:val="00200874"/>
    <w:rsid w:val="00346E4C"/>
    <w:rsid w:val="0063546A"/>
    <w:rsid w:val="01D21571"/>
    <w:rsid w:val="025334C0"/>
    <w:rsid w:val="055A349C"/>
    <w:rsid w:val="09CA5C44"/>
    <w:rsid w:val="10D43651"/>
    <w:rsid w:val="1D6B007B"/>
    <w:rsid w:val="1FB37DC9"/>
    <w:rsid w:val="205B308C"/>
    <w:rsid w:val="336D6A70"/>
    <w:rsid w:val="4105404B"/>
    <w:rsid w:val="416C7C59"/>
    <w:rsid w:val="422747F8"/>
    <w:rsid w:val="4A8A579F"/>
    <w:rsid w:val="4C094875"/>
    <w:rsid w:val="4C8229F4"/>
    <w:rsid w:val="4DE92DF4"/>
    <w:rsid w:val="57084591"/>
    <w:rsid w:val="5EF46D02"/>
    <w:rsid w:val="5F2D2C93"/>
    <w:rsid w:val="5FC251E1"/>
    <w:rsid w:val="611A78B4"/>
    <w:rsid w:val="6925129F"/>
    <w:rsid w:val="6AC24129"/>
    <w:rsid w:val="726B2D0F"/>
    <w:rsid w:val="7D0C56C3"/>
    <w:rsid w:val="7D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</w:pPr>
  </w:style>
  <w:style w:type="paragraph" w:styleId="a4">
    <w:name w:val="header"/>
    <w:basedOn w:val="a"/>
    <w:link w:val="Char0"/>
    <w:rsid w:val="0020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0874"/>
    <w:rPr>
      <w:rFonts w:ascii="宋体" w:hAnsi="宋体"/>
      <w:sz w:val="18"/>
      <w:szCs w:val="18"/>
    </w:rPr>
  </w:style>
  <w:style w:type="paragraph" w:styleId="a5">
    <w:name w:val="footer"/>
    <w:basedOn w:val="a"/>
    <w:link w:val="Char1"/>
    <w:rsid w:val="002008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00874"/>
    <w:rPr>
      <w:rFonts w:ascii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</w:pPr>
  </w:style>
  <w:style w:type="paragraph" w:styleId="a4">
    <w:name w:val="header"/>
    <w:basedOn w:val="a"/>
    <w:link w:val="Char0"/>
    <w:rsid w:val="0020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0874"/>
    <w:rPr>
      <w:rFonts w:ascii="宋体" w:hAnsi="宋体"/>
      <w:sz w:val="18"/>
      <w:szCs w:val="18"/>
    </w:rPr>
  </w:style>
  <w:style w:type="paragraph" w:styleId="a5">
    <w:name w:val="footer"/>
    <w:basedOn w:val="a"/>
    <w:link w:val="Char1"/>
    <w:rsid w:val="002008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00874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105.183.30:8081/home/downloadAttachment?attachGUID=dc5becbd5067491e9ea70be81a8c41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xiangcaiju</cp:lastModifiedBy>
  <cp:revision>2</cp:revision>
  <dcterms:created xsi:type="dcterms:W3CDTF">2022-04-27T07:31:00Z</dcterms:created>
  <dcterms:modified xsi:type="dcterms:W3CDTF">2023-09-26T16:07:00Z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75F7055D943E44008DE8293E1B591E6E</vt:lpwstr>
  </property>
</Properties>
</file>