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2"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jc w:val="center"/>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000000"/>
          <w:kern w:val="0"/>
          <w:sz w:val="44"/>
          <w:szCs w:val="44"/>
        </w:rPr>
        <w:t>2</w:t>
      </w:r>
      <w:bookmarkStart w:id="0" w:name="_GoBack"/>
      <w:bookmarkEnd w:id="0"/>
      <w:r>
        <w:rPr>
          <w:rFonts w:hint="eastAsia" w:ascii="仿宋_GB2312" w:hAnsi="仿宋_GB2312" w:eastAsia="仿宋_GB2312" w:cs="仿宋_GB2312"/>
          <w:color w:val="000000"/>
          <w:kern w:val="0"/>
          <w:sz w:val="44"/>
          <w:szCs w:val="44"/>
        </w:rPr>
        <w:t>022年</w:t>
      </w:r>
      <w:r>
        <w:rPr>
          <w:rFonts w:hint="eastAsia" w:ascii="仿宋_GB2312" w:hAnsi="仿宋_GB2312" w:eastAsia="仿宋_GB2312" w:cs="仿宋_GB2312"/>
          <w:color w:val="000000"/>
          <w:kern w:val="0"/>
          <w:sz w:val="44"/>
          <w:szCs w:val="44"/>
          <w:lang w:eastAsia="zh-CN"/>
        </w:rPr>
        <w:t>道县行政审批服务局</w:t>
      </w:r>
      <w:r>
        <w:rPr>
          <w:rFonts w:hint="eastAsia" w:ascii="仿宋_GB2312" w:hAnsi="仿宋_GB2312" w:eastAsia="仿宋_GB2312" w:cs="仿宋_GB2312"/>
          <w:color w:val="000000"/>
          <w:kern w:val="0"/>
          <w:sz w:val="44"/>
          <w:szCs w:val="44"/>
        </w:rPr>
        <w:t>部门预算</w:t>
      </w:r>
    </w:p>
    <w:p>
      <w:pPr>
        <w:keepNext w:val="0"/>
        <w:keepLines w:val="0"/>
        <w:widowControl/>
        <w:suppressLineNumbers w:val="0"/>
        <w:spacing w:before="0" w:beforeAutospacing="0" w:after="2"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jc w:val="center"/>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000000"/>
          <w:kern w:val="0"/>
          <w:sz w:val="32"/>
          <w:szCs w:val="32"/>
        </w:rPr>
        <w:t>目 录</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color w:val="0000FF"/>
          <w:kern w:val="0"/>
          <w:sz w:val="21"/>
          <w:szCs w:val="21"/>
        </w:rPr>
      </w:pPr>
      <w:r>
        <w:rPr>
          <w:rFonts w:hint="eastAsia" w:ascii="仿宋_GB2312" w:hAnsi="宋体" w:eastAsia="仿宋_GB2312" w:cs="仿宋_GB2312"/>
          <w:b/>
          <w:bCs/>
          <w:color w:val="000000"/>
          <w:kern w:val="0"/>
          <w:sz w:val="32"/>
          <w:szCs w:val="32"/>
        </w:rPr>
        <w:t>第一部分 2022年部门预算说明</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 xml:space="preserve">一、部门基本概况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（一）职能职责</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（二）机构设置</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二、部门预算单位构成</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三、部门收支总体情况</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四、一般公共预算拨款支出</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五、政府性基金预算支出</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六、其他重要事项的情况说明</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（一）机关运行经费</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（二）“三公”经费预算</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（三）一般性支出情况</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（四）政府采购情况</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（五）国有资产占用使用及新增资产配置情况</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（六）预算绩效目标说明</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jc w:val="both"/>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七、名词解释</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第二部分 2022年部门预算表</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1、收支总表</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2、收入总表</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3、支出总表</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4、支出分类（政府预算）</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5、支出分类（部门预算）</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6、财政拨款收支总表</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7、一般公共预算支出表</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9</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-人员经费（</w:t>
      </w:r>
      <w:r>
        <w:rPr>
          <w:rFonts w:hint="eastAsia" w:ascii="仿宋_GB2312" w:hAnsi="宋体" w:eastAsia="仿宋_GB2312" w:cs="仿宋_GB2312"/>
          <w:color w:val="000000"/>
          <w:kern w:val="0"/>
          <w:sz w:val="32"/>
          <w:szCs w:val="32"/>
        </w:rPr>
        <w:t>工资福利</w:t>
      </w:r>
      <w:r>
        <w:rPr>
          <w:rFonts w:hint="eastAsia" w:ascii="仿宋_GB2312" w:eastAsia="仿宋_GB2312" w:cs="仿宋_GB2312"/>
          <w:color w:val="000000"/>
          <w:kern w:val="0"/>
          <w:sz w:val="32"/>
          <w:szCs w:val="32"/>
          <w:lang w:val="en-US" w:eastAsia="zh-CN"/>
        </w:rPr>
        <w:t>支出）</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w:t>
      </w:r>
      <w:r>
        <w:rPr>
          <w:rFonts w:hint="eastAsia" w:ascii="仿宋_GB2312" w:hAnsi="宋体" w:eastAsia="仿宋_GB2312" w:cs="仿宋_GB2312"/>
          <w:color w:val="000000"/>
          <w:kern w:val="0"/>
          <w:sz w:val="32"/>
          <w:szCs w:val="32"/>
        </w:rPr>
        <w:t>政府预算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-人员经费（</w:t>
      </w:r>
      <w:r>
        <w:rPr>
          <w:rFonts w:hint="eastAsia" w:ascii="仿宋_GB2312" w:hAnsi="宋体" w:eastAsia="仿宋_GB2312" w:cs="仿宋_GB2312"/>
          <w:color w:val="000000"/>
          <w:kern w:val="0"/>
          <w:sz w:val="32"/>
          <w:szCs w:val="32"/>
        </w:rPr>
        <w:t>工资福利</w:t>
      </w:r>
      <w:r>
        <w:rPr>
          <w:rFonts w:hint="eastAsia" w:ascii="仿宋_GB2312" w:eastAsia="仿宋_GB2312" w:cs="仿宋_GB2312"/>
          <w:color w:val="000000"/>
          <w:kern w:val="0"/>
          <w:sz w:val="32"/>
          <w:szCs w:val="32"/>
          <w:lang w:val="en-US" w:eastAsia="zh-CN"/>
        </w:rPr>
        <w:t>支出）</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按部门</w:t>
      </w:r>
      <w:r>
        <w:rPr>
          <w:rFonts w:hint="eastAsia" w:ascii="仿宋_GB2312" w:hAnsi="宋体" w:eastAsia="仿宋_GB2312" w:cs="仿宋_GB2312"/>
          <w:color w:val="000000"/>
          <w:kern w:val="0"/>
          <w:sz w:val="32"/>
          <w:szCs w:val="32"/>
        </w:rPr>
        <w:t>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-人员经费（对个人和家庭的补助）</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w:t>
      </w:r>
      <w:r>
        <w:rPr>
          <w:rFonts w:hint="eastAsia" w:ascii="仿宋_GB2312" w:hAnsi="宋体" w:eastAsia="仿宋_GB2312" w:cs="仿宋_GB2312"/>
          <w:color w:val="000000"/>
          <w:kern w:val="0"/>
          <w:sz w:val="32"/>
          <w:szCs w:val="32"/>
        </w:rPr>
        <w:t>政府预算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-人员经费（对个人和家庭的补助）</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按部门</w:t>
      </w:r>
      <w:r>
        <w:rPr>
          <w:rFonts w:hint="eastAsia" w:ascii="仿宋_GB2312" w:hAnsi="宋体" w:eastAsia="仿宋_GB2312" w:cs="仿宋_GB2312"/>
          <w:color w:val="000000"/>
          <w:kern w:val="0"/>
          <w:sz w:val="32"/>
          <w:szCs w:val="32"/>
        </w:rPr>
        <w:t>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-公用经费（商品和服务支出）</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w:t>
      </w:r>
      <w:r>
        <w:rPr>
          <w:rFonts w:hint="eastAsia" w:ascii="仿宋_GB2312" w:hAnsi="宋体" w:eastAsia="仿宋_GB2312" w:cs="仿宋_GB2312"/>
          <w:color w:val="000000"/>
          <w:kern w:val="0"/>
          <w:sz w:val="32"/>
          <w:szCs w:val="32"/>
        </w:rPr>
        <w:t>政府预算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、一般公共预算</w:t>
      </w:r>
      <w:r>
        <w:rPr>
          <w:rFonts w:hint="eastAsia" w:ascii="仿宋_GB2312" w:eastAsia="仿宋_GB2312" w:cs="仿宋_GB2312"/>
          <w:color w:val="000000"/>
          <w:kern w:val="0"/>
          <w:sz w:val="32"/>
          <w:szCs w:val="32"/>
          <w:lang w:val="en-US" w:eastAsia="zh-CN"/>
        </w:rPr>
        <w:t>基本</w:t>
      </w:r>
      <w:r>
        <w:rPr>
          <w:rFonts w:hint="eastAsia" w:ascii="仿宋_GB2312" w:hAnsi="宋体" w:eastAsia="仿宋_GB2312" w:cs="仿宋_GB2312"/>
          <w:color w:val="000000"/>
          <w:kern w:val="0"/>
          <w:sz w:val="32"/>
          <w:szCs w:val="32"/>
        </w:rPr>
        <w:t>支出表</w:t>
      </w:r>
      <w:r>
        <w:rPr>
          <w:rFonts w:hint="eastAsia" w:ascii="仿宋_GB2312" w:eastAsia="仿宋_GB2312" w:cs="仿宋_GB2312"/>
          <w:color w:val="000000"/>
          <w:kern w:val="0"/>
          <w:sz w:val="32"/>
          <w:szCs w:val="32"/>
          <w:lang w:val="en-US" w:eastAsia="zh-CN"/>
        </w:rPr>
        <w:t>-公用经费（商品和服务支出）</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按部门</w:t>
      </w:r>
      <w:r>
        <w:rPr>
          <w:rFonts w:hint="eastAsia" w:ascii="仿宋_GB2312" w:hAnsi="宋体" w:eastAsia="仿宋_GB2312" w:cs="仿宋_GB2312"/>
          <w:color w:val="000000"/>
          <w:kern w:val="0"/>
          <w:sz w:val="32"/>
          <w:szCs w:val="32"/>
        </w:rPr>
        <w:t>预算</w:t>
      </w:r>
      <w:r>
        <w:rPr>
          <w:rFonts w:hint="eastAsia" w:ascii="仿宋_GB2312" w:eastAsia="仿宋_GB2312" w:cs="仿宋_GB2312"/>
          <w:color w:val="000000"/>
          <w:kern w:val="0"/>
          <w:sz w:val="32"/>
          <w:szCs w:val="32"/>
          <w:lang w:val="en-US" w:eastAsia="zh-CN"/>
        </w:rPr>
        <w:t>经济分类</w:t>
      </w:r>
      <w:r>
        <w:rPr>
          <w:rFonts w:hint="eastAsia" w:ascii="仿宋_GB2312" w:hAnsi="宋体" w:eastAsia="仿宋_GB2312" w:cs="仿宋_GB2312"/>
          <w:color w:val="000000"/>
          <w:kern w:val="0"/>
          <w:sz w:val="32"/>
          <w:szCs w:val="32"/>
        </w:rPr>
        <w:t>）</w:t>
      </w:r>
    </w:p>
    <w:p>
      <w:pPr>
        <w:spacing w:after="2"/>
        <w:ind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5</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一般公共预算“三公”经费支出表</w:t>
      </w:r>
    </w:p>
    <w:p>
      <w:pPr>
        <w:spacing w:after="2"/>
        <w:ind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6</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政府性基金预算支出表</w:t>
      </w:r>
    </w:p>
    <w:p>
      <w:pPr>
        <w:spacing w:after="2"/>
        <w:ind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7</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政府性基金预算支出分类汇总表（按政府预算经济分类）</w:t>
      </w:r>
    </w:p>
    <w:p>
      <w:pPr>
        <w:spacing w:after="2"/>
        <w:ind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8</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政府性基金预算支出分类汇总表（按部门预算经济分类）</w:t>
      </w:r>
    </w:p>
    <w:p>
      <w:pPr>
        <w:spacing w:after="2"/>
        <w:ind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9</w:t>
      </w:r>
      <w:r>
        <w:rPr>
          <w:rFonts w:ascii="仿宋_GB2312" w:eastAsia="仿宋_GB2312" w:cs="仿宋_GB2312"/>
          <w:color w:val="000000"/>
          <w:sz w:val="32"/>
          <w:szCs w:val="32"/>
        </w:rPr>
        <w:t>、</w:t>
      </w:r>
      <w:r>
        <w:rPr>
          <w:rFonts w:hint="eastAsia" w:ascii="仿宋_GB2312" w:eastAsia="仿宋_GB2312" w:cs="仿宋_GB2312"/>
          <w:color w:val="000000"/>
          <w:sz w:val="32"/>
          <w:szCs w:val="32"/>
        </w:rPr>
        <w:t>国有资本经营预算支出表</w:t>
      </w:r>
    </w:p>
    <w:p>
      <w:pPr>
        <w:spacing w:after="2"/>
        <w:ind w:firstLine="64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20</w:t>
      </w:r>
      <w:r>
        <w:rPr>
          <w:rFonts w:ascii="仿宋_GB2312" w:eastAsia="仿宋_GB2312" w:cs="仿宋_GB2312"/>
          <w:color w:val="000000"/>
          <w:sz w:val="32"/>
          <w:szCs w:val="32"/>
        </w:rPr>
        <w:t>、</w:t>
      </w:r>
      <w:r>
        <w:rPr>
          <w:rFonts w:hint="eastAsia" w:ascii="仿宋_GB2312" w:eastAsia="仿宋_GB2312" w:cs="仿宋_GB2312"/>
          <w:color w:val="000000"/>
          <w:sz w:val="32"/>
          <w:szCs w:val="32"/>
        </w:rPr>
        <w:t>财政专户管理资金预算支出表</w:t>
      </w:r>
    </w:p>
    <w:p>
      <w:pPr>
        <w:keepNext w:val="0"/>
        <w:keepLines w:val="0"/>
        <w:widowControl/>
        <w:suppressLineNumbers w:val="0"/>
        <w:spacing w:before="0" w:beforeAutospacing="0" w:after="2" w:afterAutospacing="0"/>
        <w:ind w:left="0" w:right="0" w:firstLine="640"/>
        <w:jc w:val="both"/>
        <w:rPr>
          <w:rFonts w:hint="eastAsia" w:ascii="仿宋_GB2312" w:hAnsi="宋体" w:eastAsia="仿宋_GB2312" w:cs="仿宋_GB2312"/>
          <w:color w:val="000000"/>
          <w:kern w:val="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w:t>
      </w:r>
      <w:r>
        <w:rPr>
          <w:rFonts w:hint="eastAsia" w:ascii="仿宋_GB2312" w:eastAsia="仿宋_GB2312" w:cs="仿宋_GB2312"/>
          <w:color w:val="000000"/>
          <w:sz w:val="32"/>
          <w:szCs w:val="32"/>
        </w:rPr>
        <w:t>专项资金预算汇总表</w:t>
      </w:r>
      <w:r>
        <w:rPr>
          <w:rFonts w:ascii="仿宋_GB2312" w:eastAsia="仿宋_GB2312" w:cs="仿宋_GB2312"/>
          <w:color w:val="000000"/>
          <w:sz w:val="32"/>
          <w:szCs w:val="32"/>
        </w:rPr>
        <w:t xml:space="preserve"> </w:t>
      </w:r>
      <w:r>
        <w:rPr>
          <w:rFonts w:hint="eastAsia" w:ascii="宋体" w:hAnsi="宋体" w:eastAsia="宋体" w:cs="宋体"/>
          <w:color w:val="000000"/>
          <w:kern w:val="0"/>
          <w:sz w:val="32"/>
          <w:szCs w:val="32"/>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widowControl/>
        <w:suppressLineNumbers w:val="0"/>
        <w:spacing w:before="0" w:beforeAutospacing="0" w:after="2" w:afterAutospacing="0"/>
        <w:ind w:left="0" w:right="0"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widowControl/>
        <w:suppressLineNumbers w:val="0"/>
        <w:spacing w:before="0" w:beforeAutospacing="0" w:after="2" w:afterAutospacing="0"/>
        <w:ind w:left="0" w:right="0"/>
        <w:jc w:val="both"/>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jc w:val="both"/>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jc w:val="both"/>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jc w:val="center"/>
        <w:rPr>
          <w:rFonts w:hint="eastAsia" w:ascii="黑体" w:hAnsi="黑体" w:eastAsia="黑体" w:cs="黑体"/>
          <w:b w:val="0"/>
          <w:bCs w:val="0"/>
          <w:kern w:val="0"/>
          <w:sz w:val="52"/>
          <w:szCs w:val="52"/>
        </w:rPr>
      </w:pPr>
      <w:r>
        <w:rPr>
          <w:rFonts w:hint="eastAsia" w:ascii="黑体" w:hAnsi="黑体" w:eastAsia="黑体" w:cs="黑体"/>
          <w:b w:val="0"/>
          <w:bCs w:val="0"/>
          <w:color w:val="000000"/>
          <w:kern w:val="0"/>
          <w:sz w:val="52"/>
          <w:szCs w:val="52"/>
        </w:rPr>
        <w:t xml:space="preserve">第一部分 部门预算说明 </w:t>
      </w: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numPr>
          <w:ilvl w:val="0"/>
          <w:numId w:val="1"/>
        </w:numPr>
        <w:suppressLineNumbers w:val="0"/>
        <w:spacing w:before="0" w:beforeAutospacing="0" w:after="2" w:afterAutospacing="0"/>
        <w:ind w:left="0" w:right="0" w:firstLine="627"/>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kern w:val="0"/>
          <w:sz w:val="44"/>
          <w:szCs w:val="44"/>
        </w:rPr>
        <w:t>部门基本概况</w:t>
      </w:r>
    </w:p>
    <w:p>
      <w:pPr>
        <w:pStyle w:val="2"/>
        <w:numPr>
          <w:ilvl w:val="0"/>
          <w:numId w:val="0"/>
        </w:numPr>
        <w:rPr>
          <w:rFonts w:hint="eastAsia"/>
        </w:rPr>
      </w:pPr>
    </w:p>
    <w:p>
      <w:pPr>
        <w:keepNext w:val="0"/>
        <w:keepLines w:val="0"/>
        <w:widowControl/>
        <w:suppressLineNumbers w:val="0"/>
        <w:spacing w:before="0" w:beforeAutospacing="0" w:after="2" w:afterAutospacing="0"/>
        <w:ind w:left="0" w:right="0" w:firstLine="627"/>
        <w:rPr>
          <w:rFonts w:hint="eastAsia" w:ascii="仿宋_GB2312" w:hAnsi="仿宋_GB2312" w:eastAsia="仿宋_GB2312" w:cs="仿宋_GB2312"/>
          <w:b w:val="0"/>
          <w:bCs w:val="0"/>
          <w:kern w:val="0"/>
          <w:sz w:val="21"/>
          <w:szCs w:val="21"/>
        </w:rPr>
      </w:pPr>
      <w:r>
        <w:rPr>
          <w:rFonts w:hint="eastAsia" w:ascii="黑体" w:hAnsi="黑体" w:eastAsia="黑体" w:cs="黑体"/>
          <w:b w:val="0"/>
          <w:bCs w:val="0"/>
          <w:color w:val="000000"/>
          <w:kern w:val="0"/>
          <w:sz w:val="36"/>
          <w:szCs w:val="36"/>
        </w:rPr>
        <w:t>（一）职能职责</w:t>
      </w:r>
      <w:r>
        <w:rPr>
          <w:rFonts w:hint="eastAsia" w:ascii="仿宋_GB2312" w:hAnsi="仿宋_GB2312" w:eastAsia="仿宋_GB2312" w:cs="仿宋_GB2312"/>
          <w:b w:val="0"/>
          <w:bCs w:val="0"/>
          <w:color w:val="000000"/>
          <w:kern w:val="0"/>
          <w:sz w:val="21"/>
          <w:szCs w:val="21"/>
        </w:rPr>
        <w:t xml:space="preserve"> </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县行政审批局贯彻执行中央关于行政审批服务方针政策和决策部署，在履行职责过程中坚持和加强党对行政审批服务工作的集中统一领导。主要职责是：</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推进、指导、协调、监督全县政务公开(政府信息公开、办事公开)和政务服务体系建设。承担县政务公开政务服务领导 小组办公室的日常工作；拟订全县政务公开、政务服务工作发展 规划和年度计划，建立和完善相应工作机制。</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指导、协调、推进全县行政审批制度改革工作。承担县行政审批制度改革领导小组办公室的日常工作；拟订行政审批服务有关规章制度及管理办法并组织监督实施；牵头负责县“放管服”改革工作。</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统筹协调、规划指导、监督评估全县电子政务等工作；统筹推进、协调监督全县“互联网+政务服务”工作。统筹规划、监督考核全县电子政务网络和政府系统网站。</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统筹协调、规划指导、监督评估全县政务信息化、大数据建设管理和应用等工作；组织协调推进政务数据资源共享和开放工作，统筹政务数据资源的采集、分类、管理、分析和应用工作。</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承担县优化营商环境联席会议办公室的日常工作。负责全县优化营商环境工作的组织实施和监督、检查、考核；维护营商政务、法制、信用等环境；协调推进全县行政效能工作。</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承担县社会诚信体系建设领导小组办公室的日常工作。组织协调、监督推进全县有关中央、省社会信用体系建设的法律 法规、决策部署的贯彻落实。拟订并组织实施全县社会信用体系 建设的总体规划和政策措施；统筹推进统一的信用信息平台建设，促进信用信息资源的整合与运用，协调社会信用体系建设的重大问题；拟订守信联合激励和失信联合惩戒制度，牵头组织对重点领域和严重失信行为实施联合惩戒。</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承担县政务联动处置领导小组办公室的日常工作。负责 拟订全县政务联动处置和城乡网格化建设管理工作规则；统筹规划、指挥协调、管理督导全县12345公共服务热线、政务联动处 置和城乡网格化建设管理。</w:t>
      </w:r>
    </w:p>
    <w:p>
      <w:pPr>
        <w:keepNext w:val="0"/>
        <w:keepLines w:val="0"/>
        <w:widowControl/>
        <w:suppressLineNumbers w:val="0"/>
        <w:spacing w:before="0" w:beforeAutospacing="0" w:after="2" w:afterAutospacing="0"/>
        <w:ind w:left="0" w:right="0" w:firstLine="628"/>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 xml:space="preserve">承办县委、县政府交办的其他事项，承办县人大建议、县政协提案等事宜。 </w:t>
      </w:r>
    </w:p>
    <w:p>
      <w:pPr>
        <w:pStyle w:val="2"/>
        <w:rPr>
          <w:rFonts w:hint="eastAsia"/>
        </w:rPr>
      </w:pPr>
    </w:p>
    <w:p>
      <w:pPr>
        <w:keepNext w:val="0"/>
        <w:keepLines w:val="0"/>
        <w:widowControl/>
        <w:suppressLineNumbers w:val="0"/>
        <w:spacing w:before="0" w:beforeAutospacing="0" w:after="2" w:afterAutospacing="0"/>
        <w:ind w:left="0" w:right="0" w:firstLine="628"/>
        <w:rPr>
          <w:rFonts w:hint="eastAsia"/>
        </w:rPr>
      </w:pPr>
      <w:r>
        <w:rPr>
          <w:rFonts w:hint="eastAsia" w:ascii="黑体" w:hAnsi="黑体" w:eastAsia="黑体" w:cs="黑体"/>
          <w:b w:val="0"/>
          <w:bCs w:val="0"/>
          <w:color w:val="000000"/>
          <w:kern w:val="0"/>
          <w:sz w:val="36"/>
          <w:szCs w:val="36"/>
        </w:rPr>
        <w:t xml:space="preserve">（二）机构设置 </w:t>
      </w:r>
    </w:p>
    <w:p>
      <w:pPr>
        <w:keepNext w:val="0"/>
        <w:keepLines w:val="0"/>
        <w:widowControl/>
        <w:suppressLineNumbers w:val="0"/>
        <w:spacing w:before="0" w:beforeAutospacing="0" w:after="2" w:afterAutospacing="0"/>
        <w:ind w:left="0" w:right="0" w:firstLine="627"/>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eastAsia="zh-CN" w:bidi="ar"/>
        </w:rPr>
        <w:t>根据编委核定，我局内设</w:t>
      </w:r>
      <w:r>
        <w:rPr>
          <w:rFonts w:hint="eastAsia" w:ascii="仿宋_GB2312" w:eastAsia="仿宋_GB2312" w:cs="仿宋_GB2312"/>
          <w:color w:val="000000"/>
          <w:kern w:val="0"/>
          <w:sz w:val="32"/>
          <w:szCs w:val="32"/>
          <w:lang w:eastAsia="zh-CN" w:bidi="ar"/>
        </w:rPr>
        <w:t>股</w:t>
      </w:r>
      <w:r>
        <w:rPr>
          <w:rFonts w:hint="eastAsia" w:ascii="仿宋_GB2312" w:hAnsi="宋体" w:eastAsia="仿宋_GB2312" w:cs="仿宋_GB2312"/>
          <w:color w:val="000000"/>
          <w:kern w:val="0"/>
          <w:sz w:val="32"/>
          <w:szCs w:val="32"/>
          <w:lang w:eastAsia="zh-CN" w:bidi="ar"/>
        </w:rPr>
        <w:t>室</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eastAsia="zh-CN" w:bidi="ar"/>
        </w:rPr>
        <w:t>个，下属管理机构</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eastAsia="zh-CN" w:bidi="ar"/>
        </w:rPr>
        <w:t>个，全部纳入</w:t>
      </w:r>
      <w:r>
        <w:rPr>
          <w:rFonts w:hint="eastAsia" w:ascii="仿宋_GB2312" w:hAnsi="宋体" w:eastAsia="仿宋_GB2312" w:cs="仿宋_GB2312"/>
          <w:color w:val="000000"/>
          <w:kern w:val="0"/>
          <w:sz w:val="32"/>
          <w:szCs w:val="32"/>
          <w:lang w:val="en-US" w:eastAsia="zh-CN" w:bidi="ar"/>
        </w:rPr>
        <w:t>2022年部门预算编制范围。</w:t>
      </w:r>
    </w:p>
    <w:p>
      <w:pPr>
        <w:keepNext w:val="0"/>
        <w:keepLines w:val="0"/>
        <w:widowControl/>
        <w:suppressLineNumbers w:val="0"/>
        <w:spacing w:before="0" w:beforeAutospacing="0" w:after="2" w:afterAutospacing="0"/>
        <w:ind w:left="0" w:right="0" w:firstLine="627"/>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内设</w:t>
      </w:r>
      <w:r>
        <w:rPr>
          <w:rFonts w:hint="eastAsia" w:ascii="仿宋_GB2312" w:hAnsi="仿宋_GB2312" w:eastAsia="仿宋_GB2312" w:cs="仿宋_GB2312"/>
          <w:color w:val="000000"/>
          <w:kern w:val="0"/>
          <w:sz w:val="32"/>
          <w:szCs w:val="32"/>
          <w:lang w:eastAsia="zh-CN"/>
        </w:rPr>
        <w:t>股室分别是</w:t>
      </w:r>
      <w:r>
        <w:rPr>
          <w:rFonts w:hint="eastAsia" w:ascii="仿宋_GB2312" w:hAnsi="仿宋_GB2312" w:eastAsia="仿宋_GB2312" w:cs="仿宋_GB2312"/>
          <w:color w:val="000000"/>
          <w:kern w:val="0"/>
          <w:sz w:val="32"/>
          <w:szCs w:val="32"/>
        </w:rPr>
        <w:t>综合办公室、政工财务股、政务联动处置股、政务公开和服务管理股、行政审批制度改革股、大数据建设管理股（电子政务室）、社会信用体系建设管理股、优化营商环境工作办公室</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right="0"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下属</w:t>
      </w:r>
      <w:r>
        <w:rPr>
          <w:rFonts w:hint="eastAsia" w:ascii="仿宋_GB2312" w:hAnsi="宋体" w:eastAsia="仿宋_GB2312" w:cs="仿宋_GB2312"/>
          <w:color w:val="000000"/>
          <w:kern w:val="0"/>
          <w:sz w:val="32"/>
          <w:szCs w:val="32"/>
          <w:lang w:bidi="ar"/>
        </w:rPr>
        <w:t>管理的机构</w:t>
      </w:r>
      <w:r>
        <w:rPr>
          <w:rFonts w:hint="eastAsia" w:ascii="仿宋_GB2312" w:hAnsi="宋体" w:eastAsia="仿宋_GB2312" w:cs="仿宋_GB2312"/>
          <w:color w:val="000000"/>
          <w:kern w:val="0"/>
          <w:sz w:val="32"/>
          <w:szCs w:val="32"/>
          <w:lang w:eastAsia="zh-CN" w:bidi="ar"/>
        </w:rPr>
        <w:t>为政务服务中心。</w:t>
      </w:r>
    </w:p>
    <w:p>
      <w:pPr>
        <w:keepNext w:val="0"/>
        <w:keepLines w:val="0"/>
        <w:widowControl/>
        <w:suppressLineNumbers w:val="0"/>
        <w:spacing w:before="0" w:beforeAutospacing="0" w:after="2" w:afterAutospacing="0"/>
        <w:ind w:left="0" w:right="0" w:firstLine="62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本部门有</w:t>
      </w:r>
      <w:r>
        <w:rPr>
          <w:rFonts w:hint="eastAsia" w:ascii="仿宋_GB2312" w:hAnsi="仿宋_GB2312" w:eastAsia="仿宋_GB2312" w:cs="仿宋_GB2312"/>
          <w:color w:val="000000"/>
          <w:kern w:val="0"/>
          <w:sz w:val="32"/>
          <w:szCs w:val="32"/>
        </w:rPr>
        <w:t>编制人数3</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名，其中行政编</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人，参照公务员法管理人员</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名，事业编制</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名，工勤</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名；实际在编人员3</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名，其中行政编</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人，参照公务员法管理人员</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人，事业编制</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人，工勤</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人。</w:t>
      </w:r>
    </w:p>
    <w:p>
      <w:pPr>
        <w:pStyle w:val="2"/>
        <w:rPr>
          <w:rFonts w:hint="eastAsia"/>
        </w:rPr>
      </w:pPr>
    </w:p>
    <w:p>
      <w:pPr>
        <w:keepNext w:val="0"/>
        <w:keepLines w:val="0"/>
        <w:widowControl/>
        <w:suppressLineNumbers w:val="0"/>
        <w:spacing w:before="0" w:beforeAutospacing="0" w:after="2" w:afterAutospacing="0"/>
        <w:ind w:left="0" w:right="0" w:firstLine="627"/>
        <w:rPr>
          <w:rFonts w:hint="eastAsia" w:ascii="黑体" w:hAnsi="黑体" w:eastAsia="黑体" w:cs="黑体"/>
          <w:kern w:val="0"/>
          <w:sz w:val="44"/>
          <w:szCs w:val="44"/>
        </w:rPr>
      </w:pPr>
      <w:r>
        <w:rPr>
          <w:rFonts w:hint="eastAsia" w:ascii="黑体" w:hAnsi="黑体" w:eastAsia="黑体" w:cs="黑体"/>
          <w:color w:val="000000"/>
          <w:kern w:val="0"/>
          <w:sz w:val="44"/>
          <w:szCs w:val="44"/>
        </w:rPr>
        <w:t xml:space="preserve">二、部门预算单位构成 </w:t>
      </w:r>
    </w:p>
    <w:p>
      <w:pPr>
        <w:keepNext w:val="0"/>
        <w:keepLines w:val="0"/>
        <w:widowControl/>
        <w:suppressLineNumbers w:val="0"/>
        <w:spacing w:before="0" w:beforeAutospacing="0" w:after="2" w:afterAutospacing="0"/>
        <w:ind w:left="0" w:right="0" w:firstLine="627"/>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2"/>
          <w:szCs w:val="32"/>
        </w:rPr>
        <w:t>部门预算编制范围是行政审批服务局本级。</w:t>
      </w:r>
      <w:r>
        <w:rPr>
          <w:rFonts w:hint="eastAsia" w:ascii="仿宋_GB2312" w:hAnsi="仿宋_GB2312" w:eastAsia="仿宋_GB2312" w:cs="仿宋_GB2312"/>
          <w:color w:val="000000"/>
          <w:kern w:val="0"/>
          <w:sz w:val="21"/>
          <w:szCs w:val="21"/>
        </w:rPr>
        <w:t xml:space="preserve"> </w:t>
      </w:r>
    </w:p>
    <w:p>
      <w:pPr>
        <w:pStyle w:val="2"/>
        <w:rPr>
          <w:rFonts w:hint="eastAsia"/>
        </w:rPr>
      </w:pPr>
    </w:p>
    <w:p>
      <w:pPr>
        <w:keepNext w:val="0"/>
        <w:keepLines w:val="0"/>
        <w:widowControl/>
        <w:numPr>
          <w:ilvl w:val="0"/>
          <w:numId w:val="0"/>
        </w:numPr>
        <w:suppressLineNumbers w:val="0"/>
        <w:spacing w:before="0" w:beforeAutospacing="0" w:after="2" w:afterAutospacing="0"/>
        <w:ind w:left="627" w:leftChars="0" w:right="0" w:rightChars="0"/>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lang w:eastAsia="zh-CN"/>
        </w:rPr>
        <w:t>三、</w:t>
      </w:r>
      <w:r>
        <w:rPr>
          <w:rFonts w:hint="eastAsia" w:ascii="黑体" w:hAnsi="黑体" w:eastAsia="黑体" w:cs="黑体"/>
          <w:color w:val="000000"/>
          <w:kern w:val="0"/>
          <w:sz w:val="44"/>
          <w:szCs w:val="44"/>
        </w:rPr>
        <w:t xml:space="preserve">部门收支总体情况 </w:t>
      </w:r>
    </w:p>
    <w:p>
      <w:pPr>
        <w:pStyle w:val="2"/>
        <w:numPr>
          <w:ilvl w:val="0"/>
          <w:numId w:val="0"/>
        </w:numPr>
        <w:ind w:left="627" w:leftChars="0"/>
        <w:rPr>
          <w:rFonts w:hint="eastAsia"/>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2" w:afterAutospacing="0" w:line="600" w:lineRule="exact"/>
        <w:ind w:left="0" w:right="0" w:firstLine="628"/>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黑体"/>
          <w:b w:val="0"/>
          <w:bCs w:val="0"/>
          <w:color w:val="000000"/>
          <w:kern w:val="0"/>
          <w:sz w:val="36"/>
          <w:szCs w:val="36"/>
        </w:rPr>
        <w:t>收入预算：</w:t>
      </w:r>
      <w:r>
        <w:rPr>
          <w:rFonts w:hint="eastAsia" w:ascii="仿宋_GB2312" w:hAnsi="仿宋_GB2312" w:eastAsia="仿宋_GB2312" w:cs="仿宋_GB2312"/>
          <w:color w:val="000000"/>
          <w:kern w:val="0"/>
          <w:sz w:val="32"/>
          <w:szCs w:val="32"/>
        </w:rPr>
        <w:t>2022年</w:t>
      </w:r>
      <w:r>
        <w:rPr>
          <w:rFonts w:hint="eastAsia" w:ascii="仿宋_GB2312" w:hAnsi="仿宋_GB2312" w:eastAsia="仿宋_GB2312" w:cs="仿宋_GB2312"/>
          <w:color w:val="000000"/>
          <w:kern w:val="0"/>
          <w:sz w:val="32"/>
          <w:szCs w:val="32"/>
          <w:lang w:eastAsia="zh-CN"/>
        </w:rPr>
        <w:t>本部门</w:t>
      </w:r>
      <w:r>
        <w:rPr>
          <w:rFonts w:hint="eastAsia" w:ascii="仿宋_GB2312" w:hAnsi="仿宋_GB2312" w:eastAsia="仿宋_GB2312" w:cs="仿宋_GB2312"/>
          <w:color w:val="000000"/>
          <w:kern w:val="0"/>
          <w:sz w:val="32"/>
          <w:szCs w:val="32"/>
        </w:rPr>
        <w:t>收入预算为</w:t>
      </w:r>
      <w:r>
        <w:rPr>
          <w:rFonts w:hint="eastAsia" w:ascii="仿宋_GB2312" w:hAnsi="仿宋_GB2312" w:eastAsia="仿宋_GB2312" w:cs="仿宋_GB2312"/>
          <w:color w:val="000000"/>
          <w:kern w:val="0"/>
          <w:sz w:val="32"/>
          <w:szCs w:val="32"/>
          <w:lang w:val="en-US" w:eastAsia="zh-CN"/>
        </w:rPr>
        <w:t>1330.56</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其中</w:t>
      </w:r>
      <w:r>
        <w:rPr>
          <w:rFonts w:hint="eastAsia" w:ascii="仿宋_GB2312" w:hAnsi="仿宋_GB2312" w:eastAsia="仿宋_GB2312" w:cs="仿宋_GB2312"/>
          <w:color w:val="000000"/>
          <w:kern w:val="0"/>
          <w:sz w:val="32"/>
          <w:szCs w:val="32"/>
          <w:lang w:eastAsia="zh-CN"/>
        </w:rPr>
        <w:t>，一般公共预算为</w:t>
      </w:r>
      <w:r>
        <w:rPr>
          <w:rFonts w:hint="eastAsia" w:ascii="仿宋_GB2312" w:hAnsi="仿宋_GB2312" w:eastAsia="仿宋_GB2312" w:cs="仿宋_GB2312"/>
          <w:color w:val="000000"/>
          <w:kern w:val="0"/>
          <w:sz w:val="32"/>
          <w:szCs w:val="32"/>
          <w:lang w:val="en-US" w:eastAsia="zh-CN"/>
        </w:rPr>
        <w:t>1330.56万元。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 w:afterAutospacing="0" w:line="600" w:lineRule="exact"/>
        <w:ind w:left="628" w:leftChars="0" w:right="0" w:rightChars="0"/>
        <w:jc w:val="both"/>
        <w:textAlignment w:val="auto"/>
        <w:rPr>
          <w:rFonts w:hint="default"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收入较去年增加232.4万元，</w:t>
      </w:r>
      <w:r>
        <w:rPr>
          <w:rFonts w:hint="eastAsia" w:ascii="仿宋_GB2312" w:hAnsi="仿宋_GB2312" w:eastAsia="仿宋_GB2312" w:cs="仿宋_GB2312"/>
          <w:b/>
          <w:bCs/>
          <w:color w:val="000000"/>
          <w:kern w:val="0"/>
          <w:sz w:val="32"/>
          <w:szCs w:val="32"/>
          <w:highlight w:val="none"/>
          <w:lang w:val="en-US" w:eastAsia="zh-CN"/>
        </w:rPr>
        <w:t>主要是</w:t>
      </w:r>
      <w:r>
        <w:rPr>
          <w:rFonts w:hint="eastAsia" w:ascii="仿宋_GB2312" w:hAnsi="仿宋_GB2312" w:eastAsia="仿宋_GB2312" w:cs="仿宋_GB2312"/>
          <w:b w:val="0"/>
          <w:bCs w:val="0"/>
          <w:color w:val="000000"/>
          <w:kern w:val="0"/>
          <w:sz w:val="32"/>
          <w:szCs w:val="32"/>
          <w:highlight w:val="none"/>
          <w:lang w:val="en-US" w:eastAsia="zh-CN"/>
        </w:rPr>
        <w:t>2022年将人员工资纳入预算。</w:t>
      </w:r>
    </w:p>
    <w:p>
      <w:pPr>
        <w:pStyle w:val="2"/>
        <w:numPr>
          <w:ilvl w:val="0"/>
          <w:numId w:val="0"/>
        </w:numPr>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29" w:firstLineChars="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000000"/>
          <w:kern w:val="0"/>
          <w:sz w:val="36"/>
          <w:szCs w:val="36"/>
        </w:rPr>
        <w:t>支出预算：</w:t>
      </w:r>
      <w:r>
        <w:rPr>
          <w:rFonts w:hint="eastAsia" w:ascii="仿宋_GB2312" w:hAnsi="仿宋_GB2312" w:eastAsia="仿宋_GB2312" w:cs="仿宋_GB2312"/>
          <w:color w:val="000000"/>
          <w:kern w:val="0"/>
          <w:sz w:val="32"/>
          <w:szCs w:val="32"/>
        </w:rPr>
        <w:t>2022年</w:t>
      </w:r>
      <w:r>
        <w:rPr>
          <w:rFonts w:hint="eastAsia" w:ascii="仿宋_GB2312" w:hAnsi="仿宋_GB2312" w:eastAsia="仿宋_GB2312" w:cs="仿宋_GB2312"/>
          <w:color w:val="000000"/>
          <w:kern w:val="0"/>
          <w:sz w:val="32"/>
          <w:szCs w:val="32"/>
          <w:lang w:eastAsia="zh-CN"/>
        </w:rPr>
        <w:t>本部门支出预算</w:t>
      </w:r>
      <w:r>
        <w:rPr>
          <w:rFonts w:hint="eastAsia" w:ascii="仿宋_GB2312" w:hAnsi="仿宋_GB2312" w:eastAsia="仿宋_GB2312" w:cs="仿宋_GB2312"/>
          <w:color w:val="000000"/>
          <w:kern w:val="0"/>
          <w:sz w:val="32"/>
          <w:szCs w:val="32"/>
          <w:lang w:val="en-US" w:eastAsia="zh-CN"/>
        </w:rPr>
        <w:t>1330.56万元，其中</w:t>
      </w:r>
      <w:r>
        <w:rPr>
          <w:rFonts w:hint="eastAsia" w:ascii="仿宋_GB2312" w:hAnsi="仿宋_GB2312" w:eastAsia="仿宋_GB2312" w:cs="仿宋_GB2312"/>
          <w:b w:val="0"/>
          <w:bCs w:val="0"/>
          <w:sz w:val="32"/>
          <w:szCs w:val="32"/>
          <w:lang w:val="en-US" w:eastAsia="zh-CN"/>
        </w:rPr>
        <w:t>一般公共服务支出1258.07万元，社会保障和就业支出31.61万元，卫生和健康支出17.19万元，住房保障支出17.19万元。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 w:afterAutospacing="0" w:line="600" w:lineRule="exact"/>
        <w:ind w:left="628" w:leftChars="0" w:right="0" w:rightChars="0"/>
        <w:jc w:val="both"/>
        <w:textAlignment w:val="auto"/>
        <w:rPr>
          <w:rFonts w:hint="default"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支出较去年增加232.4万元，</w:t>
      </w:r>
      <w:r>
        <w:rPr>
          <w:rFonts w:hint="eastAsia" w:ascii="仿宋_GB2312" w:hAnsi="仿宋_GB2312" w:eastAsia="仿宋_GB2312" w:cs="仿宋_GB2312"/>
          <w:b/>
          <w:bCs/>
          <w:color w:val="000000"/>
          <w:kern w:val="0"/>
          <w:sz w:val="32"/>
          <w:szCs w:val="32"/>
          <w:lang w:val="en-US" w:eastAsia="zh-CN"/>
        </w:rPr>
        <w:t>主要是</w:t>
      </w:r>
      <w:r>
        <w:rPr>
          <w:rFonts w:hint="eastAsia" w:ascii="仿宋_GB2312" w:hAnsi="仿宋_GB2312" w:eastAsia="仿宋_GB2312" w:cs="仿宋_GB2312"/>
          <w:b w:val="0"/>
          <w:bCs w:val="0"/>
          <w:color w:val="000000"/>
          <w:kern w:val="0"/>
          <w:sz w:val="32"/>
          <w:szCs w:val="32"/>
          <w:highlight w:val="none"/>
          <w:lang w:val="en-US" w:eastAsia="zh-CN"/>
        </w:rPr>
        <w:t>2022年将人员工资纳入预算。</w:t>
      </w:r>
    </w:p>
    <w:p>
      <w:pPr>
        <w:keepNext w:val="0"/>
        <w:keepLines w:val="0"/>
        <w:widowControl/>
        <w:suppressLineNumbers w:val="0"/>
        <w:spacing w:before="0" w:beforeAutospacing="0" w:after="2" w:afterAutospacing="0"/>
        <w:ind w:right="0"/>
        <w:rPr>
          <w:rFonts w:hint="eastAsia" w:ascii="仿宋_GB2312" w:hAnsi="仿宋_GB2312" w:eastAsia="仿宋_GB2312" w:cs="仿宋_GB2312"/>
          <w:color w:val="000000"/>
          <w:kern w:val="0"/>
          <w:sz w:val="21"/>
          <w:szCs w:val="21"/>
        </w:rPr>
      </w:pPr>
    </w:p>
    <w:p>
      <w:pPr>
        <w:pStyle w:val="2"/>
        <w:rPr>
          <w:rFonts w:hint="eastAsia"/>
        </w:rPr>
      </w:pPr>
    </w:p>
    <w:p>
      <w:pPr>
        <w:keepNext w:val="0"/>
        <w:keepLines w:val="0"/>
        <w:widowControl/>
        <w:numPr>
          <w:ilvl w:val="0"/>
          <w:numId w:val="0"/>
        </w:numPr>
        <w:suppressLineNumbers w:val="0"/>
        <w:spacing w:before="0" w:beforeAutospacing="0" w:after="2" w:afterAutospacing="0"/>
        <w:ind w:left="627" w:leftChars="0" w:right="0" w:rightChars="0"/>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lang w:eastAsia="zh-CN"/>
        </w:rPr>
        <w:t>四、</w:t>
      </w:r>
      <w:r>
        <w:rPr>
          <w:rFonts w:hint="eastAsia" w:ascii="黑体" w:hAnsi="黑体" w:eastAsia="黑体" w:cs="黑体"/>
          <w:color w:val="000000"/>
          <w:kern w:val="0"/>
          <w:sz w:val="44"/>
          <w:szCs w:val="44"/>
        </w:rPr>
        <w:t xml:space="preserve">一般公共预算拨款支出 </w:t>
      </w:r>
    </w:p>
    <w:p>
      <w:pPr>
        <w:pStyle w:val="2"/>
        <w:numPr>
          <w:ilvl w:val="0"/>
          <w:numId w:val="0"/>
        </w:numPr>
        <w:ind w:left="627" w:leftChars="0"/>
        <w:rPr>
          <w:rFonts w:hint="eastAsia"/>
        </w:rPr>
      </w:pP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2"/>
          <w:szCs w:val="32"/>
        </w:rPr>
        <w:t>2022年本部门一般公共预算拨款支出预算</w:t>
      </w:r>
      <w:r>
        <w:rPr>
          <w:rFonts w:hint="eastAsia" w:ascii="仿宋_GB2312" w:hAnsi="仿宋_GB2312" w:eastAsia="仿宋_GB2312" w:cs="仿宋_GB2312"/>
          <w:color w:val="000000"/>
          <w:kern w:val="0"/>
          <w:sz w:val="32"/>
          <w:szCs w:val="32"/>
          <w:lang w:val="en-US" w:eastAsia="zh-CN"/>
        </w:rPr>
        <w:t>1051.18</w:t>
      </w:r>
      <w:r>
        <w:rPr>
          <w:rFonts w:hint="eastAsia" w:ascii="仿宋_GB2312" w:hAnsi="仿宋_GB2312" w:eastAsia="仿宋_GB2312" w:cs="仿宋_GB2312"/>
          <w:color w:val="000000"/>
          <w:kern w:val="0"/>
          <w:sz w:val="32"/>
          <w:szCs w:val="32"/>
        </w:rPr>
        <w:t>万元，具体安排情况如下：</w:t>
      </w:r>
      <w:r>
        <w:rPr>
          <w:rFonts w:hint="eastAsia" w:ascii="仿宋_GB2312" w:hAnsi="仿宋_GB2312" w:eastAsia="仿宋_GB2312" w:cs="仿宋_GB2312"/>
          <w:color w:val="000000"/>
          <w:kern w:val="0"/>
          <w:sz w:val="21"/>
          <w:szCs w:val="21"/>
        </w:rPr>
        <w:t xml:space="preserve"> </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val="0"/>
          <w:color w:val="000000"/>
          <w:kern w:val="0"/>
          <w:sz w:val="36"/>
          <w:szCs w:val="36"/>
          <w:lang w:eastAsia="zh-CN"/>
        </w:rPr>
        <w:t>（一）</w:t>
      </w:r>
      <w:r>
        <w:rPr>
          <w:rFonts w:hint="eastAsia" w:ascii="黑体" w:hAnsi="黑体" w:eastAsia="黑体" w:cs="黑体"/>
          <w:b w:val="0"/>
          <w:bCs w:val="0"/>
          <w:color w:val="000000"/>
          <w:kern w:val="0"/>
          <w:sz w:val="36"/>
          <w:szCs w:val="36"/>
        </w:rPr>
        <w:t>基本支出：</w:t>
      </w:r>
      <w:r>
        <w:rPr>
          <w:rFonts w:hint="eastAsia" w:ascii="仿宋_GB2312" w:hAnsi="仿宋_GB2312" w:eastAsia="仿宋_GB2312" w:cs="仿宋_GB2312"/>
          <w:color w:val="000000"/>
          <w:kern w:val="0"/>
          <w:sz w:val="32"/>
          <w:szCs w:val="32"/>
          <w:lang w:val="en-US" w:eastAsia="zh-CN"/>
        </w:rPr>
        <w:t>2022年本部门基本支出预算数331.88万元，主要是为保障部门正常运转、完成日常工作任务而发生的各项支出，包括用于工资性福利支出等人员经费以及办公费、印刷费等公用经费，其中工资福利支出279.38万元，</w:t>
      </w:r>
      <w:r>
        <w:rPr>
          <w:rFonts w:hint="eastAsia" w:ascii="仿宋_GB2312" w:hAnsi="仿宋_GB2312" w:eastAsia="仿宋_GB2312" w:cs="仿宋_GB2312"/>
          <w:sz w:val="32"/>
          <w:szCs w:val="32"/>
          <w:lang w:eastAsia="zh-CN"/>
        </w:rPr>
        <w:t>包括基本工资</w:t>
      </w:r>
      <w:r>
        <w:rPr>
          <w:rFonts w:hint="eastAsia" w:ascii="仿宋_GB2312" w:hAnsi="仿宋_GB2312" w:eastAsia="仿宋_GB2312" w:cs="仿宋_GB2312"/>
          <w:sz w:val="32"/>
          <w:szCs w:val="32"/>
          <w:lang w:val="en-US" w:eastAsia="zh-CN"/>
        </w:rPr>
        <w:t>114.82万元、津贴补贴73.69万元、奖金3.9万元、绩效工资14.20万元、机关事业单位养老保险31.61万元、职工基本医疗保险17.19万元、住房公积金23.71万元。</w:t>
      </w:r>
      <w:r>
        <w:rPr>
          <w:rFonts w:hint="eastAsia" w:ascii="仿宋_GB2312" w:hAnsi="仿宋_GB2312" w:eastAsia="仿宋_GB2312" w:cs="仿宋_GB2312"/>
          <w:color w:val="000000"/>
          <w:kern w:val="0"/>
          <w:sz w:val="32"/>
          <w:szCs w:val="32"/>
          <w:lang w:val="en-US" w:eastAsia="zh-CN"/>
        </w:rPr>
        <w:t>商品和服务支出：</w:t>
      </w:r>
      <w:r>
        <w:rPr>
          <w:rFonts w:hint="eastAsia" w:ascii="仿宋_GB2312" w:hAnsi="仿宋_GB2312" w:eastAsia="仿宋_GB2312" w:cs="仿宋_GB2312"/>
          <w:sz w:val="32"/>
          <w:szCs w:val="32"/>
        </w:rPr>
        <w:t>指人平公用经费支出</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，主要包括办公费、印刷费、邮电费、差旅费、维修费、会议费、培训费、公务接待费劳务费、工会费等费用。</w:t>
      </w:r>
    </w:p>
    <w:p>
      <w:pPr>
        <w:pStyle w:val="2"/>
        <w:numPr>
          <w:ilvl w:val="0"/>
          <w:numId w:val="0"/>
        </w:numPr>
        <w:rPr>
          <w:rFonts w:hint="eastAsia"/>
          <w:lang w:val="en-US" w:eastAsia="zh-CN"/>
        </w:rPr>
      </w:pP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val="0"/>
          <w:color w:val="000000"/>
          <w:kern w:val="0"/>
          <w:sz w:val="36"/>
          <w:szCs w:val="36"/>
        </w:rPr>
        <w:t>（二）项目支出</w:t>
      </w:r>
      <w:r>
        <w:rPr>
          <w:rFonts w:hint="eastAsia" w:ascii="黑体" w:hAnsi="黑体" w:eastAsia="黑体" w:cs="黑体"/>
          <w:b/>
          <w:bCs/>
          <w:color w:val="000000"/>
          <w:kern w:val="0"/>
          <w:sz w:val="36"/>
          <w:szCs w:val="36"/>
        </w:rPr>
        <w:t>：</w:t>
      </w:r>
      <w:r>
        <w:rPr>
          <w:rFonts w:hint="eastAsia" w:ascii="仿宋_GB2312" w:hAnsi="仿宋_GB2312" w:eastAsia="仿宋_GB2312" w:cs="仿宋_GB2312"/>
          <w:color w:val="000000"/>
          <w:kern w:val="0"/>
          <w:sz w:val="32"/>
          <w:szCs w:val="32"/>
          <w:lang w:val="en-US" w:eastAsia="zh-CN"/>
        </w:rPr>
        <w:t>2022年本部门项目支出预算数719.30万元，主要是部门为完成特定行政工作任务或事业发展目标而发生的支出，包括有关事业发展专项、专项业务费、基本建设支出等，其中：按项目管理的商品和服务支出199.70万元，资本性支出（基本建设）519.6万元。</w:t>
      </w:r>
    </w:p>
    <w:p>
      <w:pPr>
        <w:pStyle w:val="2"/>
        <w:rPr>
          <w:rFonts w:hint="eastAsia"/>
          <w:lang w:val="en-US" w:eastAsia="zh-CN"/>
        </w:rPr>
      </w:pPr>
    </w:p>
    <w:p>
      <w:pPr>
        <w:keepNext w:val="0"/>
        <w:keepLines w:val="0"/>
        <w:widowControl/>
        <w:numPr>
          <w:ilvl w:val="0"/>
          <w:numId w:val="0"/>
        </w:numPr>
        <w:suppressLineNumbers w:val="0"/>
        <w:spacing w:before="0" w:beforeAutospacing="0" w:after="2" w:afterAutospacing="0"/>
        <w:ind w:left="627" w:leftChars="0" w:right="0" w:rightChars="0"/>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lang w:eastAsia="zh-CN"/>
        </w:rPr>
        <w:t>五、</w:t>
      </w:r>
      <w:r>
        <w:rPr>
          <w:rFonts w:hint="eastAsia" w:ascii="黑体" w:hAnsi="黑体" w:eastAsia="黑体" w:cs="黑体"/>
          <w:color w:val="000000"/>
          <w:kern w:val="0"/>
          <w:sz w:val="44"/>
          <w:szCs w:val="44"/>
        </w:rPr>
        <w:t xml:space="preserve">政府性基金预算支出 </w:t>
      </w:r>
    </w:p>
    <w:p>
      <w:pPr>
        <w:pStyle w:val="2"/>
        <w:numPr>
          <w:ilvl w:val="0"/>
          <w:numId w:val="0"/>
        </w:numPr>
        <w:ind w:left="627" w:leftChars="0"/>
        <w:rPr>
          <w:rFonts w:hint="eastAsia"/>
        </w:rPr>
      </w:pP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2"/>
          <w:szCs w:val="32"/>
        </w:rPr>
        <w:t>2022年本部门无政府性基金安排的支出。</w:t>
      </w:r>
      <w:r>
        <w:rPr>
          <w:rFonts w:hint="eastAsia" w:ascii="仿宋_GB2312" w:hAnsi="仿宋_GB2312" w:eastAsia="仿宋_GB2312" w:cs="仿宋_GB2312"/>
          <w:color w:val="000000"/>
          <w:kern w:val="0"/>
          <w:sz w:val="21"/>
          <w:szCs w:val="21"/>
        </w:rPr>
        <w:t xml:space="preserve"> </w:t>
      </w:r>
    </w:p>
    <w:p>
      <w:pPr>
        <w:pStyle w:val="2"/>
        <w:rPr>
          <w:rFonts w:hint="eastAsia"/>
        </w:rPr>
      </w:pPr>
    </w:p>
    <w:p>
      <w:pPr>
        <w:keepNext w:val="0"/>
        <w:keepLines w:val="0"/>
        <w:widowControl/>
        <w:numPr>
          <w:ilvl w:val="0"/>
          <w:numId w:val="3"/>
        </w:numPr>
        <w:suppressLineNumbers w:val="0"/>
        <w:spacing w:before="0" w:beforeAutospacing="0" w:after="2" w:afterAutospacing="0"/>
        <w:ind w:left="0" w:right="0" w:firstLine="627"/>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 xml:space="preserve">其他重要事项的情况说明 </w:t>
      </w:r>
    </w:p>
    <w:p>
      <w:pPr>
        <w:pStyle w:val="2"/>
        <w:numPr>
          <w:ilvl w:val="0"/>
          <w:numId w:val="0"/>
        </w:numPr>
        <w:rPr>
          <w:rFonts w:hint="eastAsia"/>
        </w:rPr>
      </w:pPr>
    </w:p>
    <w:p>
      <w:pPr>
        <w:keepNext w:val="0"/>
        <w:keepLines w:val="0"/>
        <w:widowControl/>
        <w:suppressLineNumbers w:val="0"/>
        <w:spacing w:before="0" w:beforeAutospacing="0" w:after="2" w:afterAutospacing="0"/>
        <w:ind w:left="0" w:right="0" w:firstLine="660"/>
        <w:rPr>
          <w:rFonts w:hint="eastAsia" w:ascii="黑体" w:hAnsi="黑体" w:eastAsia="黑体" w:cs="黑体"/>
          <w:b/>
          <w:bCs/>
          <w:color w:val="000000"/>
          <w:kern w:val="0"/>
          <w:sz w:val="36"/>
          <w:szCs w:val="36"/>
        </w:rPr>
      </w:pPr>
      <w:r>
        <w:rPr>
          <w:rFonts w:hint="eastAsia" w:ascii="黑体" w:hAnsi="黑体" w:eastAsia="黑体" w:cs="黑体"/>
          <w:b w:val="0"/>
          <w:bCs w:val="0"/>
          <w:color w:val="000000"/>
          <w:kern w:val="0"/>
          <w:sz w:val="36"/>
          <w:szCs w:val="36"/>
        </w:rPr>
        <w:t>（一）机关运行经费</w:t>
      </w:r>
      <w:r>
        <w:rPr>
          <w:rFonts w:hint="eastAsia" w:ascii="黑体" w:hAnsi="黑体" w:eastAsia="黑体" w:cs="黑体"/>
          <w:b/>
          <w:bCs/>
          <w:color w:val="000000"/>
          <w:kern w:val="0"/>
          <w:sz w:val="36"/>
          <w:szCs w:val="36"/>
        </w:rPr>
        <w:t xml:space="preserve"> </w:t>
      </w: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2"/>
          <w:szCs w:val="32"/>
        </w:rPr>
        <w:t>2022年本部门机关运行经费</w:t>
      </w:r>
      <w:r>
        <w:rPr>
          <w:rFonts w:hint="eastAsia" w:ascii="仿宋_GB2312" w:hAnsi="仿宋_GB2312" w:eastAsia="仿宋_GB2312" w:cs="仿宋_GB2312"/>
          <w:color w:val="000000"/>
          <w:kern w:val="0"/>
          <w:sz w:val="32"/>
          <w:szCs w:val="32"/>
          <w:lang w:val="en-US" w:eastAsia="zh-CN"/>
        </w:rPr>
        <w:t>52.5</w:t>
      </w:r>
      <w:r>
        <w:rPr>
          <w:rFonts w:hint="eastAsia" w:ascii="仿宋_GB2312" w:hAnsi="仿宋_GB2312" w:eastAsia="仿宋_GB2312" w:cs="仿宋_GB2312"/>
          <w:color w:val="000000"/>
          <w:kern w:val="0"/>
          <w:sz w:val="32"/>
          <w:szCs w:val="32"/>
        </w:rPr>
        <w:t>万元，比上年预算</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77.22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rPr>
        <w:t>比例</w:t>
      </w:r>
      <w:r>
        <w:rPr>
          <w:rFonts w:hint="eastAsia" w:ascii="仿宋_GB2312" w:hAnsi="仿宋_GB2312" w:eastAsia="仿宋_GB2312"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主要是压缩经费开支</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21"/>
          <w:szCs w:val="21"/>
        </w:rPr>
        <w:t xml:space="preserve"> </w:t>
      </w:r>
    </w:p>
    <w:p>
      <w:pPr>
        <w:pStyle w:val="2"/>
        <w:rPr>
          <w:rFonts w:hint="eastAsia"/>
        </w:rPr>
      </w:pPr>
    </w:p>
    <w:p>
      <w:pPr>
        <w:keepNext w:val="0"/>
        <w:keepLines w:val="0"/>
        <w:widowControl/>
        <w:suppressLineNumbers w:val="0"/>
        <w:spacing w:before="0" w:beforeAutospacing="0" w:after="2" w:afterAutospacing="0"/>
        <w:ind w:left="0" w:right="0" w:firstLine="660"/>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 xml:space="preserve">（二）“三公”经费预算 </w:t>
      </w:r>
    </w:p>
    <w:p>
      <w:pPr>
        <w:keepNext w:val="0"/>
        <w:keepLines w:val="0"/>
        <w:widowControl/>
        <w:suppressLineNumbers w:val="0"/>
        <w:spacing w:before="0" w:beforeAutospacing="0" w:after="2" w:afterAutospacing="0"/>
        <w:ind w:left="0" w:right="0" w:firstLine="6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2022年</w:t>
      </w:r>
      <w:r>
        <w:rPr>
          <w:rFonts w:hint="eastAsia" w:ascii="仿宋_GB2312" w:hAnsi="仿宋_GB2312" w:eastAsia="仿宋_GB2312" w:cs="仿宋_GB2312"/>
          <w:color w:val="000000"/>
          <w:kern w:val="0"/>
          <w:sz w:val="32"/>
          <w:szCs w:val="32"/>
          <w:lang w:eastAsia="zh-CN"/>
        </w:rPr>
        <w:t>本部门</w:t>
      </w:r>
      <w:r>
        <w:rPr>
          <w:rFonts w:hint="eastAsia" w:ascii="仿宋_GB2312" w:hAnsi="仿宋_GB2312" w:eastAsia="仿宋_GB2312" w:cs="仿宋_GB2312"/>
          <w:color w:val="000000"/>
          <w:kern w:val="0"/>
          <w:sz w:val="32"/>
          <w:szCs w:val="32"/>
        </w:rPr>
        <w:t>“三公”经费预算</w:t>
      </w:r>
      <w:r>
        <w:rPr>
          <w:rFonts w:hint="eastAsia" w:ascii="仿宋_GB2312" w:hAnsi="仿宋_GB2312" w:eastAsia="仿宋_GB2312" w:cs="仿宋_GB2312"/>
          <w:color w:val="000000"/>
          <w:kern w:val="0"/>
          <w:sz w:val="32"/>
          <w:szCs w:val="32"/>
          <w:lang w:eastAsia="zh-CN"/>
        </w:rPr>
        <w:t>数为</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万元，其中：公务接待</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公务用车运行维护费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因公出国（境）支出0万元。2022年“三公”经费预算比2021年“三公”经费预算减少</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主要是</w:t>
      </w:r>
      <w:r>
        <w:rPr>
          <w:rFonts w:hint="eastAsia" w:ascii="仿宋_GB2312" w:hAnsi="仿宋_GB2312" w:eastAsia="仿宋_GB2312" w:cs="仿宋_GB2312"/>
          <w:color w:val="000000"/>
          <w:kern w:val="0"/>
          <w:sz w:val="32"/>
          <w:szCs w:val="32"/>
        </w:rPr>
        <w:t>本单位厉行节约，尽可能</w:t>
      </w:r>
      <w:r>
        <w:rPr>
          <w:rFonts w:hint="eastAsia" w:ascii="仿宋_GB2312" w:hAnsi="仿宋_GB2312" w:eastAsia="仿宋_GB2312" w:cs="仿宋_GB2312"/>
          <w:color w:val="000000"/>
          <w:kern w:val="0"/>
          <w:sz w:val="32"/>
          <w:szCs w:val="32"/>
          <w:lang w:eastAsia="zh-CN"/>
        </w:rPr>
        <w:t>压缩</w:t>
      </w:r>
      <w:r>
        <w:rPr>
          <w:rFonts w:hint="eastAsia" w:ascii="仿宋_GB2312" w:hAnsi="仿宋_GB2312" w:eastAsia="仿宋_GB2312" w:cs="仿宋_GB2312"/>
          <w:color w:val="000000"/>
          <w:kern w:val="0"/>
          <w:sz w:val="32"/>
          <w:szCs w:val="32"/>
        </w:rPr>
        <w:t>招待费的支出。</w:t>
      </w:r>
    </w:p>
    <w:p>
      <w:pPr>
        <w:keepNext w:val="0"/>
        <w:keepLines w:val="0"/>
        <w:widowControl/>
        <w:suppressLineNumbers w:val="0"/>
        <w:spacing w:before="0" w:beforeAutospacing="0" w:after="2" w:afterAutospacing="0"/>
        <w:ind w:left="0" w:right="0" w:firstLine="660"/>
        <w:jc w:val="both"/>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60"/>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 xml:space="preserve">（三）一般性支出情况 </w:t>
      </w:r>
    </w:p>
    <w:p>
      <w:pPr>
        <w:keepNext w:val="0"/>
        <w:keepLines w:val="0"/>
        <w:widowControl/>
        <w:suppressLineNumbers w:val="0"/>
        <w:spacing w:before="0" w:beforeAutospacing="0" w:after="2" w:afterAutospacing="0"/>
        <w:ind w:left="0" w:right="0" w:firstLine="660"/>
        <w:jc w:val="both"/>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32"/>
          <w:szCs w:val="32"/>
        </w:rPr>
        <w:t>一般商品和服务支出共计52.5万元。主要包括办公费</w:t>
      </w:r>
      <w:r>
        <w:rPr>
          <w:rFonts w:hint="eastAsia" w:ascii="仿宋_GB2312" w:hAnsi="仿宋_GB2312" w:eastAsia="仿宋_GB2312" w:cs="仿宋_GB2312"/>
          <w:color w:val="000000"/>
          <w:kern w:val="0"/>
          <w:sz w:val="32"/>
          <w:szCs w:val="32"/>
          <w:lang w:val="en-US" w:eastAsia="zh-CN"/>
        </w:rPr>
        <w:t>11万元，印刷费8万元，咨询费2万元，手续费0.5万元，物业管理费12万元，差旅费1.5万元，维修（护）3万元，会议费1.5万元，工会经费5万元，福利费0.5万元，业务招待费5万元，其他交通费0.5万元，其他商品和服务支出2万元。</w:t>
      </w:r>
    </w:p>
    <w:p>
      <w:pPr>
        <w:pStyle w:val="2"/>
        <w:rPr>
          <w:rFonts w:hint="eastAsia"/>
        </w:rPr>
      </w:pPr>
    </w:p>
    <w:p>
      <w:pPr>
        <w:keepNext w:val="0"/>
        <w:keepLines w:val="0"/>
        <w:widowControl/>
        <w:suppressLineNumbers w:val="0"/>
        <w:spacing w:before="0" w:beforeAutospacing="0" w:after="2" w:afterAutospacing="0"/>
        <w:ind w:left="0" w:right="0" w:firstLine="660"/>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 xml:space="preserve">（四）政府采购情况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2022年本部门政府采购预算总额</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万元，其中，货物类采购预算</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万元；工程类采购预算</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万元；服务类采购预算</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p>
    <w:p>
      <w:pPr>
        <w:pStyle w:val="2"/>
        <w:rPr>
          <w:rFonts w:hint="eastAsia" w:ascii="仿宋_GB2312" w:hAnsi="宋体" w:eastAsia="仿宋_GB2312" w:cs="仿宋_GB2312"/>
          <w:color w:val="000000"/>
          <w:kern w:val="0"/>
          <w:sz w:val="32"/>
          <w:szCs w:val="32"/>
        </w:rPr>
      </w:pPr>
    </w:p>
    <w:p>
      <w:pPr>
        <w:keepNext w:val="0"/>
        <w:keepLines w:val="0"/>
        <w:widowControl/>
        <w:suppressLineNumbers w:val="0"/>
        <w:spacing w:before="0" w:beforeAutospacing="0" w:after="2" w:afterAutospacing="0"/>
        <w:ind w:left="0" w:right="0" w:firstLine="660"/>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 xml:space="preserve">（五）国有资产占用使用及新增资产配置情况 </w:t>
      </w:r>
    </w:p>
    <w:p>
      <w:pPr>
        <w:keepNext w:val="0"/>
        <w:keepLines w:val="0"/>
        <w:widowControl/>
        <w:suppressLineNumbers w:val="0"/>
        <w:spacing w:before="0" w:beforeAutospacing="0" w:after="2" w:afterAutospacing="0"/>
        <w:ind w:left="0" w:right="0" w:firstLine="660"/>
        <w:rPr>
          <w:rFonts w:hint="eastAsia" w:ascii="仿宋_GB2312" w:hAnsi="宋体" w:eastAsia="仿宋_GB2312" w:cs="仿宋_GB2312"/>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宋体" w:eastAsia="仿宋_GB2312" w:cs="仿宋_GB2312"/>
          <w:color w:val="000000"/>
          <w:kern w:val="0"/>
          <w:sz w:val="32"/>
          <w:szCs w:val="32"/>
        </w:rPr>
        <w:t>截至2021年12月底，本部门共有公务用车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辆，其中，机要通信用车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辆，应急保障用车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辆，执法执勤用车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辆，特种专业技术用车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辆，其他按照规定配备的公务用车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辆；单位价值50万元以上通用设备</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台，单位价值100万元以上专用设备</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台。2022年拟新增配置公务用车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辆，其中，机要通信用车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辆，应急保障用车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辆，执法执勤用车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辆，特种专业技术用车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辆，其他按照规定配备的公务用车</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辆；新增配备单位价值50万元以上通用设备</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台，单位价值100万元以上专用设备</w:t>
      </w:r>
      <w:r>
        <w:rPr>
          <w:rFonts w:hint="eastAsia" w:ascii="仿宋_GB2312"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台。</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21"/>
          <w:szCs w:val="21"/>
        </w:rPr>
      </w:pPr>
    </w:p>
    <w:p>
      <w:pPr>
        <w:pStyle w:val="2"/>
        <w:rPr>
          <w:rFonts w:hint="eastAsia"/>
        </w:rPr>
      </w:pPr>
    </w:p>
    <w:p>
      <w:pPr>
        <w:keepNext w:val="0"/>
        <w:keepLines w:val="0"/>
        <w:widowControl/>
        <w:suppressLineNumbers w:val="0"/>
        <w:spacing w:before="0" w:beforeAutospacing="0" w:after="2" w:afterAutospacing="0"/>
        <w:ind w:left="0" w:right="0" w:firstLine="660"/>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 xml:space="preserve">（六）预算绩效目标说明 </w:t>
      </w:r>
    </w:p>
    <w:p>
      <w:pPr>
        <w:keepNext w:val="0"/>
        <w:keepLines w:val="0"/>
        <w:widowControl/>
        <w:suppressLineNumbers w:val="0"/>
        <w:spacing w:before="0" w:beforeAutospacing="0" w:after="2" w:afterAutospacing="0"/>
        <w:ind w:left="0" w:right="0" w:firstLine="66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2"/>
          <w:szCs w:val="32"/>
        </w:rPr>
        <w:t>本部门所有支出实行绩效目标管理。纳入2022年部门整体支出绩效目标的金额为</w:t>
      </w:r>
      <w:r>
        <w:rPr>
          <w:rFonts w:hint="eastAsia" w:ascii="仿宋_GB2312" w:hAnsi="仿宋_GB2312" w:eastAsia="仿宋_GB2312" w:cs="仿宋_GB2312"/>
          <w:color w:val="000000"/>
          <w:kern w:val="0"/>
          <w:sz w:val="32"/>
          <w:szCs w:val="32"/>
          <w:lang w:val="en-US" w:eastAsia="zh-CN"/>
        </w:rPr>
        <w:t>1330.56</w:t>
      </w:r>
      <w:r>
        <w:rPr>
          <w:rFonts w:hint="eastAsia" w:ascii="仿宋_GB2312" w:hAnsi="仿宋_GB2312" w:eastAsia="仿宋_GB2312" w:cs="仿宋_GB2312"/>
          <w:color w:val="000000"/>
          <w:kern w:val="0"/>
          <w:sz w:val="32"/>
          <w:szCs w:val="32"/>
        </w:rPr>
        <w:t>万元，其中，基本支出</w:t>
      </w:r>
      <w:r>
        <w:rPr>
          <w:rFonts w:hint="eastAsia" w:ascii="仿宋_GB2312" w:hAnsi="仿宋_GB2312" w:eastAsia="仿宋_GB2312" w:cs="仿宋_GB2312"/>
          <w:color w:val="000000"/>
          <w:kern w:val="0"/>
          <w:sz w:val="32"/>
          <w:szCs w:val="32"/>
          <w:lang w:val="en-US" w:eastAsia="zh-CN"/>
        </w:rPr>
        <w:t>331.88</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lang w:val="en-US" w:eastAsia="zh-CN"/>
        </w:rPr>
        <w:t>719.30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、年终结转结余</w:t>
      </w:r>
      <w:r>
        <w:rPr>
          <w:rFonts w:hint="eastAsia" w:ascii="仿宋_GB2312" w:hAnsi="仿宋_GB2312" w:eastAsia="仿宋_GB2312" w:cs="仿宋_GB2312"/>
          <w:color w:val="000000"/>
          <w:kern w:val="0"/>
          <w:sz w:val="32"/>
          <w:szCs w:val="32"/>
          <w:lang w:val="en-US" w:eastAsia="zh-CN"/>
        </w:rPr>
        <w:t>279.38万元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21"/>
          <w:szCs w:val="21"/>
        </w:rPr>
        <w:t xml:space="preserve"> </w:t>
      </w:r>
    </w:p>
    <w:p>
      <w:pPr>
        <w:pStyle w:val="2"/>
        <w:rPr>
          <w:rFonts w:hint="eastAsia"/>
        </w:rPr>
      </w:pPr>
    </w:p>
    <w:p>
      <w:pPr>
        <w:keepNext w:val="0"/>
        <w:keepLines w:val="0"/>
        <w:widowControl/>
        <w:numPr>
          <w:ilvl w:val="0"/>
          <w:numId w:val="3"/>
        </w:numPr>
        <w:suppressLineNumbers w:val="0"/>
        <w:spacing w:before="0" w:beforeAutospacing="0" w:after="2" w:afterAutospacing="0"/>
        <w:ind w:left="0" w:leftChars="0" w:right="0" w:firstLine="627" w:firstLineChars="0"/>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 xml:space="preserve">名词解释 </w:t>
      </w:r>
    </w:p>
    <w:p>
      <w:pPr>
        <w:pStyle w:val="2"/>
        <w:numPr>
          <w:ilvl w:val="0"/>
          <w:numId w:val="0"/>
        </w:numPr>
        <w:ind w:left="627" w:leftChars="0"/>
        <w:rPr>
          <w:rFonts w:hint="eastAsia" w:eastAsia="宋体"/>
          <w:lang w:eastAsia="zh-CN"/>
        </w:rPr>
      </w:pPr>
    </w:p>
    <w:p>
      <w:pPr>
        <w:keepNext w:val="0"/>
        <w:keepLines w:val="0"/>
        <w:widowControl/>
        <w:suppressLineNumbers w:val="0"/>
        <w:spacing w:before="0" w:beforeAutospacing="0" w:after="2" w:afterAutospacing="0"/>
        <w:ind w:left="0" w:right="0" w:firstLine="643"/>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1、基本支出：是指为保障单位机构正常运转、完成日常工作任务而发生的各项支出，包括用于基本工资、津贴补贴等人员经费以及办公费、印刷费、水电费、办公设备购置等日常公用经费。</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2、项目支出：是指单位为完成特定行政工作任务或事业发展目标而发生的支出。</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0"/>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rPr>
          <w:rFonts w:hint="eastAsia" w:ascii="仿宋_GB2312" w:hAnsi="仿宋_GB2312" w:eastAsia="仿宋_GB2312" w:cs="仿宋_GB2312"/>
          <w:color w:val="000000"/>
          <w:kern w:val="0"/>
          <w:sz w:val="21"/>
          <w:szCs w:val="21"/>
        </w:rPr>
      </w:pPr>
    </w:p>
    <w:p>
      <w:pPr>
        <w:keepNext w:val="0"/>
        <w:keepLines w:val="0"/>
        <w:widowControl/>
        <w:suppressLineNumbers w:val="0"/>
        <w:spacing w:before="0" w:beforeAutospacing="0" w:after="2" w:afterAutospacing="0"/>
        <w:ind w:left="0" w:right="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36"/>
          <w:szCs w:val="36"/>
        </w:rPr>
        <w:t xml:space="preserve"> </w:t>
      </w:r>
      <w:r>
        <w:rPr>
          <w:rFonts w:hint="eastAsia" w:ascii="仿宋_GB2312" w:hAnsi="仿宋_GB2312"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720"/>
        <w:jc w:val="center"/>
        <w:rPr>
          <w:rFonts w:hint="eastAsia" w:ascii="黑体" w:hAnsi="黑体" w:eastAsia="黑体" w:cs="黑体"/>
          <w:kern w:val="0"/>
          <w:sz w:val="52"/>
          <w:szCs w:val="52"/>
        </w:rPr>
      </w:pPr>
      <w:r>
        <w:rPr>
          <w:rFonts w:hint="eastAsia" w:ascii="黑体" w:hAnsi="黑体" w:eastAsia="黑体" w:cs="黑体"/>
          <w:color w:val="000000"/>
          <w:kern w:val="0"/>
          <w:sz w:val="52"/>
          <w:szCs w:val="52"/>
        </w:rPr>
        <w:t xml:space="preserve">第二部分 2022年部门预算表 </w:t>
      </w:r>
    </w:p>
    <w:p>
      <w:pPr>
        <w:keepNext w:val="0"/>
        <w:keepLines w:val="0"/>
        <w:widowControl/>
        <w:suppressLineNumbers w:val="0"/>
        <w:tabs>
          <w:tab w:val="center" w:pos="12144"/>
          <w:tab w:val="left" w:pos="18002"/>
        </w:tabs>
        <w:spacing w:before="0" w:beforeAutospacing="0" w:after="210" w:afterAutospacing="0"/>
        <w:ind w:left="0" w:right="0" w:firstLine="72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ab/>
      </w:r>
    </w:p>
    <w:p>
      <w:pPr>
        <w:keepNext w:val="0"/>
        <w:keepLines w:val="0"/>
        <w:widowControl/>
        <w:suppressLineNumbers w:val="0"/>
        <w:tabs>
          <w:tab w:val="center" w:pos="12144"/>
          <w:tab w:val="left" w:pos="18002"/>
        </w:tabs>
        <w:spacing w:before="0" w:beforeAutospacing="0" w:after="210" w:afterAutospacing="0"/>
        <w:ind w:left="0" w:right="0" w:firstLine="720"/>
        <w:jc w:val="center"/>
        <w:rPr>
          <w:rFonts w:hint="eastAsia" w:ascii="仿宋_GB2312" w:hAnsi="仿宋_GB2312" w:eastAsia="仿宋_GB2312" w:cs="仿宋_GB2312"/>
          <w:lang w:eastAsia="zh-CN"/>
        </w:rPr>
      </w:pPr>
      <w:r>
        <w:rPr>
          <w:rFonts w:hint="eastAsia" w:ascii="仿宋_GB2312" w:hAnsi="仿宋_GB2312" w:eastAsia="仿宋_GB2312" w:cs="仿宋_GB2312"/>
          <w:color w:val="auto"/>
          <w:u w:val="none"/>
          <w:lang w:eastAsia="zh-CN"/>
        </w:rPr>
        <w:fldChar w:fldCharType="begin"/>
      </w:r>
      <w:r>
        <w:rPr>
          <w:rFonts w:hint="eastAsia" w:ascii="仿宋_GB2312" w:hAnsi="仿宋_GB2312" w:eastAsia="仿宋_GB2312" w:cs="仿宋_GB2312"/>
          <w:color w:val="auto"/>
          <w:u w:val="none"/>
          <w:lang w:eastAsia="zh-CN"/>
        </w:rPr>
        <w:instrText xml:space="preserve"> HYPERLINK "道县行政审批服务局2022年部门预算公开表.xlsx" </w:instrText>
      </w:r>
      <w:r>
        <w:rPr>
          <w:rFonts w:hint="eastAsia" w:ascii="仿宋_GB2312" w:hAnsi="仿宋_GB2312" w:eastAsia="仿宋_GB2312" w:cs="仿宋_GB2312"/>
          <w:color w:val="auto"/>
          <w:u w:val="none"/>
          <w:lang w:eastAsia="zh-CN"/>
        </w:rPr>
        <w:fldChar w:fldCharType="separate"/>
      </w:r>
      <w:r>
        <w:rPr>
          <w:rStyle w:val="13"/>
          <w:rFonts w:hint="eastAsia" w:ascii="仿宋_GB2312" w:hAnsi="仿宋_GB2312" w:eastAsia="仿宋_GB2312" w:cs="仿宋_GB2312"/>
          <w:lang w:eastAsia="zh-CN"/>
        </w:rPr>
        <w:t>道县行政审批服务局2022年部门预算公开表.xls</w:t>
      </w:r>
      <w:r>
        <w:rPr>
          <w:rFonts w:hint="eastAsia" w:ascii="仿宋_GB2312" w:hAnsi="仿宋_GB2312" w:eastAsia="仿宋_GB2312" w:cs="仿宋_GB2312"/>
          <w:color w:val="auto"/>
          <w:u w:val="none"/>
          <w:lang w:eastAsia="zh-CN"/>
        </w:rPr>
        <w:fldChar w:fldCharType="end"/>
      </w:r>
    </w:p>
    <w:p>
      <w:pPr>
        <w:keepNext w:val="0"/>
        <w:keepLines w:val="0"/>
        <w:widowControl/>
        <w:suppressLineNumbers w:val="0"/>
        <w:tabs>
          <w:tab w:val="center" w:pos="12144"/>
          <w:tab w:val="left" w:pos="18002"/>
        </w:tabs>
        <w:spacing w:before="0" w:beforeAutospacing="0" w:after="210" w:afterAutospacing="0"/>
        <w:ind w:left="0" w:right="0" w:firstLine="720"/>
        <w:jc w:val="left"/>
        <w:rPr>
          <w:rFonts w:hint="eastAsia" w:ascii="仿宋_GB2312" w:hAnsi="仿宋_GB2312" w:eastAsia="仿宋_GB2312" w:cs="仿宋_GB2312"/>
          <w:kern w:val="0"/>
          <w:sz w:val="21"/>
          <w:szCs w:val="21"/>
        </w:rPr>
      </w:pPr>
      <w:r>
        <w:rPr>
          <w:rFonts w:hint="eastAsia" w:ascii="仿宋_GB2312" w:hAnsi="仿宋_GB2312" w:eastAsia="仿宋_GB2312" w:cs="仿宋_GB2312"/>
          <w:lang w:eastAsia="zh-CN"/>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"http://10.105.183.30:8081/home/downloadAttachment?attachGUID=dc5becbd5067491e9ea70be81a8c41ff"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p>
    <w:p>
      <w:pPr>
        <w:keepNext w:val="0"/>
        <w:keepLines w:val="0"/>
        <w:widowControl/>
        <w:suppressLineNumbers w:val="0"/>
        <w:spacing w:before="0" w:beforeAutospacing="0" w:after="2" w:afterAutospacing="0"/>
        <w:ind w:left="0" w:right="0" w:firstLine="64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w:t>
      </w:r>
    </w:p>
    <w:p>
      <w:pPr>
        <w:keepNext w:val="0"/>
        <w:keepLines w:val="0"/>
        <w:widowControl/>
        <w:suppressLineNumbers w:val="0"/>
        <w:spacing w:before="0" w:beforeAutospacing="0" w:after="2" w:afterAutospacing="0"/>
        <w:ind w:left="0" w:right="0" w:firstLine="640"/>
        <w:rPr>
          <w:rFonts w:hint="eastAsia" w:ascii="仿宋_GB2312" w:hAnsi="仿宋_GB2312" w:eastAsia="仿宋_GB2312" w:cs="仿宋_GB2312"/>
          <w:kern w:val="0"/>
          <w:sz w:val="21"/>
          <w:szCs w:val="21"/>
        </w:rPr>
      </w:pPr>
    </w:p>
    <w:sectPr>
      <w:pgSz w:w="16839" w:h="11906" w:orient="landscape"/>
      <w:pgMar w:top="1800" w:right="1440" w:bottom="1800"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EBB68"/>
    <w:multiLevelType w:val="singleLevel"/>
    <w:tmpl w:val="9A0EBB68"/>
    <w:lvl w:ilvl="0" w:tentative="0">
      <w:start w:val="1"/>
      <w:numFmt w:val="chineseCounting"/>
      <w:suff w:val="nothing"/>
      <w:lvlText w:val="（%1）"/>
      <w:lvlJc w:val="left"/>
      <w:rPr>
        <w:rFonts w:hint="eastAsia" w:ascii="黑体" w:hAnsi="黑体" w:eastAsia="黑体" w:cs="黑体"/>
      </w:rPr>
    </w:lvl>
  </w:abstractNum>
  <w:abstractNum w:abstractNumId="1">
    <w:nsid w:val="208DB8F4"/>
    <w:multiLevelType w:val="singleLevel"/>
    <w:tmpl w:val="208DB8F4"/>
    <w:lvl w:ilvl="0" w:tentative="0">
      <w:start w:val="1"/>
      <w:numFmt w:val="chineseCounting"/>
      <w:suff w:val="nothing"/>
      <w:lvlText w:val="%1、"/>
      <w:lvlJc w:val="left"/>
      <w:rPr>
        <w:rFonts w:hint="eastAsia"/>
      </w:rPr>
    </w:lvl>
  </w:abstractNum>
  <w:abstractNum w:abstractNumId="2">
    <w:nsid w:val="4A3C2518"/>
    <w:multiLevelType w:val="singleLevel"/>
    <w:tmpl w:val="4A3C2518"/>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80"/>
  <w:bordersDoNotSurroundHeader w:val="0"/>
  <w:bordersDoNotSurroundFooter w:val="0"/>
  <w:documentProtection w:enforcement="0"/>
  <w:defaultTabStop w:val="420"/>
  <w:hyphenationZone w:val="360"/>
  <w:drawingGridVerticalSpacing w:val="157"/>
  <w:displayHorizontalDrawingGridEvery w:val="1"/>
  <w:displayVerticalDrawingGridEvery w:val="1"/>
  <w:noPunctuationKerning w:val="1"/>
  <w:characterSpacingControl w:val="doNotCompress"/>
  <w:footnotePr>
    <w:footnote w:id="0"/>
    <w:footnote w:id="1"/>
  </w:foot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M5MDQ0NjU2NTdlZDE3NDkyZDExNWM1M2M3NjUifQ=="/>
  </w:docVars>
  <w:rsids>
    <w:rsidRoot w:val="00000000"/>
    <w:rsid w:val="049009EA"/>
    <w:rsid w:val="0CC0502D"/>
    <w:rsid w:val="131A425B"/>
    <w:rsid w:val="16ED4F79"/>
    <w:rsid w:val="18261C9A"/>
    <w:rsid w:val="19CC7BDC"/>
    <w:rsid w:val="275A04C5"/>
    <w:rsid w:val="2B7E52A9"/>
    <w:rsid w:val="31BF7898"/>
    <w:rsid w:val="32E91943"/>
    <w:rsid w:val="331539E0"/>
    <w:rsid w:val="34F93BB9"/>
    <w:rsid w:val="41060FB9"/>
    <w:rsid w:val="43CE6AFD"/>
    <w:rsid w:val="49233ECA"/>
    <w:rsid w:val="4CB269D2"/>
    <w:rsid w:val="4E4A131D"/>
    <w:rsid w:val="5065386D"/>
    <w:rsid w:val="5310251E"/>
    <w:rsid w:val="59C53194"/>
    <w:rsid w:val="5E9A3289"/>
    <w:rsid w:val="68985487"/>
    <w:rsid w:val="69151671"/>
    <w:rsid w:val="6DEF3952"/>
    <w:rsid w:val="73944C37"/>
    <w:rsid w:val="7DF5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unhideWhenUsed/>
    <w:qFormat/>
    <w:uiPriority w:val="99"/>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3">
    <w:name w:val="Hyperlink"/>
    <w:basedOn w:val="12"/>
    <w:qFormat/>
    <w:uiPriority w:val="0"/>
    <w:rPr>
      <w:color w:val="0000FF"/>
      <w:u w:val="single"/>
    </w:rPr>
  </w:style>
  <w:style w:type="character" w:customStyle="1" w:styleId="14">
    <w:name w:val="10"/>
    <w:basedOn w:val="12"/>
    <w:qFormat/>
    <w:uiPriority w:val="0"/>
    <w:rPr>
      <w:rFonts w:hint="default" w:ascii="Times New Roman" w:hAnsi="Times New Roman" w:cs="Times New Roman"/>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5"/>
    <w:basedOn w:val="12"/>
    <w:qFormat/>
    <w:uiPriority w:val="0"/>
    <w:rPr>
      <w:rFonts w:hint="default" w:ascii="Times New Roman" w:hAnsi="Times New Roman" w:cs="Times New Roman"/>
      <w:color w:val="0000FF"/>
      <w:u w:val="single"/>
    </w:rPr>
  </w:style>
  <w:style w:type="paragraph" w:customStyle="1" w:styleId="17">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3365</Words>
  <Characters>3617</Characters>
  <Lines>1</Lines>
  <Paragraphs>1</Paragraphs>
  <TotalTime>0</TotalTime>
  <ScaleCrop>false</ScaleCrop>
  <LinksUpToDate>false</LinksUpToDate>
  <CharactersWithSpaces>3705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2022-04-25T03:05:00Z</dcterms:created>
  <dc:creator>Administrator</dc:creator>
  <cp:lastModifiedBy>Administrator</cp:lastModifiedBy>
  <dcterms:modified xsi:type="dcterms:W3CDTF">2023-09-27T02:47:09Z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eyJoZGlkIjoiYTAwNmI5NWY2ZDRkOWZkYmQzNDg1ZWNmMTgxMTFjNGIifQ==</vt:lpwstr>
  </property>
  <property fmtid="{D5CDD505-2E9C-101B-9397-08002B2CF9AE}" pid="3" name="KSOProductBuildVer">
    <vt:lpwstr>2052-11.1.0.14309</vt:lpwstr>
  </property>
  <property fmtid="{D5CDD505-2E9C-101B-9397-08002B2CF9AE}" pid="4" name="ICV">
    <vt:lpwstr>40343E8411064F51835B0FFC3FFE9F66_13</vt:lpwstr>
  </property>
</Properties>
</file>