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道县高新技术产业开发区管理委员会部门决算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第一部分单位概况</w:t>
      </w:r>
    </w:p>
    <w:p>
      <w:pPr>
        <w:pStyle w:val="10"/>
        <w:spacing w:line="500" w:lineRule="exact"/>
        <w:ind w:firstLine="700" w:firstLineChars="250"/>
        <w:rPr>
          <w:rFonts w:ascii="宋体" w:eastAsia="宋体" w:cs="仿宋_GB2312"/>
          <w:sz w:val="28"/>
          <w:szCs w:val="28"/>
        </w:rPr>
      </w:pPr>
      <w:r>
        <w:rPr>
          <w:rFonts w:ascii="宋体" w:eastAsia="宋体" w:cs="仿宋_GB2312"/>
          <w:sz w:val="28"/>
          <w:szCs w:val="28"/>
        </w:rPr>
        <w:t>一、部门职责</w:t>
      </w:r>
    </w:p>
    <w:p>
      <w:pPr>
        <w:pStyle w:val="10"/>
        <w:spacing w:line="500" w:lineRule="exact"/>
        <w:ind w:firstLine="700" w:firstLineChars="250"/>
        <w:rPr>
          <w:rFonts w:ascii="宋体" w:eastAsia="宋体" w:cs="仿宋_GB2312"/>
          <w:sz w:val="28"/>
          <w:szCs w:val="28"/>
        </w:rPr>
      </w:pPr>
      <w:r>
        <w:rPr>
          <w:rFonts w:ascii="宋体" w:eastAsia="宋体" w:cs="仿宋_GB2312"/>
          <w:sz w:val="28"/>
          <w:szCs w:val="28"/>
        </w:rPr>
        <w:t>二、机构设置</w:t>
      </w:r>
    </w:p>
    <w:p>
      <w:pPr>
        <w:pStyle w:val="10"/>
        <w:spacing w:line="500" w:lineRule="exact"/>
        <w:rPr>
          <w:rFonts w:ascii="仿宋_GB2312" w:hAnsi="仿宋_GB2312" w:cs="仿宋_GB2312"/>
          <w:b/>
          <w:sz w:val="28"/>
          <w:szCs w:val="28"/>
        </w:rPr>
      </w:pPr>
      <w:r>
        <w:rPr>
          <w:rFonts w:hint="eastAsia"/>
          <w:b/>
          <w:sz w:val="28"/>
          <w:szCs w:val="28"/>
        </w:rPr>
        <w:t>第二部分</w:t>
      </w:r>
      <w:r>
        <w:rPr>
          <w:b/>
          <w:sz w:val="28"/>
          <w:szCs w:val="28"/>
        </w:rPr>
        <w:t>20</w:t>
      </w:r>
      <w:r>
        <w:rPr>
          <w:rFonts w:hint="eastAsia"/>
          <w:b/>
          <w:sz w:val="28"/>
          <w:szCs w:val="28"/>
        </w:rPr>
        <w:t>21年度部门决算表</w:t>
      </w:r>
    </w:p>
    <w:p>
      <w:pPr>
        <w:pStyle w:val="10"/>
        <w:spacing w:line="500" w:lineRule="exact"/>
        <w:ind w:firstLine="700" w:firstLineChars="250"/>
        <w:rPr>
          <w:rFonts w:ascii="宋体" w:eastAsia="宋体" w:cs="仿宋_GB2312"/>
          <w:sz w:val="28"/>
          <w:szCs w:val="28"/>
        </w:rPr>
      </w:pPr>
      <w:r>
        <w:rPr>
          <w:rFonts w:ascii="宋体" w:eastAsia="宋体" w:cs="仿宋_GB2312"/>
          <w:sz w:val="28"/>
          <w:szCs w:val="28"/>
        </w:rPr>
        <w:t>一、收入支出决算总表</w:t>
      </w:r>
    </w:p>
    <w:p>
      <w:pPr>
        <w:pStyle w:val="10"/>
        <w:spacing w:line="500" w:lineRule="exact"/>
        <w:ind w:firstLine="700" w:firstLineChars="250"/>
        <w:rPr>
          <w:rFonts w:ascii="宋体" w:eastAsia="宋体" w:cs="仿宋_GB2312"/>
          <w:sz w:val="28"/>
          <w:szCs w:val="28"/>
        </w:rPr>
      </w:pPr>
      <w:r>
        <w:rPr>
          <w:rFonts w:ascii="宋体" w:eastAsia="宋体" w:cs="仿宋_GB2312"/>
          <w:sz w:val="28"/>
          <w:szCs w:val="28"/>
        </w:rPr>
        <w:t>二、收入决算表</w:t>
      </w:r>
    </w:p>
    <w:p>
      <w:pPr>
        <w:pStyle w:val="10"/>
        <w:spacing w:line="500" w:lineRule="exact"/>
        <w:ind w:firstLine="700" w:firstLineChars="250"/>
        <w:rPr>
          <w:rFonts w:ascii="宋体" w:eastAsia="宋体" w:cs="仿宋_GB2312"/>
          <w:sz w:val="28"/>
          <w:szCs w:val="28"/>
        </w:rPr>
      </w:pPr>
      <w:r>
        <w:rPr>
          <w:rFonts w:ascii="宋体" w:eastAsia="宋体" w:cs="仿宋_GB2312"/>
          <w:sz w:val="28"/>
          <w:szCs w:val="28"/>
        </w:rPr>
        <w:t>三、支出决算表</w:t>
      </w:r>
    </w:p>
    <w:p>
      <w:pPr>
        <w:pStyle w:val="10"/>
        <w:spacing w:line="500" w:lineRule="exact"/>
        <w:ind w:firstLine="700" w:firstLineChars="250"/>
        <w:rPr>
          <w:rFonts w:ascii="宋体" w:eastAsia="宋体" w:cs="仿宋_GB2312"/>
          <w:sz w:val="28"/>
          <w:szCs w:val="28"/>
        </w:rPr>
      </w:pPr>
      <w:r>
        <w:rPr>
          <w:rFonts w:ascii="宋体" w:eastAsia="宋体" w:cs="仿宋_GB2312"/>
          <w:sz w:val="28"/>
          <w:szCs w:val="28"/>
        </w:rPr>
        <w:t>四、财政拨款收入支出决算总表</w:t>
      </w:r>
    </w:p>
    <w:p>
      <w:pPr>
        <w:pStyle w:val="10"/>
        <w:spacing w:line="500" w:lineRule="exact"/>
        <w:ind w:firstLine="700" w:firstLineChars="250"/>
        <w:rPr>
          <w:rFonts w:ascii="宋体" w:eastAsia="宋体" w:cs="仿宋_GB2312"/>
          <w:sz w:val="28"/>
          <w:szCs w:val="28"/>
        </w:rPr>
      </w:pPr>
      <w:r>
        <w:rPr>
          <w:rFonts w:ascii="宋体" w:eastAsia="宋体" w:cs="仿宋_GB2312"/>
          <w:sz w:val="28"/>
          <w:szCs w:val="28"/>
        </w:rPr>
        <w:t>五、一般公共预算财政拨款支出决算表</w:t>
      </w:r>
    </w:p>
    <w:p>
      <w:pPr>
        <w:pStyle w:val="10"/>
        <w:spacing w:line="500" w:lineRule="exact"/>
        <w:ind w:firstLine="700" w:firstLineChars="250"/>
        <w:rPr>
          <w:rFonts w:ascii="宋体" w:eastAsia="宋体" w:cs="仿宋_GB2312"/>
          <w:sz w:val="28"/>
          <w:szCs w:val="28"/>
        </w:rPr>
      </w:pPr>
      <w:r>
        <w:rPr>
          <w:rFonts w:ascii="宋体" w:eastAsia="宋体" w:cs="仿宋_GB2312"/>
          <w:sz w:val="28"/>
          <w:szCs w:val="28"/>
        </w:rPr>
        <w:t>六、一般公共预算财政拨款基本支出决算</w:t>
      </w:r>
      <w:r>
        <w:rPr>
          <w:rFonts w:hint="eastAsia" w:ascii="宋体" w:eastAsia="宋体" w:cs="仿宋_GB2312"/>
          <w:sz w:val="28"/>
          <w:szCs w:val="28"/>
        </w:rPr>
        <w:t>明细</w:t>
      </w:r>
      <w:r>
        <w:rPr>
          <w:rFonts w:ascii="宋体" w:eastAsia="宋体" w:cs="仿宋_GB2312"/>
          <w:sz w:val="28"/>
          <w:szCs w:val="28"/>
        </w:rPr>
        <w:t>表</w:t>
      </w:r>
    </w:p>
    <w:p>
      <w:pPr>
        <w:pStyle w:val="10"/>
        <w:spacing w:line="500" w:lineRule="exact"/>
        <w:ind w:firstLine="700" w:firstLineChars="250"/>
        <w:rPr>
          <w:rFonts w:ascii="宋体" w:eastAsia="宋体" w:cs="仿宋_GB2312"/>
          <w:sz w:val="28"/>
          <w:szCs w:val="28"/>
        </w:rPr>
      </w:pPr>
      <w:r>
        <w:rPr>
          <w:rFonts w:ascii="宋体" w:eastAsia="宋体" w:cs="仿宋_GB2312"/>
          <w:sz w:val="28"/>
          <w:szCs w:val="28"/>
        </w:rPr>
        <w:t>七、一般公共预算财政拨款“三公”经费支出决算表</w:t>
      </w:r>
    </w:p>
    <w:p>
      <w:pPr>
        <w:pStyle w:val="10"/>
        <w:spacing w:line="500" w:lineRule="exact"/>
        <w:ind w:firstLine="700" w:firstLineChars="250"/>
        <w:rPr>
          <w:rFonts w:ascii="宋体" w:eastAsia="宋体" w:cs="仿宋_GB2312"/>
          <w:sz w:val="28"/>
          <w:szCs w:val="28"/>
        </w:rPr>
      </w:pPr>
      <w:r>
        <w:rPr>
          <w:rFonts w:ascii="宋体" w:eastAsia="宋体" w:cs="仿宋_GB2312"/>
          <w:sz w:val="28"/>
          <w:szCs w:val="28"/>
        </w:rPr>
        <w:t>八、政府性基金预算财政拨款收入支出决算表</w:t>
      </w:r>
    </w:p>
    <w:p>
      <w:pPr>
        <w:pStyle w:val="10"/>
        <w:spacing w:line="500" w:lineRule="exact"/>
        <w:ind w:firstLine="700" w:firstLineChars="250"/>
        <w:rPr>
          <w:rFonts w:ascii="宋体" w:eastAsia="宋体" w:cs="仿宋_GB2312"/>
          <w:sz w:val="28"/>
          <w:szCs w:val="28"/>
        </w:rPr>
      </w:pPr>
      <w:r>
        <w:rPr>
          <w:rFonts w:hint="eastAsia" w:ascii="宋体" w:eastAsia="宋体" w:cs="仿宋_GB2312"/>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b/>
          <w:sz w:val="28"/>
          <w:szCs w:val="28"/>
        </w:rPr>
        <w:t>第三部分</w:t>
      </w:r>
      <w:r>
        <w:rPr>
          <w:b/>
          <w:sz w:val="28"/>
          <w:szCs w:val="28"/>
        </w:rPr>
        <w:t>20</w:t>
      </w:r>
      <w:r>
        <w:rPr>
          <w:rFonts w:hint="eastAsia"/>
          <w:b/>
          <w:sz w:val="28"/>
          <w:szCs w:val="28"/>
        </w:rPr>
        <w:t>21年度部门决算情况说明</w:t>
      </w:r>
    </w:p>
    <w:p>
      <w:pPr>
        <w:pStyle w:val="10"/>
        <w:spacing w:line="500" w:lineRule="exact"/>
        <w:ind w:firstLine="700" w:firstLineChars="250"/>
        <w:rPr>
          <w:rFonts w:ascii="宋体" w:eastAsia="宋体" w:cs="仿宋_GB2312"/>
          <w:sz w:val="28"/>
          <w:szCs w:val="28"/>
        </w:rPr>
      </w:pPr>
      <w:r>
        <w:rPr>
          <w:rFonts w:asci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十二、国有资产占用情况说明</w:t>
      </w:r>
    </w:p>
    <w:p>
      <w:pPr>
        <w:pStyle w:val="10"/>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w:t>
      </w:r>
      <w:r>
        <w:rPr>
          <w:rFonts w:hint="eastAsia" w:ascii="宋体" w:eastAsia="宋体" w:cs="仿宋_GB2312"/>
          <w:sz w:val="28"/>
          <w:szCs w:val="28"/>
        </w:rPr>
        <w:t>2021年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rPr>
          <w:rFonts w:ascii="黑体" w:eastAsia="黑体" w:cs="黑体"/>
          <w:b/>
          <w:color w:val="000000"/>
          <w:kern w:val="0"/>
          <w:sz w:val="28"/>
          <w:szCs w:val="28"/>
        </w:rPr>
      </w:pPr>
      <w:r>
        <w:rPr>
          <w:rFonts w:ascii="黑体" w:eastAsia="黑体" w:cs="黑体"/>
          <w:b/>
          <w:color w:val="000000"/>
          <w:kern w:val="0"/>
          <w:sz w:val="28"/>
          <w:szCs w:val="28"/>
        </w:rPr>
        <w:t>第四部分名词解释</w:t>
      </w:r>
    </w:p>
    <w:p>
      <w:pPr>
        <w:autoSpaceDE w:val="0"/>
        <w:autoSpaceDN w:val="0"/>
        <w:adjustRightInd w:val="0"/>
        <w:spacing w:line="500" w:lineRule="exact"/>
        <w:jc w:val="left"/>
        <w:rPr>
          <w:rFonts w:ascii="黑体" w:eastAsia="黑体" w:cs="仿宋_GB2312"/>
          <w:b/>
          <w:color w:val="000000"/>
          <w:kern w:val="0"/>
          <w:sz w:val="28"/>
          <w:szCs w:val="28"/>
        </w:rPr>
      </w:pPr>
      <w:r>
        <w:rPr>
          <w:rFonts w:hint="eastAsia" w:asci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eastAsia="黑体"/>
          <w:sz w:val="32"/>
          <w:szCs w:val="32"/>
        </w:rPr>
      </w:pPr>
    </w:p>
    <w:p>
      <w:pPr>
        <w:pStyle w:val="11"/>
        <w:ind w:left="720" w:firstLine="0" w:firstLineChars="0"/>
        <w:jc w:val="left"/>
        <w:rPr>
          <w:rFonts w:ascii="黑体" w:eastAsia="黑体"/>
          <w:sz w:val="32"/>
          <w:szCs w:val="32"/>
        </w:rPr>
      </w:pPr>
    </w:p>
    <w:p>
      <w:pPr>
        <w:pStyle w:val="11"/>
        <w:ind w:left="720" w:firstLine="0" w:firstLineChars="0"/>
        <w:jc w:val="left"/>
        <w:rPr>
          <w:rFonts w:ascii="黑体" w:eastAsia="黑体"/>
          <w:sz w:val="32"/>
          <w:szCs w:val="32"/>
        </w:rPr>
      </w:pPr>
    </w:p>
    <w:p>
      <w:pPr>
        <w:pStyle w:val="11"/>
        <w:numPr>
          <w:ilvl w:val="0"/>
          <w:numId w:val="1"/>
        </w:numPr>
        <w:ind w:firstLineChars="0"/>
        <w:jc w:val="left"/>
        <w:rPr>
          <w:rFonts w:ascii="黑体" w:eastAsia="黑体"/>
          <w:sz w:val="32"/>
          <w:szCs w:val="32"/>
        </w:rPr>
      </w:pPr>
      <w:r>
        <w:rPr>
          <w:rFonts w:ascii="黑体" w:eastAsia="黑体"/>
          <w:sz w:val="32"/>
          <w:szCs w:val="32"/>
        </w:rPr>
        <w:t>部门职责</w:t>
      </w:r>
    </w:p>
    <w:p>
      <w:pPr>
        <w:pStyle w:val="11"/>
        <w:widowControl/>
        <w:ind w:left="720" w:firstLine="640"/>
        <w:jc w:val="left"/>
        <w:rPr>
          <w:rFonts w:hint="eastAsia" w:ascii="仿宋" w:hAnsi="仿宋" w:cs="宋体"/>
          <w:color w:val="000000"/>
          <w:kern w:val="0"/>
          <w:sz w:val="32"/>
          <w:szCs w:val="32"/>
        </w:rPr>
      </w:pPr>
      <w:r>
        <w:rPr>
          <w:rFonts w:ascii="仿宋" w:hAnsi="仿宋" w:cs="宋体"/>
          <w:color w:val="000000"/>
          <w:kern w:val="0"/>
          <w:sz w:val="32"/>
          <w:szCs w:val="32"/>
        </w:rPr>
        <w:t xml:space="preserve">1、负责贯彻执行党和国家关于高新区的方针政策、法律法 规和决策部署。 </w:t>
      </w:r>
    </w:p>
    <w:p>
      <w:pPr>
        <w:pStyle w:val="11"/>
        <w:widowControl/>
        <w:ind w:left="720" w:firstLine="640"/>
        <w:jc w:val="left"/>
        <w:rPr>
          <w:rFonts w:hint="eastAsia" w:ascii="仿宋" w:hAnsi="仿宋" w:cs="宋体"/>
          <w:color w:val="000000"/>
          <w:kern w:val="0"/>
          <w:sz w:val="32"/>
          <w:szCs w:val="32"/>
        </w:rPr>
      </w:pPr>
      <w:r>
        <w:rPr>
          <w:rFonts w:ascii="仿宋" w:hAnsi="仿宋" w:cs="宋体"/>
          <w:color w:val="000000"/>
          <w:kern w:val="0"/>
          <w:sz w:val="32"/>
          <w:szCs w:val="32"/>
        </w:rPr>
        <w:t xml:space="preserve">2、负责研究拟订和组织实施道县高新区重大发展战略、发 展规划和工作计划。 </w:t>
      </w:r>
    </w:p>
    <w:p>
      <w:pPr>
        <w:pStyle w:val="11"/>
        <w:widowControl/>
        <w:ind w:left="720" w:firstLine="640"/>
        <w:jc w:val="left"/>
        <w:rPr>
          <w:rFonts w:hint="eastAsia" w:ascii="仿宋" w:hAnsi="仿宋" w:cs="宋体"/>
          <w:color w:val="000000"/>
          <w:kern w:val="0"/>
          <w:sz w:val="32"/>
          <w:szCs w:val="32"/>
        </w:rPr>
      </w:pPr>
      <w:r>
        <w:rPr>
          <w:rFonts w:ascii="仿宋" w:hAnsi="仿宋" w:cs="宋体"/>
          <w:color w:val="000000"/>
          <w:kern w:val="0"/>
          <w:sz w:val="32"/>
          <w:szCs w:val="32"/>
        </w:rPr>
        <w:t>3、按照道县国土空间总体规划和产业发展规划要求及相关 权限，负责统筹建设发展空间布局。负责拟订道县高新区发展 规划、产业布局、产业政策、项目准入标准等重要事项并组织 实施。</w:t>
      </w:r>
    </w:p>
    <w:p>
      <w:pPr>
        <w:pStyle w:val="11"/>
        <w:widowControl/>
        <w:ind w:left="720" w:firstLine="0" w:firstLineChars="0"/>
        <w:jc w:val="left"/>
        <w:rPr>
          <w:rFonts w:hint="eastAsia" w:ascii="仿宋" w:hAnsi="仿宋" w:cs="宋体"/>
          <w:color w:val="000000"/>
          <w:kern w:val="0"/>
          <w:sz w:val="32"/>
          <w:szCs w:val="32"/>
        </w:rPr>
      </w:pPr>
      <w:r>
        <w:rPr>
          <w:rFonts w:ascii="仿宋" w:hAnsi="仿宋" w:cs="宋体"/>
          <w:color w:val="000000"/>
          <w:kern w:val="0"/>
          <w:sz w:val="32"/>
          <w:szCs w:val="32"/>
        </w:rPr>
        <w:t xml:space="preserve"> </w:t>
      </w:r>
      <w:r>
        <w:rPr>
          <w:rFonts w:hint="eastAsia" w:ascii="仿宋" w:hAnsi="仿宋" w:cs="宋体"/>
          <w:color w:val="000000"/>
          <w:kern w:val="0"/>
          <w:sz w:val="32"/>
          <w:szCs w:val="32"/>
        </w:rPr>
        <w:t xml:space="preserve">    </w:t>
      </w:r>
      <w:r>
        <w:rPr>
          <w:rFonts w:ascii="仿宋" w:hAnsi="仿宋" w:cs="宋体"/>
          <w:color w:val="000000"/>
          <w:kern w:val="0"/>
          <w:sz w:val="32"/>
          <w:szCs w:val="32"/>
        </w:rPr>
        <w:t xml:space="preserve">4、负责道县高新区招商引资工作，组织对外经济技术合作 与交流。负责道县高新区基础设施、公用事业、重大项目等建 设管理相关工作。 </w:t>
      </w:r>
    </w:p>
    <w:p>
      <w:pPr>
        <w:pStyle w:val="11"/>
        <w:widowControl/>
        <w:ind w:left="720" w:firstLine="640"/>
        <w:jc w:val="left"/>
        <w:rPr>
          <w:rFonts w:hint="eastAsia" w:ascii="仿宋" w:hAnsi="仿宋" w:cs="宋体"/>
          <w:color w:val="000000"/>
          <w:kern w:val="0"/>
          <w:sz w:val="32"/>
          <w:szCs w:val="32"/>
        </w:rPr>
      </w:pPr>
      <w:r>
        <w:rPr>
          <w:rFonts w:ascii="仿宋" w:hAnsi="仿宋" w:cs="宋体"/>
          <w:color w:val="000000"/>
          <w:kern w:val="0"/>
          <w:sz w:val="32"/>
          <w:szCs w:val="32"/>
        </w:rPr>
        <w:t xml:space="preserve">5、负责道县高新区优化营商环境工作，根据权限依法承担 有关行政审批工作，履行行政审批服务职责。负责构建道县高 新区创新创业服务体系，协助企业做好人才引进和服务工作。 </w:t>
      </w:r>
    </w:p>
    <w:p>
      <w:pPr>
        <w:pStyle w:val="11"/>
        <w:widowControl/>
        <w:ind w:left="720" w:firstLine="640"/>
        <w:jc w:val="left"/>
        <w:rPr>
          <w:rFonts w:hint="eastAsia" w:ascii="仿宋" w:hAnsi="仿宋" w:cs="宋体"/>
          <w:color w:val="000000"/>
          <w:kern w:val="0"/>
          <w:sz w:val="32"/>
          <w:szCs w:val="32"/>
        </w:rPr>
      </w:pPr>
      <w:r>
        <w:rPr>
          <w:rFonts w:ascii="仿宋" w:hAnsi="仿宋" w:cs="宋体"/>
          <w:color w:val="000000"/>
          <w:kern w:val="0"/>
          <w:sz w:val="32"/>
          <w:szCs w:val="32"/>
        </w:rPr>
        <w:t xml:space="preserve">6、负责道县高新区的科技创新、高新技术产业管理和服务， 开展有关科技创新和高新技术产业政策研究，构建技术创新服 务体系。指导区内企业建立现代化企业制度，推进高新技术产 业化、国际化。 </w:t>
      </w:r>
    </w:p>
    <w:p>
      <w:pPr>
        <w:pStyle w:val="11"/>
        <w:widowControl/>
        <w:ind w:left="720" w:firstLine="640"/>
        <w:jc w:val="left"/>
        <w:rPr>
          <w:rFonts w:hint="eastAsia" w:ascii="仿宋" w:hAnsi="仿宋" w:cs="宋体"/>
          <w:color w:val="000000"/>
          <w:kern w:val="0"/>
          <w:sz w:val="32"/>
          <w:szCs w:val="32"/>
        </w:rPr>
      </w:pPr>
      <w:r>
        <w:rPr>
          <w:rFonts w:ascii="仿宋" w:hAnsi="仿宋" w:cs="宋体"/>
          <w:color w:val="000000"/>
          <w:kern w:val="0"/>
          <w:sz w:val="32"/>
          <w:szCs w:val="32"/>
        </w:rPr>
        <w:t xml:space="preserve">7、负责道县高新区党的建设和“两新”组织党建工作。 </w:t>
      </w:r>
    </w:p>
    <w:p>
      <w:pPr>
        <w:pStyle w:val="11"/>
        <w:widowControl/>
        <w:ind w:left="720" w:firstLine="640"/>
        <w:jc w:val="left"/>
        <w:rPr>
          <w:rFonts w:hint="eastAsia" w:ascii="仿宋" w:hAnsi="仿宋" w:cs="宋体"/>
          <w:color w:val="000000"/>
          <w:kern w:val="0"/>
          <w:sz w:val="32"/>
          <w:szCs w:val="32"/>
        </w:rPr>
      </w:pPr>
      <w:r>
        <w:rPr>
          <w:rFonts w:ascii="仿宋" w:hAnsi="仿宋" w:cs="宋体"/>
          <w:color w:val="000000"/>
          <w:kern w:val="0"/>
          <w:sz w:val="32"/>
          <w:szCs w:val="32"/>
        </w:rPr>
        <w:t xml:space="preserve">8、根据有关要求和职责分工，承担道县高新区综合管理、统计、信息、安全生产监督管理、生态环境保护、财政收支管 理及国有资产管理等工作。 </w:t>
      </w:r>
    </w:p>
    <w:p>
      <w:pPr>
        <w:pStyle w:val="11"/>
        <w:widowControl/>
        <w:ind w:left="720" w:firstLine="640"/>
        <w:jc w:val="left"/>
        <w:rPr>
          <w:rFonts w:ascii="宋体" w:cs="宋体"/>
          <w:kern w:val="0"/>
          <w:sz w:val="24"/>
          <w:szCs w:val="24"/>
        </w:rPr>
      </w:pPr>
      <w:r>
        <w:rPr>
          <w:rFonts w:ascii="仿宋" w:hAnsi="仿宋" w:cs="宋体"/>
          <w:color w:val="000000"/>
          <w:kern w:val="0"/>
          <w:sz w:val="32"/>
          <w:szCs w:val="32"/>
        </w:rPr>
        <w:t xml:space="preserve">9、承办市委、市政府和县委、县政府交办的其他事项。 </w:t>
      </w:r>
    </w:p>
    <w:p>
      <w:pPr>
        <w:widowControl/>
        <w:spacing w:line="600" w:lineRule="exact"/>
        <w:rPr>
          <w:rFonts w:ascii="黑体" w:eastAsia="黑体"/>
          <w:bCs/>
          <w:kern w:val="0"/>
          <w:sz w:val="32"/>
          <w:szCs w:val="32"/>
        </w:rPr>
      </w:pPr>
      <w:r>
        <w:rPr>
          <w:rFonts w:hint="eastAsia" w:ascii="黑体" w:eastAsia="黑体"/>
          <w:bCs/>
          <w:kern w:val="0"/>
          <w:sz w:val="32"/>
          <w:szCs w:val="32"/>
        </w:rPr>
        <w:t>二、机构设置及决算单位构成</w:t>
      </w:r>
    </w:p>
    <w:p>
      <w:pPr>
        <w:widowControl/>
        <w:spacing w:line="600" w:lineRule="exact"/>
        <w:rPr>
          <w:rFonts w:hint="eastAsia" w:ascii="仿宋" w:hAnsi="仿宋"/>
          <w:color w:val="000000"/>
          <w:sz w:val="32"/>
          <w:szCs w:val="32"/>
        </w:rPr>
      </w:pPr>
      <w:r>
        <w:rPr>
          <w:rFonts w:hint="eastAsia" w:ascii="宋体"/>
          <w:bCs/>
          <w:kern w:val="0"/>
          <w:sz w:val="32"/>
          <w:szCs w:val="32"/>
        </w:rPr>
        <w:t>（一）内设机构设置。</w:t>
      </w:r>
      <w:r>
        <w:rPr>
          <w:rFonts w:ascii="仿宋" w:hAnsi="仿宋"/>
          <w:color w:val="000000"/>
          <w:sz w:val="32"/>
          <w:szCs w:val="32"/>
        </w:rPr>
        <w:t>道县高新技术产业开发区管理委员会</w:t>
      </w:r>
      <w:r>
        <w:rPr>
          <w:rFonts w:hint="eastAsia" w:ascii="宋体"/>
          <w:bCs/>
          <w:kern w:val="0"/>
          <w:sz w:val="32"/>
          <w:szCs w:val="32"/>
        </w:rPr>
        <w:t>内设机构包括：</w:t>
      </w:r>
      <w:r>
        <w:rPr>
          <w:rFonts w:ascii="仿宋" w:hAnsi="仿宋"/>
          <w:color w:val="000000"/>
          <w:sz w:val="32"/>
          <w:szCs w:val="32"/>
        </w:rPr>
        <w:t>办公室、党群工 作局，招商合作产业发展局，开发建设和应急管理生态环境局， 园区运营与投融资服务局 5 个内设机构。</w:t>
      </w:r>
    </w:p>
    <w:p>
      <w:pPr>
        <w:widowControl/>
        <w:spacing w:line="600" w:lineRule="exact"/>
        <w:rPr>
          <w:rFonts w:ascii="仿宋_GB2312" w:eastAsia="仿宋_GB2312"/>
          <w:sz w:val="28"/>
          <w:szCs w:val="32"/>
        </w:rPr>
      </w:pPr>
      <w:r>
        <w:rPr>
          <w:rFonts w:hint="eastAsia" w:ascii="宋体"/>
          <w:bCs/>
          <w:kern w:val="0"/>
          <w:sz w:val="32"/>
          <w:szCs w:val="32"/>
        </w:rPr>
        <w:t>（二）决算单位构成。</w:t>
      </w:r>
      <w:r>
        <w:rPr>
          <w:rFonts w:ascii="仿宋" w:hAnsi="仿宋"/>
          <w:color w:val="000000"/>
          <w:sz w:val="32"/>
          <w:szCs w:val="32"/>
        </w:rPr>
        <w:t>道县高新技术产业开发区管理委员会 2022 年部门决算汇总公开单位构成包括：道县高新技术产业开发区管理委员会本级。</w:t>
      </w: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sz w:val="32"/>
          <w:szCs w:val="32"/>
        </w:rPr>
        <w:sectPr>
          <w:pgSz w:w="11906" w:h="16838"/>
          <w:pgMar w:top="720" w:right="720" w:bottom="720" w:left="720" w:header="851" w:footer="992" w:gutter="0"/>
          <w:cols w:space="720" w:num="1"/>
          <w:docGrid w:type="lines" w:linePitch="312" w:charSpace="0"/>
        </w:sectPr>
      </w:pPr>
    </w:p>
    <w:tbl>
      <w:tblPr>
        <w:tblStyle w:val="8"/>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 w:val="32"/>
                <w:szCs w:val="32"/>
              </w:rPr>
            </w:pPr>
            <w:r>
              <w:rPr>
                <w:rFonts w:hint="eastAsia" w:asci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cs="宋体"/>
                <w:color w:val="000000"/>
                <w:kern w:val="0"/>
                <w:sz w:val="20"/>
                <w:szCs w:val="20"/>
              </w:rPr>
            </w:pPr>
            <w:r>
              <w:rPr>
                <w:rFonts w:hint="eastAsia" w:ascii="宋体" w:cs="宋体"/>
                <w:color w:val="000000"/>
                <w:kern w:val="0"/>
                <w:sz w:val="20"/>
                <w:szCs w:val="20"/>
              </w:rPr>
              <w:t>部门：道县高新技术产业开发区管委会</w:t>
            </w:r>
          </w:p>
        </w:tc>
        <w:tc>
          <w:tcPr>
            <w:tcW w:w="697" w:type="dxa"/>
            <w:gridSpan w:val="2"/>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0"/>
                <w:szCs w:val="20"/>
              </w:rPr>
            </w:pPr>
            <w:r>
              <w:rPr>
                <w:rFonts w:hint="eastAsia" w:ascii="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0"/>
                <w:szCs w:val="20"/>
              </w:rPr>
            </w:pPr>
            <w:r>
              <w:rPr>
                <w:rFonts w:hint="eastAsia" w:ascii="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313.07</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2"/>
              </w:rPr>
            </w:pPr>
            <w:r>
              <w:rPr>
                <w:rFonts w:hint="eastAsia" w:ascii="宋体" w:cs="宋体"/>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716.67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2"/>
              </w:rPr>
            </w:pPr>
            <w:r>
              <w:rPr>
                <w:rFonts w:hint="eastAsia" w:ascii="宋体" w:cs="宋体"/>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19,880.66</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2"/>
              </w:rPr>
            </w:pPr>
            <w:r>
              <w:rPr>
                <w:rFonts w:hint="eastAsia" w:ascii="宋体" w:cs="宋体"/>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2"/>
              </w:rPr>
            </w:pPr>
            <w:r>
              <w:rPr>
                <w:rFonts w:hint="eastAsia" w:ascii="宋体" w:cs="宋体"/>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2"/>
              </w:rPr>
            </w:pPr>
            <w:r>
              <w:rPr>
                <w:rFonts w:hint="eastAsia" w:ascii="宋体" w:cs="宋体"/>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2"/>
              </w:rPr>
            </w:pPr>
            <w:r>
              <w:rPr>
                <w:rFonts w:hint="eastAsia" w:ascii="宋体" w:cs="宋体"/>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2"/>
              </w:rPr>
            </w:pPr>
            <w:r>
              <w:rPr>
                <w:rFonts w:hint="eastAsia" w:ascii="宋体" w:cs="宋体"/>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2"/>
              </w:rPr>
            </w:pPr>
            <w:r>
              <w:rPr>
                <w:rFonts w:hint="eastAsia" w:ascii="宋体" w:cs="宋体"/>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2"/>
              </w:rPr>
            </w:pPr>
            <w:r>
              <w:rPr>
                <w:rFonts w:hint="eastAsia" w:ascii="宋体" w:cs="宋体"/>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2"/>
              </w:rPr>
            </w:pPr>
            <w:r>
              <w:rPr>
                <w:rFonts w:hint="eastAsia" w:ascii="宋体" w:cs="宋体"/>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80.00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2"/>
              </w:rPr>
            </w:pPr>
            <w:r>
              <w:rPr>
                <w:rFonts w:hint="eastAsia" w:ascii="宋体" w:cs="宋体"/>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12.60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2"/>
              </w:rPr>
            </w:pPr>
            <w:r>
              <w:rPr>
                <w:rFonts w:hint="eastAsia" w:ascii="宋体" w:cs="宋体"/>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7,331.71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103.47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12,590.05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0"/>
                <w:szCs w:val="20"/>
              </w:rPr>
            </w:pPr>
            <w:r>
              <w:rPr>
                <w:rFonts w:hint="eastAsia" w:ascii="宋体" w:cs="宋体"/>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20,193.73</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0"/>
                <w:szCs w:val="20"/>
              </w:rPr>
            </w:pPr>
            <w:r>
              <w:rPr>
                <w:rFonts w:hint="eastAsia" w:ascii="宋体" w:cs="宋体"/>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b/>
                <w:bCs/>
                <w:kern w:val="0"/>
                <w:sz w:val="22"/>
              </w:rPr>
            </w:pPr>
            <w:r>
              <w:rPr>
                <w:rFonts w:hint="eastAsia" w:ascii="宋体" w:cs="宋体"/>
                <w:color w:val="000000"/>
                <w:kern w:val="0"/>
                <w:sz w:val="22"/>
              </w:rPr>
              <w:t>20,834.50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b/>
                <w:bCs/>
                <w:kern w:val="0"/>
                <w:sz w:val="22"/>
              </w:rPr>
            </w:pPr>
            <w:r>
              <w:rPr>
                <w:rFonts w:hint="eastAsia" w:ascii="宋体" w:cs="宋体"/>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b/>
                <w:bCs/>
                <w:kern w:val="0"/>
                <w:sz w:val="22"/>
              </w:rPr>
            </w:pPr>
            <w:r>
              <w:rPr>
                <w:rFonts w:hint="eastAsia" w:ascii="宋体" w:cs="宋体"/>
                <w:color w:val="000000"/>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640.77</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宋体"/>
                <w:b/>
                <w:bCs/>
                <w:kern w:val="0"/>
                <w:sz w:val="22"/>
              </w:rPr>
            </w:pPr>
            <w:r>
              <w:rPr>
                <w:rFonts w:hint="eastAsia" w:ascii="宋体" w:cs="宋体"/>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20,834.50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b/>
                <w:bCs/>
                <w:kern w:val="0"/>
                <w:sz w:val="22"/>
              </w:rPr>
            </w:pPr>
            <w:r>
              <w:rPr>
                <w:rFonts w:hint="eastAsia" w:ascii="宋体" w:cs="宋体"/>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b/>
                <w:bCs/>
                <w:kern w:val="0"/>
                <w:sz w:val="22"/>
              </w:rPr>
            </w:pPr>
            <w:r>
              <w:rPr>
                <w:rFonts w:hint="eastAsia" w:ascii="宋体" w:cs="宋体"/>
                <w:color w:val="000000"/>
                <w:kern w:val="0"/>
                <w:sz w:val="22"/>
              </w:rPr>
              <w:t>20,834.50</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注：1.本表反映部门本年度的总收支和年末结转结余情况。</w:t>
            </w:r>
            <w:r>
              <w:rPr>
                <w:rFonts w:hint="eastAsia" w:ascii="宋体" w:cs="宋体"/>
                <w:kern w:val="0"/>
                <w:sz w:val="24"/>
                <w:szCs w:val="24"/>
              </w:rPr>
              <w:br w:type="textWrapping"/>
            </w:r>
            <w:r>
              <w:rPr>
                <w:rFonts w:hint="eastAsia" w:ascii="宋体" w:cs="宋体"/>
                <w:kern w:val="0"/>
                <w:sz w:val="24"/>
                <w:szCs w:val="24"/>
              </w:rPr>
              <w:t xml:space="preserve"> 2.本套报表金额单位转换时可能存在尾数误差。</w:t>
            </w:r>
          </w:p>
        </w:tc>
      </w:tr>
    </w:tbl>
    <w:p>
      <w:pPr>
        <w:jc w:val="center"/>
        <w:rPr>
          <w:rFonts w:ascii="黑体" w:eastAsia="黑体"/>
          <w:sz w:val="28"/>
          <w:szCs w:val="28"/>
        </w:rPr>
        <w:sectPr>
          <w:pgSz w:w="16838" w:h="11906" w:orient="landscape"/>
          <w:pgMar w:top="1797" w:right="1440" w:bottom="1797" w:left="1440" w:header="851" w:footer="992" w:gutter="0"/>
          <w:cols w:space="720" w:num="1"/>
          <w:docGrid w:type="linesAndChars" w:linePitch="312" w:charSpace="0"/>
        </w:sectPr>
      </w:pPr>
    </w:p>
    <w:tbl>
      <w:tblPr>
        <w:tblStyle w:val="8"/>
        <w:tblW w:w="15372" w:type="dxa"/>
        <w:tblInd w:w="15" w:type="dxa"/>
        <w:tblLayout w:type="autofit"/>
        <w:tblCellMar>
          <w:top w:w="0" w:type="dxa"/>
          <w:left w:w="0" w:type="dxa"/>
          <w:bottom w:w="0" w:type="dxa"/>
          <w:right w:w="0" w:type="dxa"/>
        </w:tblCellMar>
      </w:tblPr>
      <w:tblGrid>
        <w:gridCol w:w="1030"/>
        <w:gridCol w:w="36"/>
        <w:gridCol w:w="2830"/>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shd w:val="clear" w:color="auto" w:fill="auto"/>
            <w:noWrap/>
            <w:tcMar>
              <w:top w:w="15" w:type="dxa"/>
              <w:left w:w="15" w:type="dxa"/>
              <w:right w:w="15" w:type="dxa"/>
            </w:tcMar>
            <w:vAlign w:val="center"/>
          </w:tcPr>
          <w:p>
            <w:pPr>
              <w:jc w:val="center"/>
              <w:rPr>
                <w:rFonts w:ascii="华文中宋" w:eastAsia="华文中宋" w:cs="宋体"/>
                <w:color w:val="000000"/>
                <w:sz w:val="32"/>
                <w:szCs w:val="32"/>
              </w:rPr>
            </w:pPr>
            <w:r>
              <w:rPr>
                <w:rFonts w:hint="eastAsia" w:asci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right w:w="15" w:type="dxa"/>
            </w:tcMar>
            <w:vAlign w:val="center"/>
          </w:tcPr>
          <w:p>
            <w:pPr>
              <w:jc w:val="right"/>
              <w:rPr>
                <w:rFonts w:asci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right w:w="15" w:type="dxa"/>
            </w:tcMar>
            <w:vAlign w:val="center"/>
          </w:tcPr>
          <w:p>
            <w:pPr>
              <w:jc w:val="right"/>
              <w:rPr>
                <w:rFonts w:asci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right w:w="15" w:type="dxa"/>
            </w:tcMar>
            <w:vAlign w:val="center"/>
          </w:tcPr>
          <w:p>
            <w:pPr>
              <w:jc w:val="right"/>
              <w:rPr>
                <w:rFonts w:asci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right w:w="15" w:type="dxa"/>
            </w:tcMar>
            <w:vAlign w:val="center"/>
          </w:tcPr>
          <w:p>
            <w:pPr>
              <w:jc w:val="right"/>
              <w:rPr>
                <w:rFonts w:asci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right w:w="15" w:type="dxa"/>
            </w:tcMar>
            <w:vAlign w:val="center"/>
          </w:tcPr>
          <w:p>
            <w:pPr>
              <w:jc w:val="right"/>
              <w:rPr>
                <w:rFonts w:asci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right w:w="15" w:type="dxa"/>
            </w:tcMar>
            <w:vAlign w:val="center"/>
          </w:tcPr>
          <w:p>
            <w:pPr>
              <w:jc w:val="right"/>
              <w:rPr>
                <w:rFonts w:asci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right w:w="15" w:type="dxa"/>
            </w:tcMar>
            <w:vAlign w:val="center"/>
          </w:tcPr>
          <w:p>
            <w:pPr>
              <w:jc w:val="right"/>
              <w:rPr>
                <w:rFonts w:asci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right w:w="15" w:type="dxa"/>
            </w:tcMar>
            <w:vAlign w:val="center"/>
          </w:tcPr>
          <w:p>
            <w:pPr>
              <w:jc w:val="right"/>
              <w:rPr>
                <w:rFonts w:asci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right w:w="15" w:type="dxa"/>
            </w:tcMar>
            <w:vAlign w:val="center"/>
          </w:tcPr>
          <w:p>
            <w:pPr>
              <w:jc w:val="right"/>
              <w:rPr>
                <w:rFonts w:asci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right w:w="15" w:type="dxa"/>
            </w:tcMar>
            <w:vAlign w:val="center"/>
          </w:tcPr>
          <w:p>
            <w:pPr>
              <w:jc w:val="right"/>
              <w:rPr>
                <w:rFonts w:ascii="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right w:w="15" w:type="dxa"/>
            </w:tcMar>
            <w:vAlign w:val="center"/>
          </w:tcPr>
          <w:p>
            <w:pPr>
              <w:rPr>
                <w:rFonts w:ascii="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right w:w="15" w:type="dxa"/>
            </w:tcMar>
            <w:vAlign w:val="center"/>
          </w:tcPr>
          <w:p>
            <w:pPr>
              <w:jc w:val="right"/>
              <w:rPr>
                <w:rFonts w:ascii="宋体" w:cs="宋体"/>
                <w:sz w:val="24"/>
                <w:szCs w:val="24"/>
              </w:rPr>
            </w:pPr>
            <w:r>
              <w:rPr>
                <w:rFonts w:hint="eastAsia" w:ascii="宋体" w:cs="宋体"/>
                <w:color w:val="000000"/>
                <w:kern w:val="0"/>
                <w:sz w:val="20"/>
                <w:szCs w:val="20"/>
              </w:rPr>
              <w:t>道县高新技术产业开发区管委会</w:t>
            </w:r>
            <w:r>
              <w:rPr>
                <w:rFonts w:hint="eastAsia"/>
              </w:rPr>
              <w:t>　</w:t>
            </w:r>
          </w:p>
        </w:tc>
        <w:tc>
          <w:tcPr>
            <w:tcW w:w="0" w:type="auto"/>
            <w:tcBorders>
              <w:top w:val="nil"/>
              <w:left w:val="nil"/>
              <w:bottom w:val="nil"/>
              <w:right w:val="nil"/>
            </w:tcBorders>
            <w:shd w:val="clear" w:color="000000" w:fill="FFFFFF"/>
            <w:noWrap/>
            <w:tcMar>
              <w:top w:w="15" w:type="dxa"/>
              <w:left w:w="15" w:type="dxa"/>
              <w:right w:w="15" w:type="dxa"/>
            </w:tcMar>
            <w:vAlign w:val="center"/>
          </w:tcPr>
          <w:p>
            <w:pPr>
              <w:jc w:val="right"/>
              <w:rPr>
                <w:rFonts w:asci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right w:w="15" w:type="dxa"/>
            </w:tcMar>
            <w:vAlign w:val="center"/>
          </w:tcPr>
          <w:p>
            <w:pPr>
              <w:jc w:val="right"/>
              <w:rPr>
                <w:rFonts w:asci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right w:w="15" w:type="dxa"/>
            </w:tcMar>
            <w:vAlign w:val="center"/>
          </w:tcPr>
          <w:p>
            <w:pPr>
              <w:jc w:val="center"/>
              <w:rPr>
                <w:rFonts w:ascii="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right w:w="15" w:type="dxa"/>
            </w:tcMar>
            <w:vAlign w:val="center"/>
          </w:tcPr>
          <w:p>
            <w:pPr>
              <w:jc w:val="right"/>
              <w:rPr>
                <w:rFonts w:asci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right w:w="15" w:type="dxa"/>
            </w:tcMar>
            <w:vAlign w:val="center"/>
          </w:tcPr>
          <w:p>
            <w:pPr>
              <w:jc w:val="right"/>
              <w:rPr>
                <w:rFonts w:asci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right w:w="15" w:type="dxa"/>
            </w:tcMar>
            <w:vAlign w:val="center"/>
          </w:tcPr>
          <w:p>
            <w:pPr>
              <w:jc w:val="right"/>
              <w:rPr>
                <w:rFonts w:ascii="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right w:w="15" w:type="dxa"/>
            </w:tcMar>
            <w:vAlign w:val="center"/>
          </w:tcPr>
          <w:p>
            <w:pPr>
              <w:jc w:val="right"/>
              <w:rPr>
                <w:rFonts w:ascii="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jc w:val="center"/>
              <w:rPr>
                <w:rFonts w:ascii="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jc w:val="center"/>
              <w:rPr>
                <w:rFonts w:ascii="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jc w:val="center"/>
              <w:rPr>
                <w:rFonts w:ascii="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jc w:val="center"/>
              <w:rPr>
                <w:rFonts w:ascii="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jc w:val="center"/>
              <w:rPr>
                <w:rFonts w:ascii="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jc w:val="center"/>
              <w:rPr>
                <w:rFonts w:ascii="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jc w:val="center"/>
              <w:rPr>
                <w:rFonts w:ascii="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jc w:val="center"/>
              <w:rPr>
                <w:rFonts w:ascii="宋体" w:cs="宋体"/>
                <w:sz w:val="24"/>
                <w:szCs w:val="24"/>
              </w:rPr>
            </w:pPr>
            <w:r>
              <w:rPr>
                <w:rFonts w:hint="eastAsia"/>
              </w:rPr>
              <w:t>功能分类科目编码</w:t>
            </w:r>
          </w:p>
        </w:tc>
        <w:tc>
          <w:tcPr>
            <w:tcW w:w="1866" w:type="dxa"/>
            <w:vMerge w:val="restart"/>
            <w:tcBorders>
              <w:top w:val="nil"/>
              <w:left w:val="single" w:color="auto" w:sz="4" w:space="0"/>
              <w:bottom w:val="single" w:color="auto" w:sz="4" w:space="0"/>
              <w:right w:val="single" w:color="auto" w:sz="4" w:space="0"/>
            </w:tcBorders>
            <w:shd w:val="clear" w:color="000000" w:fill="FFFFFF"/>
            <w:tcMar>
              <w:top w:w="15" w:type="dxa"/>
              <w:left w:w="15" w:type="dxa"/>
              <w:right w:w="15" w:type="dxa"/>
            </w:tcMar>
            <w:vAlign w:val="center"/>
          </w:tcPr>
          <w:p>
            <w:pPr>
              <w:jc w:val="center"/>
              <w:rPr>
                <w:rFonts w:ascii="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nil"/>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center"/>
              <w:textAlignment w:val="center"/>
              <w:rPr>
                <w:rFonts w:ascii="宋体" w:cs="宋体"/>
                <w:sz w:val="24"/>
                <w:szCs w:val="24"/>
              </w:rPr>
            </w:pPr>
            <w:r>
              <w:rPr>
                <w:rFonts w:hint="eastAsia" w:ascii="宋体" w:cs="宋体"/>
                <w:color w:val="000000"/>
                <w:kern w:val="0"/>
                <w:sz w:val="22"/>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center"/>
              <w:textAlignment w:val="center"/>
              <w:rPr>
                <w:rFonts w:ascii="宋体" w:cs="宋体"/>
                <w:sz w:val="24"/>
                <w:szCs w:val="24"/>
              </w:rPr>
            </w:pPr>
            <w:r>
              <w:rPr>
                <w:rFonts w:hint="eastAsia" w:ascii="宋体" w:cs="宋体"/>
                <w:color w:val="000000"/>
                <w:kern w:val="0"/>
                <w:sz w:val="22"/>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center"/>
              <w:textAlignment w:val="center"/>
              <w:rPr>
                <w:rFonts w:ascii="宋体" w:cs="宋体"/>
                <w:sz w:val="24"/>
                <w:szCs w:val="24"/>
              </w:rPr>
            </w:pPr>
            <w:r>
              <w:rPr>
                <w:rFonts w:hint="eastAsia" w:ascii="宋体" w:cs="宋体"/>
                <w:color w:val="000000"/>
                <w:kern w:val="0"/>
                <w:sz w:val="22"/>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center"/>
              <w:textAlignment w:val="center"/>
              <w:rPr>
                <w:rFonts w:ascii="宋体" w:cs="宋体"/>
                <w:sz w:val="24"/>
                <w:szCs w:val="24"/>
              </w:rPr>
            </w:pPr>
            <w:r>
              <w:rPr>
                <w:rFonts w:hint="eastAsia" w:ascii="宋体" w:cs="宋体"/>
                <w:color w:val="000000"/>
                <w:kern w:val="0"/>
                <w:sz w:val="22"/>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center"/>
              <w:textAlignment w:val="center"/>
              <w:rPr>
                <w:rFonts w:ascii="宋体" w:cs="宋体"/>
                <w:sz w:val="24"/>
                <w:szCs w:val="24"/>
              </w:rPr>
            </w:pPr>
            <w:r>
              <w:rPr>
                <w:rFonts w:hint="eastAsia" w:ascii="宋体" w:cs="宋体"/>
                <w:color w:val="000000"/>
                <w:kern w:val="0"/>
                <w:sz w:val="22"/>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center"/>
              <w:textAlignment w:val="center"/>
              <w:rPr>
                <w:rFonts w:ascii="宋体" w:cs="宋体"/>
                <w:sz w:val="24"/>
                <w:szCs w:val="24"/>
              </w:rPr>
            </w:pPr>
            <w:r>
              <w:rPr>
                <w:rFonts w:hint="eastAsia" w:ascii="宋体" w:cs="宋体"/>
                <w:color w:val="000000"/>
                <w:kern w:val="0"/>
                <w:sz w:val="22"/>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center"/>
              <w:textAlignment w:val="center"/>
              <w:rPr>
                <w:rFonts w:ascii="宋体" w:cs="宋体"/>
                <w:sz w:val="24"/>
                <w:szCs w:val="24"/>
              </w:rPr>
            </w:pPr>
            <w:r>
              <w:rPr>
                <w:rFonts w:hint="eastAsia" w:ascii="宋体" w:cs="宋体"/>
                <w:color w:val="000000"/>
                <w:kern w:val="0"/>
                <w:sz w:val="22"/>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center"/>
              <w:textAlignment w:val="center"/>
              <w:rPr>
                <w:rFonts w:ascii="宋体" w:cs="宋体"/>
                <w:sz w:val="24"/>
                <w:szCs w:val="24"/>
              </w:rPr>
            </w:pPr>
            <w:r>
              <w:rPr>
                <w:rFonts w:hint="eastAsia" w:ascii="宋体" w:cs="宋体"/>
                <w:color w:val="000000"/>
                <w:kern w:val="0"/>
                <w:sz w:val="22"/>
              </w:rPr>
              <w:t>7</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center"/>
              <w:textAlignment w:val="center"/>
              <w:rPr>
                <w:rFonts w:ascii="宋体" w:cs="宋体"/>
                <w:sz w:val="24"/>
                <w:szCs w:val="24"/>
              </w:rPr>
            </w:pPr>
            <w:r>
              <w:rPr>
                <w:rFonts w:hint="eastAsia" w:ascii="宋体" w:cs="宋体"/>
                <w:color w:val="000000"/>
                <w:kern w:val="0"/>
                <w:sz w:val="22"/>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cs="宋体"/>
                <w:sz w:val="24"/>
                <w:szCs w:val="24"/>
              </w:rPr>
            </w:pPr>
            <w:r>
              <w:rPr>
                <w:rFonts w:hint="eastAsia" w:ascii="宋体" w:cs="宋体"/>
                <w:b/>
                <w:bCs/>
                <w:color w:val="000000"/>
                <w:kern w:val="0"/>
                <w:sz w:val="22"/>
              </w:rPr>
              <w:t>20,193.73</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cs="宋体"/>
                <w:sz w:val="24"/>
                <w:szCs w:val="24"/>
              </w:rPr>
            </w:pPr>
            <w:r>
              <w:rPr>
                <w:rFonts w:hint="eastAsia" w:ascii="宋体" w:cs="宋体"/>
                <w:b/>
                <w:bCs/>
                <w:color w:val="000000"/>
                <w:kern w:val="0"/>
                <w:sz w:val="22"/>
              </w:rPr>
              <w:t>20,193.73</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rPr>
                <w:rFonts w:ascii="宋体" w:cs="宋体"/>
                <w:sz w:val="24"/>
                <w:szCs w:val="24"/>
              </w:rPr>
            </w:pPr>
            <w:r>
              <w:rPr>
                <w:rFonts w:hint="eastAsia" w:ascii="宋体" w:cs="宋体"/>
                <w:color w:val="000000"/>
                <w:kern w:val="0"/>
                <w:sz w:val="22"/>
              </w:rPr>
              <w:t>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rPr>
                <w:rFonts w:ascii="宋体" w:cs="宋体"/>
                <w:sz w:val="24"/>
                <w:szCs w:val="24"/>
              </w:rPr>
            </w:pPr>
            <w:r>
              <w:rPr>
                <w:rFonts w:hint="eastAsia" w:ascii="宋体" w:cs="宋体"/>
                <w:color w:val="000000"/>
                <w:kern w:val="0"/>
                <w:sz w:val="22"/>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cs="宋体"/>
                <w:sz w:val="24"/>
                <w:szCs w:val="24"/>
              </w:rPr>
            </w:pPr>
            <w:r>
              <w:rPr>
                <w:rFonts w:hint="eastAsia" w:ascii="宋体" w:cs="宋体"/>
                <w:color w:val="000000"/>
                <w:kern w:val="0"/>
                <w:sz w:val="22"/>
              </w:rPr>
              <w:t>117.00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cs="宋体"/>
                <w:sz w:val="24"/>
                <w:szCs w:val="24"/>
              </w:rPr>
            </w:pPr>
            <w:r>
              <w:rPr>
                <w:rFonts w:hint="eastAsia" w:ascii="宋体" w:cs="宋体"/>
                <w:color w:val="000000"/>
                <w:kern w:val="0"/>
                <w:sz w:val="22"/>
              </w:rPr>
              <w:t>117.00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rPr>
                <w:rFonts w:ascii="宋体" w:cs="宋体"/>
                <w:sz w:val="24"/>
                <w:szCs w:val="24"/>
              </w:rPr>
            </w:pPr>
            <w:r>
              <w:rPr>
                <w:rFonts w:hint="eastAsia" w:ascii="宋体" w:cs="宋体"/>
                <w:color w:val="000000"/>
                <w:kern w:val="0"/>
                <w:sz w:val="22"/>
              </w:rPr>
              <w:t>20104</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rPr>
                <w:rFonts w:ascii="宋体" w:cs="宋体"/>
                <w:sz w:val="24"/>
                <w:szCs w:val="24"/>
              </w:rPr>
            </w:pPr>
            <w:r>
              <w:rPr>
                <w:rFonts w:hint="eastAsia" w:ascii="宋体" w:cs="宋体"/>
                <w:color w:val="000000"/>
                <w:kern w:val="0"/>
                <w:sz w:val="22"/>
              </w:rPr>
              <w:t>发展与改革事务</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华文中宋" w:eastAsia="华文中宋" w:cs="宋体"/>
                <w:sz w:val="24"/>
                <w:szCs w:val="24"/>
              </w:rPr>
            </w:pPr>
            <w:r>
              <w:rPr>
                <w:rFonts w:hint="eastAsia" w:ascii="宋体" w:cs="宋体"/>
                <w:color w:val="000000"/>
                <w:kern w:val="0"/>
                <w:sz w:val="22"/>
              </w:rPr>
              <w:t>97.00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cs="宋体"/>
                <w:sz w:val="24"/>
                <w:szCs w:val="24"/>
              </w:rPr>
            </w:pPr>
            <w:r>
              <w:rPr>
                <w:rFonts w:hint="eastAsia" w:ascii="宋体" w:cs="宋体"/>
                <w:color w:val="000000"/>
                <w:kern w:val="0"/>
                <w:sz w:val="22"/>
              </w:rPr>
              <w:t>97.00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rPr>
                <w:rFonts w:ascii="宋体" w:cs="宋体"/>
                <w:sz w:val="24"/>
                <w:szCs w:val="24"/>
              </w:rPr>
            </w:pPr>
            <w:r>
              <w:rPr>
                <w:rFonts w:hint="eastAsia" w:ascii="宋体" w:cs="宋体"/>
                <w:color w:val="000000"/>
                <w:kern w:val="0"/>
                <w:sz w:val="22"/>
              </w:rPr>
              <w:t>2010499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rPr>
                <w:rFonts w:ascii="宋体" w:cs="宋体"/>
                <w:sz w:val="24"/>
                <w:szCs w:val="24"/>
              </w:rPr>
            </w:pPr>
            <w:r>
              <w:rPr>
                <w:rFonts w:hint="eastAsia" w:ascii="宋体" w:cs="宋体"/>
                <w:color w:val="000000"/>
                <w:kern w:val="0"/>
                <w:sz w:val="22"/>
              </w:rPr>
              <w:t xml:space="preserve">  其他发展与改革事务支出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cs="宋体"/>
                <w:sz w:val="24"/>
                <w:szCs w:val="24"/>
              </w:rPr>
            </w:pPr>
            <w:r>
              <w:rPr>
                <w:rFonts w:hint="eastAsia" w:ascii="宋体" w:cs="宋体"/>
                <w:color w:val="000000"/>
                <w:kern w:val="0"/>
                <w:sz w:val="22"/>
              </w:rPr>
              <w:t>97.00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cs="宋体"/>
                <w:sz w:val="24"/>
                <w:szCs w:val="24"/>
              </w:rPr>
            </w:pPr>
            <w:r>
              <w:rPr>
                <w:rFonts w:hint="eastAsia" w:ascii="宋体" w:cs="宋体"/>
                <w:color w:val="000000"/>
                <w:kern w:val="0"/>
                <w:sz w:val="22"/>
              </w:rPr>
              <w:t>97.00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rPr>
                <w:rFonts w:ascii="宋体" w:cs="宋体"/>
                <w:sz w:val="24"/>
                <w:szCs w:val="24"/>
              </w:rPr>
            </w:pPr>
            <w:r>
              <w:rPr>
                <w:rFonts w:hint="eastAsia" w:ascii="宋体" w:cs="宋体"/>
                <w:color w:val="000000"/>
                <w:kern w:val="0"/>
                <w:sz w:val="22"/>
              </w:rPr>
              <w:t>20105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rPr>
                <w:rFonts w:ascii="宋体" w:cs="宋体"/>
                <w:sz w:val="24"/>
                <w:szCs w:val="24"/>
              </w:rPr>
            </w:pPr>
            <w:r>
              <w:rPr>
                <w:rFonts w:hint="eastAsia" w:ascii="宋体" w:cs="宋体"/>
                <w:color w:val="000000"/>
                <w:kern w:val="0"/>
                <w:sz w:val="22"/>
              </w:rPr>
              <w:t>统计信息事务</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cs="宋体"/>
                <w:sz w:val="24"/>
                <w:szCs w:val="24"/>
              </w:rPr>
            </w:pPr>
            <w:r>
              <w:rPr>
                <w:rFonts w:hint="eastAsia" w:ascii="宋体" w:cs="宋体"/>
                <w:color w:val="000000"/>
                <w:kern w:val="0"/>
                <w:sz w:val="22"/>
              </w:rPr>
              <w:t>20.00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cs="宋体"/>
                <w:sz w:val="24"/>
                <w:szCs w:val="24"/>
              </w:rPr>
            </w:pPr>
            <w:r>
              <w:rPr>
                <w:rFonts w:hint="eastAsia" w:ascii="宋体" w:cs="宋体"/>
                <w:color w:val="000000"/>
                <w:kern w:val="0"/>
                <w:sz w:val="22"/>
              </w:rPr>
              <w:t>20.00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rPr>
                <w:rFonts w:ascii="宋体" w:cs="宋体"/>
                <w:sz w:val="24"/>
                <w:szCs w:val="24"/>
              </w:rPr>
            </w:pPr>
            <w:r>
              <w:rPr>
                <w:rFonts w:hint="eastAsia" w:ascii="宋体" w:cs="宋体"/>
                <w:color w:val="000000"/>
                <w:kern w:val="0"/>
                <w:sz w:val="22"/>
              </w:rPr>
              <w:t>2010599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rPr>
                <w:rFonts w:ascii="宋体" w:cs="宋体"/>
                <w:sz w:val="24"/>
                <w:szCs w:val="24"/>
              </w:rPr>
            </w:pPr>
            <w:r>
              <w:rPr>
                <w:rFonts w:hint="eastAsia" w:ascii="宋体" w:cs="宋体"/>
                <w:color w:val="000000"/>
                <w:kern w:val="0"/>
                <w:sz w:val="22"/>
              </w:rPr>
              <w:t xml:space="preserve">  其他统计信息事务支出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cs="宋体"/>
                <w:sz w:val="24"/>
                <w:szCs w:val="24"/>
              </w:rPr>
            </w:pPr>
            <w:r>
              <w:rPr>
                <w:rFonts w:hint="eastAsia" w:ascii="宋体" w:cs="宋体"/>
                <w:color w:val="000000"/>
                <w:kern w:val="0"/>
                <w:sz w:val="22"/>
              </w:rPr>
              <w:t>20.00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cs="宋体"/>
                <w:sz w:val="24"/>
                <w:szCs w:val="24"/>
              </w:rPr>
            </w:pPr>
            <w:r>
              <w:rPr>
                <w:rFonts w:hint="eastAsia" w:ascii="宋体" w:cs="宋体"/>
                <w:color w:val="000000"/>
                <w:kern w:val="0"/>
                <w:sz w:val="22"/>
              </w:rPr>
              <w:t>20.00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206</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科学技术支出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80.00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80.00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20605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科技条件与服务</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25.00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25.00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2060599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 xml:space="preserve">  其他科技条件与服务支出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25.00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25.00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20699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其他科学技术支出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55.00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55.00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2069999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 xml:space="preserve">  其他科学技术支出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55.00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55.00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207</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文化旅游体育与传媒支出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12.60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12.60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20701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文化和旅游</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12.60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12.60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2070199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 xml:space="preserve">  其他文化和旅游支出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12.60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12.60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212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7,290.61</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7,290.61</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21208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7,290.61</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7,290.61</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2120801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 xml:space="preserve">  征地和拆迁补偿支出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7,002.26</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7,002.26</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2120802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 xml:space="preserve">  土地开发支出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274.00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274.00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2120899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 xml:space="preserve">  其他国有土地使用权出让收入安排的支出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14.35</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14.35</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215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资源勘探工业信息等支出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103.47</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103.47</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21502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制造业</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100.00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100.00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2150299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 xml:space="preserve">  其他制造业支出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100.00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100.00</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21505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工业和信息产业监管</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3.47</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3.47</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2150501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3.47</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3.47</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229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其他支出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12,590.05</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12,590.05</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22904</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其他政府性基金及对应专项债务收入安排的支出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12,590.05</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12,590.05</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2290402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right w:w="15" w:type="dxa"/>
            </w:tcMar>
            <w:vAlign w:val="center"/>
          </w:tcPr>
          <w:p>
            <w:pPr>
              <w:widowControl/>
              <w:jc w:val="left"/>
              <w:textAlignment w:val="center"/>
            </w:pPr>
            <w:r>
              <w:rPr>
                <w:rFonts w:hint="eastAsia" w:ascii="宋体" w:cs="宋体"/>
                <w:color w:val="000000"/>
                <w:kern w:val="0"/>
                <w:sz w:val="22"/>
              </w:rPr>
              <w:t xml:space="preserve">  其他地方自行试点项目收益专项债券收入安排的支出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12,590.05</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pPr>
            <w:r>
              <w:rPr>
                <w:rFonts w:hint="eastAsia" w:ascii="宋体" w:cs="宋体"/>
                <w:color w:val="000000"/>
                <w:kern w:val="0"/>
                <w:sz w:val="22"/>
              </w:rPr>
              <w:t>12,590.05</w:t>
            </w: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shd w:val="clear" w:color="auto" w:fill="auto"/>
            <w:tcMar>
              <w:top w:w="15" w:type="dxa"/>
              <w:left w:w="15" w:type="dxa"/>
              <w:right w:w="15" w:type="dxa"/>
            </w:tcMar>
            <w:vAlign w:val="center"/>
          </w:tcPr>
          <w:p>
            <w:pPr>
              <w:rPr>
                <w:rFonts w:ascii="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tbl>
      <w:tblPr>
        <w:tblStyle w:val="8"/>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 w:val="32"/>
                <w:szCs w:val="32"/>
              </w:rPr>
            </w:pPr>
            <w:r>
              <w:rPr>
                <w:rFonts w:hint="eastAsia" w:asci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left"/>
              <w:rPr>
                <w:rFonts w:ascii="宋体" w:cs="宋体"/>
                <w:color w:val="000000"/>
                <w:kern w:val="0"/>
                <w:sz w:val="20"/>
                <w:szCs w:val="20"/>
              </w:rPr>
            </w:pPr>
            <w:r>
              <w:rPr>
                <w:rFonts w:hint="eastAsia" w:ascii="宋体" w:cs="宋体"/>
                <w:color w:val="000000"/>
                <w:kern w:val="0"/>
                <w:sz w:val="20"/>
                <w:szCs w:val="20"/>
              </w:rPr>
              <w:t>部门：道县高新技术产业开发区管委会</w:t>
            </w:r>
          </w:p>
        </w:tc>
        <w:tc>
          <w:tcPr>
            <w:tcW w:w="222"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cs="宋体"/>
                <w:color w:val="000000"/>
                <w:kern w:val="0"/>
                <w:sz w:val="20"/>
                <w:szCs w:val="20"/>
              </w:rPr>
            </w:pPr>
            <w:r>
              <w:rPr>
                <w:rFonts w:hint="eastAsia" w:ascii="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宋体"/>
                <w:kern w:val="0"/>
                <w:sz w:val="24"/>
                <w:szCs w:val="24"/>
              </w:rPr>
            </w:pPr>
            <w:r>
              <w:rPr>
                <w:rFonts w:hint="eastAsia" w:ascii="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tc>
        <w:tc>
          <w:tcPr>
            <w:tcW w:w="1679" w:type="dxa"/>
            <w:vMerge w:val="continue"/>
            <w:tcBorders>
              <w:top w:val="single" w:color="auto" w:sz="4" w:space="0"/>
              <w:left w:val="single" w:color="auto" w:sz="4" w:space="0"/>
              <w:bottom w:val="single" w:color="auto" w:sz="4" w:space="0"/>
              <w:right w:val="single" w:color="auto" w:sz="4" w:space="0"/>
            </w:tcBorders>
            <w:vAlign w:val="center"/>
          </w:tcPr>
          <w:p/>
        </w:tc>
        <w:tc>
          <w:tcPr>
            <w:tcW w:w="1679" w:type="dxa"/>
            <w:vMerge w:val="continue"/>
            <w:tcBorders>
              <w:top w:val="single" w:color="auto" w:sz="4" w:space="0"/>
              <w:left w:val="single" w:color="auto" w:sz="4" w:space="0"/>
              <w:bottom w:val="single" w:color="auto" w:sz="4" w:space="0"/>
              <w:right w:val="single" w:color="auto" w:sz="4" w:space="0"/>
            </w:tcBorders>
            <w:vAlign w:val="center"/>
          </w:tcPr>
          <w:p/>
        </w:tc>
        <w:tc>
          <w:tcPr>
            <w:tcW w:w="1679" w:type="dxa"/>
            <w:vMerge w:val="continue"/>
            <w:tcBorders>
              <w:top w:val="single" w:color="auto" w:sz="4" w:space="0"/>
              <w:left w:val="single" w:color="auto" w:sz="4" w:space="0"/>
              <w:bottom w:val="single" w:color="auto" w:sz="4" w:space="0"/>
              <w:right w:val="single" w:color="auto" w:sz="4" w:space="0"/>
            </w:tcBorders>
            <w:vAlign w:val="center"/>
          </w:tcPr>
          <w:p/>
        </w:tc>
        <w:tc>
          <w:tcPr>
            <w:tcW w:w="1679" w:type="dxa"/>
            <w:vMerge w:val="continue"/>
            <w:tcBorders>
              <w:top w:val="single" w:color="auto" w:sz="4" w:space="0"/>
              <w:left w:val="single" w:color="auto" w:sz="4" w:space="0"/>
              <w:bottom w:val="single" w:color="auto" w:sz="4" w:space="0"/>
              <w:right w:val="single" w:color="auto" w:sz="4" w:space="0"/>
            </w:tcBorders>
            <w:vAlign w:val="center"/>
          </w:tcPr>
          <w:p/>
        </w:tc>
        <w:tc>
          <w:tcPr>
            <w:tcW w:w="2308"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411" w:type="dxa"/>
            <w:vMerge w:val="continue"/>
            <w:tcBorders>
              <w:top w:val="nil"/>
              <w:left w:val="single" w:color="auto" w:sz="4" w:space="0"/>
              <w:bottom w:val="single" w:color="auto" w:sz="4" w:space="0"/>
              <w:right w:val="single" w:color="auto" w:sz="4" w:space="0"/>
            </w:tcBorders>
            <w:vAlign w:val="center"/>
          </w:tcPr>
          <w:p/>
        </w:tc>
        <w:tc>
          <w:tcPr>
            <w:tcW w:w="1646" w:type="dxa"/>
            <w:vMerge w:val="continue"/>
            <w:tcBorders>
              <w:top w:val="single" w:color="auto" w:sz="4" w:space="0"/>
              <w:left w:val="single" w:color="auto" w:sz="4" w:space="0"/>
              <w:bottom w:val="single" w:color="auto" w:sz="4" w:space="0"/>
              <w:right w:val="single" w:color="auto" w:sz="4" w:space="0"/>
            </w:tcBorders>
            <w:vAlign w:val="center"/>
          </w:tcPr>
          <w:p/>
        </w:tc>
        <w:tc>
          <w:tcPr>
            <w:tcW w:w="1679" w:type="dxa"/>
            <w:vMerge w:val="continue"/>
            <w:tcBorders>
              <w:top w:val="single" w:color="auto" w:sz="4" w:space="0"/>
              <w:left w:val="single" w:color="auto" w:sz="4" w:space="0"/>
              <w:bottom w:val="single" w:color="auto" w:sz="4" w:space="0"/>
              <w:right w:val="single" w:color="auto" w:sz="4" w:space="0"/>
            </w:tcBorders>
            <w:vAlign w:val="center"/>
          </w:tcPr>
          <w:p/>
        </w:tc>
        <w:tc>
          <w:tcPr>
            <w:tcW w:w="1679" w:type="dxa"/>
            <w:vMerge w:val="continue"/>
            <w:tcBorders>
              <w:top w:val="single" w:color="auto" w:sz="4" w:space="0"/>
              <w:left w:val="single" w:color="auto" w:sz="4" w:space="0"/>
              <w:bottom w:val="single" w:color="auto" w:sz="4" w:space="0"/>
              <w:right w:val="single" w:color="auto" w:sz="4" w:space="0"/>
            </w:tcBorders>
            <w:vAlign w:val="center"/>
          </w:tcPr>
          <w:p/>
        </w:tc>
        <w:tc>
          <w:tcPr>
            <w:tcW w:w="1679" w:type="dxa"/>
            <w:vMerge w:val="continue"/>
            <w:tcBorders>
              <w:top w:val="single" w:color="auto" w:sz="4" w:space="0"/>
              <w:left w:val="single" w:color="auto" w:sz="4" w:space="0"/>
              <w:bottom w:val="single" w:color="auto" w:sz="4" w:space="0"/>
              <w:right w:val="single" w:color="auto" w:sz="4" w:space="0"/>
            </w:tcBorders>
            <w:vAlign w:val="center"/>
          </w:tcPr>
          <w:p/>
        </w:tc>
        <w:tc>
          <w:tcPr>
            <w:tcW w:w="1679" w:type="dxa"/>
            <w:vMerge w:val="continue"/>
            <w:tcBorders>
              <w:top w:val="single" w:color="auto" w:sz="4" w:space="0"/>
              <w:left w:val="single" w:color="auto" w:sz="4" w:space="0"/>
              <w:bottom w:val="single" w:color="auto" w:sz="4" w:space="0"/>
              <w:right w:val="single" w:color="auto" w:sz="4" w:space="0"/>
            </w:tcBorders>
            <w:vAlign w:val="center"/>
          </w:tcPr>
          <w:p/>
        </w:tc>
        <w:tc>
          <w:tcPr>
            <w:tcW w:w="2308"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b/>
                <w:bCs/>
                <w:color w:val="000000"/>
                <w:kern w:val="0"/>
                <w:sz w:val="22"/>
              </w:rPr>
              <w:t>20,834.50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b/>
                <w:bCs/>
                <w:color w:val="000000"/>
                <w:kern w:val="0"/>
                <w:sz w:val="22"/>
              </w:rPr>
              <w:t>733.44</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b/>
                <w:bCs/>
                <w:color w:val="000000"/>
                <w:kern w:val="0"/>
                <w:sz w:val="22"/>
              </w:rPr>
              <w:t>20,101.06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716.67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599.67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117.00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20103</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599.67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599.67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2010399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599.67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599.67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20104</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发展与改革事务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97.00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97.00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2010499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 xml:space="preserve">  其他发展与改革事务支出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97.00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97.00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20105</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统计信息事务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2010599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 xml:space="preserve">  其他统计信息事务支出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206</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科学技术支出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80.00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80.00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20605</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科技条件与服务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25.00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25.00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2060599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 xml:space="preserve">  其他科技条件与服务支出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25.00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25.00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20699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其他科学技术支出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55.00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55.00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2069999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 xml:space="preserve">  其他科学技术支出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55.00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55.00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207</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文化旅游体育与传媒支出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12.60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12.60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20701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文化和旅游</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12.60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12.60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2070199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 xml:space="preserve">  其他文化和旅游支出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12.60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12.60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212</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7,331.71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7,331.71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21208</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7,331.71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7,331.71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2120801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7,002.26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7,002.26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2120802</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 xml:space="preserve">  土地开发支出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274.00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274.00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2120805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 xml:space="preserve">  补助被征地农民支出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41.10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41.10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2120899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 xml:space="preserve">  其他国有土地使用权出让收入安排的支出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14.35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14.35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215</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资源勘探工业信息等支出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103.47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3.47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21502</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制造业</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2150299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 xml:space="preserve">  其他制造业支出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21505</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工业和信息产业监管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3.47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3.47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2150501</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3.47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3.47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229</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其他支出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12,590.05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117.71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12,472.35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22904</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其他政府性基金及对应专项债务收入安排的支出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12,590.05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117.71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12,472.35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2290402</w:t>
            </w:r>
          </w:p>
        </w:tc>
        <w:tc>
          <w:tcPr>
            <w:tcW w:w="2437"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宋体"/>
                <w:kern w:val="0"/>
                <w:sz w:val="24"/>
                <w:szCs w:val="24"/>
              </w:rPr>
            </w:pPr>
            <w:r>
              <w:rPr>
                <w:rFonts w:hint="eastAsia" w:ascii="宋体" w:cs="宋体"/>
                <w:color w:val="000000"/>
                <w:kern w:val="0"/>
                <w:sz w:val="22"/>
              </w:rPr>
              <w:t xml:space="preserve">  其他地方自行试点项目收益专项债券收入安排的支出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12,590.05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117.71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4"/>
                <w:szCs w:val="24"/>
              </w:rPr>
            </w:pPr>
            <w:r>
              <w:rPr>
                <w:rFonts w:hint="eastAsia" w:ascii="宋体" w:cs="宋体"/>
                <w:color w:val="000000"/>
                <w:kern w:val="0"/>
                <w:sz w:val="22"/>
              </w:rPr>
              <w:t>12,472.35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tbl>
      <w:tblPr>
        <w:tblStyle w:val="8"/>
        <w:tblW w:w="15521" w:type="dxa"/>
        <w:tblInd w:w="93" w:type="dxa"/>
        <w:tblLayout w:type="autofit"/>
        <w:tblCellMar>
          <w:top w:w="0" w:type="dxa"/>
          <w:left w:w="108" w:type="dxa"/>
          <w:bottom w:w="0" w:type="dxa"/>
          <w:right w:w="108" w:type="dxa"/>
        </w:tblCellMar>
      </w:tblPr>
      <w:tblGrid>
        <w:gridCol w:w="3595"/>
        <w:gridCol w:w="436"/>
        <w:gridCol w:w="1206"/>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 w:val="32"/>
                <w:szCs w:val="32"/>
              </w:rPr>
            </w:pPr>
            <w:r>
              <w:rPr>
                <w:rFonts w:hint="eastAsia" w:asci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cs="宋体"/>
                <w:color w:val="000000"/>
                <w:kern w:val="0"/>
                <w:sz w:val="20"/>
                <w:szCs w:val="20"/>
              </w:rPr>
            </w:pPr>
            <w:r>
              <w:rPr>
                <w:rFonts w:hint="eastAsia" w:ascii="宋体" w:cs="宋体"/>
                <w:color w:val="000000"/>
                <w:kern w:val="0"/>
                <w:sz w:val="20"/>
                <w:szCs w:val="20"/>
              </w:rPr>
              <w:t>部门：道县高新技术产业开发区管委会</w:t>
            </w:r>
          </w:p>
        </w:tc>
        <w:tc>
          <w:tcPr>
            <w:tcW w:w="436"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宋体"/>
                <w:kern w:val="0"/>
                <w:sz w:val="24"/>
                <w:szCs w:val="24"/>
              </w:rPr>
            </w:pPr>
            <w:r>
              <w:rPr>
                <w:rFonts w:hint="eastAsia" w:asci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cs="宋体"/>
                <w:kern w:val="0"/>
                <w:sz w:val="24"/>
                <w:szCs w:val="24"/>
              </w:rPr>
            </w:pPr>
            <w:r>
              <w:rPr>
                <w:rFonts w:hint="eastAsia" w:ascii="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24"/>
                <w:szCs w:val="24"/>
              </w:rPr>
            </w:pPr>
            <w:r>
              <w:rPr>
                <w:rFonts w:hint="eastAsia" w:ascii="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kern w:val="0"/>
                <w:sz w:val="20"/>
                <w:szCs w:val="20"/>
              </w:rPr>
            </w:pPr>
            <w:r>
              <w:rPr>
                <w:rFonts w:hint="eastAsia" w:ascii="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kern w:val="0"/>
                <w:sz w:val="24"/>
                <w:szCs w:val="24"/>
              </w:rPr>
            </w:pPr>
            <w:r>
              <w:rPr>
                <w:rFonts w:hint="eastAsia" w:ascii="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cs="宋体"/>
                <w:kern w:val="0"/>
                <w:sz w:val="24"/>
                <w:szCs w:val="24"/>
              </w:rPr>
            </w:pPr>
            <w:r>
              <w:rPr>
                <w:rFonts w:hint="eastAsia" w:ascii="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cs="宋体"/>
                <w:kern w:val="0"/>
                <w:sz w:val="20"/>
                <w:szCs w:val="20"/>
              </w:rPr>
            </w:pPr>
            <w:r>
              <w:rPr>
                <w:rFonts w:hint="eastAsia" w:ascii="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cs="宋体"/>
                <w:kern w:val="0"/>
                <w:sz w:val="24"/>
                <w:szCs w:val="24"/>
              </w:rPr>
            </w:pPr>
            <w:r>
              <w:rPr>
                <w:rFonts w:hint="eastAsia" w:ascii="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4"/>
                <w:szCs w:val="24"/>
              </w:rPr>
            </w:pPr>
            <w:r>
              <w:rPr>
                <w:rFonts w:hint="eastAsia" w:ascii="宋体" w:cs="宋体"/>
                <w:color w:val="000000"/>
                <w:kern w:val="0"/>
                <w:sz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313.07</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33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716.67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716.67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19,880.66</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38</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80.00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80.00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4"/>
                <w:szCs w:val="24"/>
              </w:rPr>
            </w:pPr>
            <w:r>
              <w:rPr>
                <w:rFonts w:hint="eastAsia" w:ascii="宋体" w:cs="宋体"/>
                <w:color w:val="000000"/>
                <w:kern w:val="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39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12.60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12.60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40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43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7,331.71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7,331.71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46</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103.47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103.47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55</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12,590.05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12,590.05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cs="宋体"/>
                <w:b/>
                <w:bCs/>
                <w:kern w:val="0"/>
                <w:sz w:val="22"/>
              </w:rPr>
            </w:pPr>
            <w:r>
              <w:rPr>
                <w:rFonts w:hint="eastAsia" w:ascii="宋体" w:cs="宋体"/>
                <w:b/>
                <w:bCs/>
                <w:color w:val="000000"/>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20,193.73</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b/>
                <w:bCs/>
                <w:kern w:val="0"/>
                <w:sz w:val="22"/>
              </w:rPr>
            </w:pPr>
            <w:r>
              <w:rPr>
                <w:rFonts w:hint="eastAsia" w:ascii="宋体" w:cs="宋体"/>
                <w:b/>
                <w:bCs/>
                <w:color w:val="000000"/>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20,834.50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912.74</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19,921.76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28</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640.77</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29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599.67</w:t>
            </w: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30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41.10</w:t>
            </w: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kern w:val="0"/>
                <w:sz w:val="22"/>
              </w:rPr>
            </w:pPr>
            <w:r>
              <w:rPr>
                <w:rFonts w:hint="eastAsia" w:ascii="宋体" w:cs="宋体"/>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kern w:val="0"/>
                <w:sz w:val="22"/>
              </w:rPr>
            </w:pPr>
            <w:r>
              <w:rPr>
                <w:rFonts w:hint="eastAsia" w:ascii="宋体" w:cs="宋体"/>
                <w:color w:val="000000"/>
                <w:kern w:val="0"/>
                <w:sz w:val="22"/>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宋体"/>
                <w:b/>
                <w:bCs/>
                <w:kern w:val="0"/>
                <w:sz w:val="22"/>
              </w:rPr>
            </w:pPr>
            <w:r>
              <w:rPr>
                <w:rFonts w:hint="eastAsia" w:ascii="宋体" w:cs="宋体"/>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kern w:val="0"/>
                <w:sz w:val="22"/>
              </w:rPr>
            </w:pPr>
            <w:r>
              <w:rPr>
                <w:rFonts w:hint="eastAsia" w:ascii="宋体" w:cs="宋体"/>
                <w:color w:val="000000"/>
                <w:kern w:val="0"/>
                <w:sz w:val="22"/>
              </w:rPr>
              <w:t>20,834.50</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b/>
                <w:bCs/>
                <w:kern w:val="0"/>
                <w:sz w:val="22"/>
              </w:rPr>
            </w:pPr>
            <w:r>
              <w:rPr>
                <w:rFonts w:hint="eastAsia" w:ascii="宋体" w:cs="宋体"/>
                <w:b/>
                <w:bCs/>
                <w:color w:val="000000"/>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宋体"/>
                <w:kern w:val="0"/>
                <w:sz w:val="22"/>
              </w:rPr>
            </w:pPr>
            <w:r>
              <w:rPr>
                <w:rFonts w:hint="eastAsia" w:ascii="宋体" w:cs="宋体"/>
                <w:color w:val="000000"/>
                <w:kern w:val="0"/>
                <w:sz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cs="宋体"/>
                <w:kern w:val="0"/>
                <w:sz w:val="22"/>
              </w:rPr>
            </w:pPr>
            <w:r>
              <w:rPr>
                <w:rFonts w:hint="eastAsia" w:ascii="宋体" w:cs="宋体"/>
                <w:color w:val="000000"/>
                <w:kern w:val="0"/>
                <w:sz w:val="22"/>
              </w:rPr>
              <w:t>20,834.50</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cs="宋体"/>
                <w:kern w:val="0"/>
                <w:sz w:val="22"/>
              </w:rPr>
            </w:pPr>
            <w:r>
              <w:rPr>
                <w:rFonts w:hint="eastAsia" w:ascii="宋体" w:cs="宋体"/>
                <w:color w:val="000000"/>
                <w:kern w:val="0"/>
                <w:sz w:val="22"/>
              </w:rPr>
              <w:t>912.74</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b/>
                <w:bCs/>
                <w:kern w:val="0"/>
                <w:sz w:val="22"/>
              </w:rPr>
            </w:pPr>
            <w:r>
              <w:rPr>
                <w:rFonts w:hint="eastAsia" w:ascii="宋体" w:cs="宋体"/>
                <w:color w:val="000000"/>
                <w:kern w:val="0"/>
                <w:sz w:val="22"/>
              </w:rPr>
              <w:t>19,921.76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宋体" w:cs="宋体"/>
          <w:color w:val="000000"/>
          <w:kern w:val="0"/>
          <w:sz w:val="20"/>
          <w:szCs w:val="20"/>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cs="宋体"/>
          <w:color w:val="000000"/>
          <w:kern w:val="0"/>
          <w:sz w:val="20"/>
          <w:szCs w:val="20"/>
        </w:rPr>
        <w:t>道县高新技术产业开发区管委会</w:t>
      </w:r>
    </w:p>
    <w:p>
      <w:pPr>
        <w:widowControl/>
        <w:spacing w:beforeLines="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公开05表</w:t>
      </w:r>
      <w:r>
        <w:rPr>
          <w:rFonts w:hint="eastAsia" w:ascii="Times New Roman" w:hAnsi="Times New Roman" w:eastAsia="仿宋_GB2312" w:cs="Times New Roman"/>
          <w:color w:val="000000"/>
          <w:kern w:val="0"/>
          <w:szCs w:val="21"/>
        </w:rPr>
        <w:t xml:space="preserve"> </w:t>
      </w:r>
    </w:p>
    <w:p>
      <w:pPr>
        <w:widowControl/>
        <w:jc w:val="left"/>
        <w:rPr>
          <w:rFonts w:ascii="Times New Roman" w:hAnsi="Times New Roman"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8"/>
        <w:tblW w:w="14219" w:type="dxa"/>
        <w:jc w:val="center"/>
        <w:tblLayout w:type="autofit"/>
        <w:tblCellMar>
          <w:top w:w="0" w:type="dxa"/>
          <w:left w:w="108" w:type="dxa"/>
          <w:bottom w:w="0" w:type="dxa"/>
          <w:right w:w="108" w:type="dxa"/>
        </w:tblCellMar>
      </w:tblPr>
      <w:tblGrid>
        <w:gridCol w:w="986"/>
        <w:gridCol w:w="983"/>
        <w:gridCol w:w="3304"/>
        <w:gridCol w:w="2831"/>
        <w:gridCol w:w="3284"/>
        <w:gridCol w:w="2831"/>
      </w:tblGrid>
      <w:tr>
        <w:tblPrEx>
          <w:tblCellMar>
            <w:top w:w="0" w:type="dxa"/>
            <w:left w:w="108" w:type="dxa"/>
            <w:bottom w:w="0" w:type="dxa"/>
            <w:right w:w="108" w:type="dxa"/>
          </w:tblCellMar>
        </w:tblPrEx>
        <w:trPr>
          <w:trHeight w:val="405" w:hRule="atLeast"/>
          <w:jc w:val="center"/>
        </w:trPr>
        <w:tc>
          <w:tcPr>
            <w:tcW w:w="5273"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6"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69"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3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1"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69" w:type="dxa"/>
            <w:gridSpan w:val="2"/>
            <w:vMerge w:val="continue"/>
            <w:tcBorders>
              <w:top w:val="single" w:color="auto" w:sz="4" w:space="0"/>
              <w:left w:val="single" w:color="auto" w:sz="8" w:space="0"/>
              <w:bottom w:val="single" w:color="auto" w:sz="4" w:space="0"/>
              <w:right w:val="single" w:color="auto" w:sz="4" w:space="0"/>
            </w:tcBorders>
            <w:vAlign w:val="center"/>
          </w:tcPr>
          <w:p/>
        </w:tc>
        <w:tc>
          <w:tcPr>
            <w:tcW w:w="3304" w:type="dxa"/>
            <w:vMerge w:val="continue"/>
            <w:tcBorders>
              <w:top w:val="nil"/>
              <w:left w:val="single" w:color="auto" w:sz="4" w:space="0"/>
              <w:bottom w:val="single" w:color="auto" w:sz="4" w:space="0"/>
              <w:right w:val="single" w:color="auto" w:sz="4" w:space="0"/>
            </w:tcBorders>
            <w:vAlign w:val="center"/>
          </w:tcPr>
          <w:p/>
        </w:tc>
        <w:tc>
          <w:tcPr>
            <w:tcW w:w="2831" w:type="dxa"/>
            <w:vMerge w:val="continue"/>
            <w:tcBorders>
              <w:top w:val="nil"/>
              <w:left w:val="single" w:color="auto" w:sz="4" w:space="0"/>
              <w:bottom w:val="single" w:color="000000" w:sz="4" w:space="0"/>
              <w:right w:val="single" w:color="auto" w:sz="4" w:space="0"/>
            </w:tcBorders>
            <w:vAlign w:val="center"/>
          </w:tcPr>
          <w:p/>
        </w:tc>
        <w:tc>
          <w:tcPr>
            <w:tcW w:w="3284" w:type="dxa"/>
            <w:vMerge w:val="continue"/>
            <w:tcBorders>
              <w:top w:val="nil"/>
              <w:left w:val="single" w:color="auto" w:sz="4" w:space="0"/>
              <w:bottom w:val="single" w:color="000000" w:sz="4" w:space="0"/>
              <w:right w:val="single" w:color="auto" w:sz="4" w:space="0"/>
            </w:tcBorders>
            <w:vAlign w:val="center"/>
          </w:tcPr>
          <w:p/>
        </w:tc>
        <w:tc>
          <w:tcPr>
            <w:tcW w:w="2831" w:type="dxa"/>
            <w:vMerge w:val="continue"/>
            <w:tcBorders>
              <w:top w:val="nil"/>
              <w:left w:val="single" w:color="auto" w:sz="4" w:space="0"/>
              <w:bottom w:val="single" w:color="000000" w:sz="4" w:space="0"/>
              <w:right w:val="single" w:color="auto" w:sz="8" w:space="0"/>
            </w:tcBorders>
            <w:vAlign w:val="center"/>
          </w:tcPr>
          <w:p/>
        </w:tc>
      </w:tr>
      <w:tr>
        <w:tblPrEx>
          <w:tblCellMar>
            <w:top w:w="0" w:type="dxa"/>
            <w:left w:w="108" w:type="dxa"/>
            <w:bottom w:w="0" w:type="dxa"/>
            <w:right w:w="108" w:type="dxa"/>
          </w:tblCellMar>
        </w:tblPrEx>
        <w:trPr>
          <w:trHeight w:val="450" w:hRule="atLeast"/>
          <w:jc w:val="center"/>
        </w:trPr>
        <w:tc>
          <w:tcPr>
            <w:tcW w:w="1969" w:type="dxa"/>
            <w:gridSpan w:val="2"/>
            <w:vMerge w:val="continue"/>
            <w:tcBorders>
              <w:top w:val="single" w:color="auto" w:sz="4" w:space="0"/>
              <w:left w:val="single" w:color="auto" w:sz="8" w:space="0"/>
              <w:bottom w:val="single" w:color="auto" w:sz="4" w:space="0"/>
              <w:right w:val="single" w:color="auto" w:sz="4" w:space="0"/>
            </w:tcBorders>
            <w:vAlign w:val="center"/>
          </w:tcPr>
          <w:p/>
        </w:tc>
        <w:tc>
          <w:tcPr>
            <w:tcW w:w="3304" w:type="dxa"/>
            <w:vMerge w:val="continue"/>
            <w:tcBorders>
              <w:top w:val="nil"/>
              <w:left w:val="single" w:color="auto" w:sz="4" w:space="0"/>
              <w:bottom w:val="single" w:color="auto" w:sz="4" w:space="0"/>
              <w:right w:val="single" w:color="auto" w:sz="4" w:space="0"/>
            </w:tcBorders>
            <w:vAlign w:val="center"/>
          </w:tcPr>
          <w:p/>
        </w:tc>
        <w:tc>
          <w:tcPr>
            <w:tcW w:w="2831" w:type="dxa"/>
            <w:vMerge w:val="continue"/>
            <w:tcBorders>
              <w:top w:val="nil"/>
              <w:left w:val="single" w:color="auto" w:sz="4" w:space="0"/>
              <w:bottom w:val="single" w:color="000000" w:sz="4" w:space="0"/>
              <w:right w:val="single" w:color="auto" w:sz="4" w:space="0"/>
            </w:tcBorders>
            <w:vAlign w:val="center"/>
          </w:tcPr>
          <w:p/>
        </w:tc>
        <w:tc>
          <w:tcPr>
            <w:tcW w:w="3284" w:type="dxa"/>
            <w:vMerge w:val="continue"/>
            <w:tcBorders>
              <w:top w:val="nil"/>
              <w:left w:val="single" w:color="auto" w:sz="4" w:space="0"/>
              <w:bottom w:val="single" w:color="000000" w:sz="4" w:space="0"/>
              <w:right w:val="single" w:color="auto" w:sz="4" w:space="0"/>
            </w:tcBorders>
            <w:vAlign w:val="center"/>
          </w:tcPr>
          <w:p/>
        </w:tc>
        <w:tc>
          <w:tcPr>
            <w:tcW w:w="2831" w:type="dxa"/>
            <w:vMerge w:val="continue"/>
            <w:tcBorders>
              <w:top w:val="nil"/>
              <w:left w:val="single" w:color="auto" w:sz="4" w:space="0"/>
              <w:bottom w:val="single" w:color="000000" w:sz="4" w:space="0"/>
              <w:right w:val="single" w:color="auto" w:sz="8" w:space="0"/>
            </w:tcBorders>
            <w:vAlign w:val="center"/>
          </w:tcPr>
          <w:p/>
        </w:tc>
      </w:tr>
      <w:tr>
        <w:tblPrEx>
          <w:tblCellMar>
            <w:top w:w="0" w:type="dxa"/>
            <w:left w:w="108" w:type="dxa"/>
            <w:bottom w:w="0" w:type="dxa"/>
            <w:right w:w="108" w:type="dxa"/>
          </w:tblCellMar>
        </w:tblPrEx>
        <w:trPr>
          <w:trHeight w:val="450" w:hRule="atLeast"/>
          <w:jc w:val="center"/>
        </w:trPr>
        <w:tc>
          <w:tcPr>
            <w:tcW w:w="527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cs="宋体"/>
                <w:color w:val="000000"/>
                <w:kern w:val="0"/>
                <w:sz w:val="22"/>
              </w:rPr>
              <w:t>栏次</w:t>
            </w:r>
          </w:p>
        </w:tc>
        <w:tc>
          <w:tcPr>
            <w:tcW w:w="283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cs="宋体"/>
                <w:color w:val="000000"/>
                <w:kern w:val="0"/>
                <w:sz w:val="22"/>
              </w:rPr>
              <w:t>1</w:t>
            </w:r>
          </w:p>
        </w:tc>
        <w:tc>
          <w:tcPr>
            <w:tcW w:w="3284"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cs="宋体"/>
                <w:color w:val="000000"/>
                <w:kern w:val="0"/>
                <w:sz w:val="22"/>
              </w:rPr>
              <w:t>2</w:t>
            </w:r>
          </w:p>
        </w:tc>
        <w:tc>
          <w:tcPr>
            <w:tcW w:w="2831"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cs="宋体"/>
                <w:color w:val="000000"/>
                <w:kern w:val="0"/>
                <w:sz w:val="22"/>
              </w:rPr>
              <w:t>3</w:t>
            </w:r>
          </w:p>
        </w:tc>
      </w:tr>
      <w:tr>
        <w:tblPrEx>
          <w:tblCellMar>
            <w:top w:w="0" w:type="dxa"/>
            <w:left w:w="108" w:type="dxa"/>
            <w:bottom w:w="0" w:type="dxa"/>
            <w:right w:w="108" w:type="dxa"/>
          </w:tblCellMar>
        </w:tblPrEx>
        <w:trPr>
          <w:trHeight w:val="450" w:hRule="atLeast"/>
          <w:jc w:val="center"/>
        </w:trPr>
        <w:tc>
          <w:tcPr>
            <w:tcW w:w="527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cs="宋体"/>
                <w:color w:val="000000"/>
                <w:kern w:val="0"/>
                <w:sz w:val="22"/>
              </w:rPr>
              <w:t>合计</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b/>
                <w:bCs/>
                <w:color w:val="000000"/>
                <w:kern w:val="0"/>
                <w:sz w:val="22"/>
              </w:rPr>
              <w:t>912.74</w:t>
            </w:r>
          </w:p>
        </w:tc>
        <w:tc>
          <w:tcPr>
            <w:tcW w:w="328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b/>
                <w:bCs/>
                <w:color w:val="000000"/>
                <w:kern w:val="0"/>
                <w:sz w:val="22"/>
              </w:rPr>
              <w:t>615.74</w:t>
            </w: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b/>
                <w:bCs/>
                <w:color w:val="000000"/>
                <w:kern w:val="0"/>
                <w:sz w:val="22"/>
              </w:rPr>
              <w:t>297.00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201</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一般公共服务支出</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716.67</w:t>
            </w:r>
          </w:p>
        </w:tc>
        <w:tc>
          <w:tcPr>
            <w:tcW w:w="328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599.67</w:t>
            </w: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117.00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20103</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政府办公厅（室）及相关机构事务</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599.67</w:t>
            </w:r>
          </w:p>
        </w:tc>
        <w:tc>
          <w:tcPr>
            <w:tcW w:w="328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599.67</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2010399</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 xml:space="preserve">  其他政府办公厅（室）及相关机构事务支出</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599.67</w:t>
            </w:r>
          </w:p>
        </w:tc>
        <w:tc>
          <w:tcPr>
            <w:tcW w:w="328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599.67</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20104</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发展与改革事务</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97.00</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97.00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2010499</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 xml:space="preserve">  其他发展与改革事务支出</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97.00</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97.00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20105</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统计信息事务</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20.00</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20.00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2010599</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 xml:space="preserve">  其他统计信息事务支出</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20.00</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20.00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206</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科学技术支出</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80.00</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80.00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20605</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科技条件与服务</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25.00</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25.00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2060599</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 xml:space="preserve">  其他科技条件与服务支出</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25.00</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25.00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20699</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其他科学技术支出</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55.00</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55.00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2069999</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 xml:space="preserve">  其他科学技术支出</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55.00</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55.00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207</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文化旅游体育与传媒支出</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12.60</w:t>
            </w:r>
          </w:p>
        </w:tc>
        <w:tc>
          <w:tcPr>
            <w:tcW w:w="328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12.60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20701</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文化和旅游</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12.60</w:t>
            </w:r>
          </w:p>
        </w:tc>
        <w:tc>
          <w:tcPr>
            <w:tcW w:w="328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12.60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2070199</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 xml:space="preserve">  其他文化和旅游支出</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12.60</w:t>
            </w:r>
          </w:p>
        </w:tc>
        <w:tc>
          <w:tcPr>
            <w:tcW w:w="328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12.60</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215</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资源勘探工业信息等支出</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103.47</w:t>
            </w:r>
          </w:p>
        </w:tc>
        <w:tc>
          <w:tcPr>
            <w:tcW w:w="328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3.47</w:t>
            </w: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100.00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21502</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制造业</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100.00</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100.00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2150299</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 xml:space="preserve">  其他制造业支出</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100.00</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1"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100.00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21505</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工业和信息产业监管</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3.47</w:t>
            </w:r>
          </w:p>
        </w:tc>
        <w:tc>
          <w:tcPr>
            <w:tcW w:w="328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3.47</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2150501</w:t>
            </w:r>
          </w:p>
        </w:tc>
        <w:tc>
          <w:tcPr>
            <w:tcW w:w="4287"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 xml:space="preserve">  行政运行</w:t>
            </w:r>
          </w:p>
        </w:tc>
        <w:tc>
          <w:tcPr>
            <w:tcW w:w="283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3.47</w:t>
            </w:r>
          </w:p>
        </w:tc>
        <w:tc>
          <w:tcPr>
            <w:tcW w:w="328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3.47</w:t>
            </w:r>
          </w:p>
        </w:tc>
        <w:tc>
          <w:tcPr>
            <w:tcW w:w="283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8"/>
        <w:tblW w:w="0" w:type="auto"/>
        <w:tblInd w:w="0" w:type="dxa"/>
        <w:tblLayout w:type="autofit"/>
        <w:tblCellMar>
          <w:top w:w="0" w:type="dxa"/>
          <w:left w:w="108" w:type="dxa"/>
          <w:bottom w:w="0" w:type="dxa"/>
          <w:right w:w="108" w:type="dxa"/>
        </w:tblCellMar>
      </w:tblPr>
      <w:tblGrid>
        <w:gridCol w:w="1338"/>
        <w:gridCol w:w="3366"/>
        <w:gridCol w:w="876"/>
        <w:gridCol w:w="1222"/>
        <w:gridCol w:w="2316"/>
        <w:gridCol w:w="876"/>
        <w:gridCol w:w="1223"/>
        <w:gridCol w:w="4206"/>
        <w:gridCol w:w="876"/>
      </w:tblGrid>
      <w:tr>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Cs w:val="32"/>
              </w:rPr>
            </w:pPr>
            <w:bookmarkStart w:id="2" w:name="RANGE!A1:I34"/>
            <w:r>
              <w:rPr>
                <w:rFonts w:hint="eastAsia" w:asci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cs="宋体"/>
                <w:color w:val="000000"/>
                <w:kern w:val="0"/>
                <w:sz w:val="20"/>
                <w:szCs w:val="20"/>
              </w:rPr>
              <w:t>道县高新技术产业开发区管委会</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color w:val="000000"/>
                <w:kern w:val="0"/>
                <w:szCs w:val="20"/>
              </w:rPr>
            </w:pPr>
            <w:r>
              <w:rPr>
                <w:rFonts w:hint="eastAsia" w:ascii="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color w:val="000000"/>
                <w:kern w:val="0"/>
                <w:szCs w:val="20"/>
              </w:rPr>
            </w:pPr>
            <w:r>
              <w:rPr>
                <w:rFonts w:hint="eastAsia" w:ascii="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color w:val="000000"/>
                <w:kern w:val="0"/>
                <w:szCs w:val="20"/>
              </w:rPr>
            </w:pPr>
            <w:r>
              <w:rPr>
                <w:rFonts w:hint="eastAsia" w:ascii="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color w:val="000000"/>
                <w:kern w:val="0"/>
                <w:szCs w:val="20"/>
              </w:rPr>
            </w:pPr>
            <w:r>
              <w:rPr>
                <w:rFonts w:hint="eastAsia" w:ascii="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color w:val="000000"/>
                <w:kern w:val="0"/>
                <w:szCs w:val="20"/>
              </w:rPr>
            </w:pPr>
            <w:r>
              <w:rPr>
                <w:rFonts w:hint="eastAsia" w:ascii="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color w:val="000000"/>
                <w:kern w:val="0"/>
                <w:szCs w:val="20"/>
              </w:rPr>
            </w:pPr>
            <w:r>
              <w:rPr>
                <w:rFonts w:hint="eastAsia" w:ascii="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color w:val="000000"/>
                <w:kern w:val="0"/>
                <w:szCs w:val="20"/>
              </w:rPr>
            </w:pPr>
            <w:r>
              <w:rPr>
                <w:rFonts w:hint="eastAsia" w:ascii="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color w:val="000000"/>
                <w:kern w:val="0"/>
                <w:szCs w:val="20"/>
              </w:rPr>
            </w:pPr>
            <w:r>
              <w:rPr>
                <w:rFonts w:hint="eastAsia" w:ascii="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cs="宋体"/>
                <w:color w:val="000000"/>
                <w:kern w:val="0"/>
                <w:szCs w:val="20"/>
              </w:rPr>
            </w:pPr>
            <w:r>
              <w:rPr>
                <w:rFonts w:hint="eastAsia" w:ascii="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391.55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224.19</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144.83</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13.33</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74.86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21.95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6.00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0.64</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39.56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2.76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0.09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0.08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20.67</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5.40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6.57</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2.66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12.95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81.53</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0.52</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1.88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37.01</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5.56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21.68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20.73</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4.15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26.88</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cs="宋体"/>
                <w:color w:val="000000"/>
                <w:kern w:val="0"/>
                <w:szCs w:val="20"/>
              </w:rPr>
            </w:pPr>
            <w:r>
              <w:rPr>
                <w:rFonts w:hint="eastAsia" w:ascii="宋体" w:cs="宋体"/>
                <w:color w:val="000000"/>
                <w:kern w:val="0"/>
                <w:sz w:val="22"/>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63.47</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cs="宋体"/>
                <w:color w:val="000000"/>
                <w:kern w:val="0"/>
                <w:szCs w:val="20"/>
              </w:rPr>
            </w:pPr>
            <w:r>
              <w:rPr>
                <w:rFonts w:hint="eastAsia" w:ascii="宋体" w:cs="宋体"/>
                <w:color w:val="000000"/>
                <w:kern w:val="0"/>
                <w:sz w:val="22"/>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20"/>
              </w:rPr>
            </w:pPr>
            <w:r>
              <w:rPr>
                <w:rFonts w:hint="eastAsia" w:ascii="宋体" w:cs="宋体"/>
                <w:color w:val="000000"/>
                <w:kern w:val="0"/>
                <w:sz w:val="22"/>
              </w:rPr>
              <w:t>391.55</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cs="宋体"/>
                <w:color w:val="000000"/>
                <w:kern w:val="0"/>
                <w:szCs w:val="20"/>
              </w:rPr>
            </w:pPr>
            <w:r>
              <w:rPr>
                <w:rFonts w:hint="eastAsia" w:ascii="宋体" w:cs="宋体"/>
                <w:color w:val="000000"/>
                <w:kern w:val="0"/>
                <w:sz w:val="22"/>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cs="宋体"/>
                <w:color w:val="000000"/>
                <w:kern w:val="0"/>
                <w:szCs w:val="18"/>
              </w:rPr>
            </w:pPr>
            <w:r>
              <w:rPr>
                <w:rFonts w:hint="eastAsia" w:ascii="宋体" w:cs="宋体"/>
                <w:color w:val="000000"/>
                <w:kern w:val="0"/>
                <w:sz w:val="22"/>
              </w:rPr>
              <w:t>224.19</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cs="宋体"/>
                <w:color w:val="000000"/>
                <w:kern w:val="0"/>
                <w:szCs w:val="24"/>
              </w:rPr>
            </w:pPr>
            <w:r>
              <w:rPr>
                <w:rFonts w:hint="eastAsia" w:ascii="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cs="宋体"/>
          <w:color w:val="000000"/>
          <w:kern w:val="0"/>
          <w:sz w:val="20"/>
          <w:szCs w:val="20"/>
        </w:rPr>
        <w:t>道县高新技术产业开发区管委会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tc>
        <w:tc>
          <w:tcPr>
            <w:tcW w:w="1220" w:type="dxa"/>
            <w:vMerge w:val="continue"/>
            <w:tcBorders>
              <w:top w:val="nil"/>
              <w:left w:val="single" w:color="auto" w:sz="4" w:space="0"/>
              <w:bottom w:val="single" w:color="000000" w:sz="4" w:space="0"/>
              <w:right w:val="single" w:color="auto" w:sz="4" w:space="0"/>
            </w:tcBorders>
            <w:vAlign w:val="center"/>
          </w:tc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tc>
        <w:tc>
          <w:tcPr>
            <w:tcW w:w="1220" w:type="dxa"/>
            <w:vMerge w:val="continue"/>
            <w:tcBorders>
              <w:top w:val="nil"/>
              <w:left w:val="nil"/>
              <w:bottom w:val="single" w:color="000000" w:sz="4" w:space="0"/>
              <w:right w:val="single" w:color="auto" w:sz="4" w:space="0"/>
            </w:tcBorders>
            <w:vAlign w:val="center"/>
          </w:tcPr>
          <w:p/>
        </w:tc>
        <w:tc>
          <w:tcPr>
            <w:tcW w:w="1220" w:type="dxa"/>
            <w:vMerge w:val="continue"/>
            <w:tcBorders>
              <w:top w:val="nil"/>
              <w:left w:val="single" w:color="auto" w:sz="4" w:space="0"/>
              <w:bottom w:val="single" w:color="000000" w:sz="4" w:space="0"/>
              <w:right w:val="single" w:color="auto" w:sz="4" w:space="0"/>
            </w:tcBorders>
            <w:vAlign w:val="center"/>
          </w:tc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50.65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9.30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9.30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41.35</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41.16</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4.15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4.15</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37.01</w:t>
            </w:r>
          </w:p>
        </w:tc>
      </w:tr>
    </w:tbl>
    <w:p>
      <w:pPr>
        <w:widowControl/>
        <w:jc w:val="left"/>
        <w:rPr>
          <w:rFonts w:ascii="宋体" w:cs="宋体"/>
          <w:kern w:val="0"/>
          <w:sz w:val="24"/>
          <w:szCs w:val="24"/>
        </w:rPr>
      </w:pPr>
      <w:r>
        <w:rPr>
          <w:rFonts w:hint="eastAsia" w:ascii="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cs="宋体"/>
          <w:kern w:val="0"/>
          <w:sz w:val="24"/>
          <w:szCs w:val="24"/>
        </w:rPr>
        <w:br w:type="page"/>
      </w:r>
    </w:p>
    <w:p>
      <w:pPr>
        <w:autoSpaceDE w:val="0"/>
        <w:autoSpaceDN w:val="0"/>
        <w:adjustRightInd w:val="0"/>
        <w:ind w:left="315" w:leftChars="150"/>
        <w:jc w:val="left"/>
        <w:rPr>
          <w:rFonts w:ascii="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cs="宋体"/>
          <w:color w:val="000000"/>
          <w:kern w:val="0"/>
          <w:sz w:val="20"/>
          <w:szCs w:val="20"/>
        </w:rPr>
        <w:t>道县高新技术产业开发区管委会</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30"/>
        <w:gridCol w:w="1221"/>
        <w:gridCol w:w="1863"/>
        <w:gridCol w:w="1913"/>
        <w:gridCol w:w="1913"/>
        <w:gridCol w:w="1876"/>
        <w:gridCol w:w="1913"/>
        <w:gridCol w:w="18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37"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6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91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702"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25"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16"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2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63" w:type="dxa"/>
            <w:vMerge w:val="continue"/>
            <w:vAlign w:val="center"/>
          </w:tcPr>
          <w:p/>
        </w:tc>
        <w:tc>
          <w:tcPr>
            <w:tcW w:w="1913" w:type="dxa"/>
            <w:vMerge w:val="continue"/>
            <w:vAlign w:val="center"/>
          </w:tcPr>
          <w:p/>
        </w:tc>
        <w:tc>
          <w:tcPr>
            <w:tcW w:w="191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7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91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25" w:type="dxa"/>
            <w:vMerge w:val="continue"/>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16" w:type="dxa"/>
            <w:gridSpan w:val="2"/>
            <w:vMerge w:val="continue"/>
            <w:vAlign w:val="center"/>
          </w:tcPr>
          <w:p/>
        </w:tc>
        <w:tc>
          <w:tcPr>
            <w:tcW w:w="1221" w:type="dxa"/>
            <w:vMerge w:val="continue"/>
            <w:vAlign w:val="center"/>
          </w:tcPr>
          <w:p/>
        </w:tc>
        <w:tc>
          <w:tcPr>
            <w:tcW w:w="1863" w:type="dxa"/>
            <w:vMerge w:val="continue"/>
            <w:vAlign w:val="center"/>
          </w:tcPr>
          <w:p/>
        </w:tc>
        <w:tc>
          <w:tcPr>
            <w:tcW w:w="1913" w:type="dxa"/>
            <w:vMerge w:val="continue"/>
            <w:vAlign w:val="center"/>
          </w:tcPr>
          <w:p/>
        </w:tc>
        <w:tc>
          <w:tcPr>
            <w:tcW w:w="1913" w:type="dxa"/>
            <w:vMerge w:val="continue"/>
            <w:vAlign w:val="center"/>
          </w:tcPr>
          <w:p/>
        </w:tc>
        <w:tc>
          <w:tcPr>
            <w:tcW w:w="1876" w:type="dxa"/>
            <w:vMerge w:val="continue"/>
            <w:vAlign w:val="center"/>
          </w:tcPr>
          <w:p/>
        </w:tc>
        <w:tc>
          <w:tcPr>
            <w:tcW w:w="1913" w:type="dxa"/>
            <w:vMerge w:val="continue"/>
            <w:vAlign w:val="center"/>
          </w:tcPr>
          <w:p/>
        </w:tc>
        <w:tc>
          <w:tcPr>
            <w:tcW w:w="1825" w:type="dxa"/>
            <w:vMerge w:val="continue"/>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16" w:type="dxa"/>
            <w:gridSpan w:val="2"/>
            <w:vMerge w:val="continue"/>
            <w:vAlign w:val="center"/>
          </w:tcPr>
          <w:p/>
        </w:tc>
        <w:tc>
          <w:tcPr>
            <w:tcW w:w="1221" w:type="dxa"/>
            <w:vMerge w:val="continue"/>
            <w:vAlign w:val="center"/>
          </w:tcPr>
          <w:p/>
        </w:tc>
        <w:tc>
          <w:tcPr>
            <w:tcW w:w="1863" w:type="dxa"/>
            <w:vMerge w:val="continue"/>
            <w:vAlign w:val="center"/>
          </w:tcPr>
          <w:p/>
        </w:tc>
        <w:tc>
          <w:tcPr>
            <w:tcW w:w="1913" w:type="dxa"/>
            <w:vMerge w:val="continue"/>
            <w:vAlign w:val="center"/>
          </w:tcPr>
          <w:p/>
        </w:tc>
        <w:tc>
          <w:tcPr>
            <w:tcW w:w="1913" w:type="dxa"/>
            <w:vMerge w:val="continue"/>
            <w:vAlign w:val="center"/>
          </w:tcPr>
          <w:p/>
        </w:tc>
        <w:tc>
          <w:tcPr>
            <w:tcW w:w="1876" w:type="dxa"/>
            <w:vMerge w:val="continue"/>
            <w:vAlign w:val="center"/>
          </w:tcPr>
          <w:p/>
        </w:tc>
        <w:tc>
          <w:tcPr>
            <w:tcW w:w="1913" w:type="dxa"/>
            <w:vMerge w:val="continue"/>
            <w:vAlign w:val="center"/>
          </w:tcPr>
          <w:p/>
        </w:tc>
        <w:tc>
          <w:tcPr>
            <w:tcW w:w="1825" w:type="dxa"/>
            <w:vMerge w:val="continue"/>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37" w:type="dxa"/>
            <w:gridSpan w:val="3"/>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cs="宋体"/>
                <w:color w:val="000000"/>
                <w:kern w:val="0"/>
                <w:sz w:val="22"/>
              </w:rPr>
              <w:t>栏次</w:t>
            </w:r>
          </w:p>
        </w:tc>
        <w:tc>
          <w:tcPr>
            <w:tcW w:w="1863"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cs="宋体"/>
                <w:color w:val="000000"/>
                <w:kern w:val="0"/>
                <w:sz w:val="22"/>
              </w:rPr>
              <w:t>1</w:t>
            </w:r>
          </w:p>
        </w:tc>
        <w:tc>
          <w:tcPr>
            <w:tcW w:w="1913"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cs="宋体"/>
                <w:color w:val="000000"/>
                <w:kern w:val="0"/>
                <w:sz w:val="22"/>
              </w:rPr>
              <w:t>2</w:t>
            </w:r>
          </w:p>
        </w:tc>
        <w:tc>
          <w:tcPr>
            <w:tcW w:w="1913"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cs="宋体"/>
                <w:color w:val="000000"/>
                <w:kern w:val="0"/>
                <w:sz w:val="22"/>
              </w:rPr>
              <w:t>3</w:t>
            </w:r>
          </w:p>
        </w:tc>
        <w:tc>
          <w:tcPr>
            <w:tcW w:w="1876"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cs="宋体"/>
                <w:color w:val="000000"/>
                <w:kern w:val="0"/>
                <w:sz w:val="22"/>
              </w:rPr>
              <w:t>4</w:t>
            </w:r>
          </w:p>
        </w:tc>
        <w:tc>
          <w:tcPr>
            <w:tcW w:w="1913"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cs="宋体"/>
                <w:color w:val="000000"/>
                <w:kern w:val="0"/>
                <w:sz w:val="22"/>
              </w:rPr>
              <w:t>5</w:t>
            </w:r>
          </w:p>
        </w:tc>
        <w:tc>
          <w:tcPr>
            <w:tcW w:w="1825"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cs="宋体"/>
                <w:color w:val="000000"/>
                <w:kern w:val="0"/>
                <w:sz w:val="22"/>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37" w:type="dxa"/>
            <w:gridSpan w:val="3"/>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cs="宋体"/>
                <w:color w:val="000000"/>
                <w:kern w:val="0"/>
                <w:sz w:val="22"/>
              </w:rPr>
              <w:t>合计</w:t>
            </w:r>
          </w:p>
        </w:tc>
        <w:tc>
          <w:tcPr>
            <w:tcW w:w="186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b/>
                <w:bCs/>
                <w:color w:val="000000"/>
                <w:kern w:val="0"/>
                <w:sz w:val="22"/>
              </w:rPr>
              <w:t>41.10</w:t>
            </w: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b/>
                <w:bCs/>
                <w:color w:val="000000"/>
                <w:kern w:val="0"/>
                <w:sz w:val="22"/>
              </w:rPr>
              <w:t>19,880.66</w:t>
            </w: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b/>
                <w:bCs/>
                <w:color w:val="000000"/>
                <w:kern w:val="0"/>
                <w:sz w:val="22"/>
              </w:rPr>
              <w:t>19,921.76</w:t>
            </w:r>
          </w:p>
        </w:tc>
        <w:tc>
          <w:tcPr>
            <w:tcW w:w="187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b/>
                <w:bCs/>
                <w:color w:val="000000"/>
                <w:kern w:val="0"/>
                <w:sz w:val="22"/>
              </w:rPr>
              <w:t>117.71</w:t>
            </w: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b/>
                <w:bCs/>
                <w:color w:val="000000"/>
                <w:kern w:val="0"/>
                <w:sz w:val="22"/>
              </w:rPr>
              <w:t>19,804.06</w:t>
            </w:r>
          </w:p>
        </w:tc>
        <w:tc>
          <w:tcPr>
            <w:tcW w:w="182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212</w:t>
            </w:r>
          </w:p>
        </w:tc>
        <w:tc>
          <w:tcPr>
            <w:tcW w:w="2151"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城乡社区支出</w:t>
            </w:r>
          </w:p>
        </w:tc>
        <w:tc>
          <w:tcPr>
            <w:tcW w:w="186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41.10</w:t>
            </w: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7,290.61</w:t>
            </w: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7,331.71</w:t>
            </w:r>
          </w:p>
        </w:tc>
        <w:tc>
          <w:tcPr>
            <w:tcW w:w="1876" w:type="dxa"/>
            <w:shd w:val="clear" w:color="auto" w:fill="auto"/>
            <w:vAlign w:val="center"/>
          </w:tcPr>
          <w:p>
            <w:pPr>
              <w:jc w:val="right"/>
              <w:rPr>
                <w:rFonts w:ascii="Times New Roman" w:hAnsi="Times New Roman" w:eastAsia="仿宋_GB2312" w:cs="Times New Roman"/>
                <w:kern w:val="0"/>
                <w:szCs w:val="21"/>
              </w:rPr>
            </w:pP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7,331.71</w:t>
            </w:r>
          </w:p>
        </w:tc>
        <w:tc>
          <w:tcPr>
            <w:tcW w:w="182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21208</w:t>
            </w:r>
          </w:p>
        </w:tc>
        <w:tc>
          <w:tcPr>
            <w:tcW w:w="2151"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国有土地使用权出让收入安排的支出</w:t>
            </w:r>
          </w:p>
        </w:tc>
        <w:tc>
          <w:tcPr>
            <w:tcW w:w="186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41.10</w:t>
            </w: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7,290.61</w:t>
            </w: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7,331.71</w:t>
            </w:r>
          </w:p>
        </w:tc>
        <w:tc>
          <w:tcPr>
            <w:tcW w:w="1876" w:type="dxa"/>
            <w:shd w:val="clear" w:color="auto" w:fill="auto"/>
            <w:vAlign w:val="center"/>
          </w:tcPr>
          <w:p>
            <w:pPr>
              <w:jc w:val="right"/>
              <w:rPr>
                <w:rFonts w:ascii="Times New Roman" w:hAnsi="Times New Roman" w:eastAsia="仿宋_GB2312" w:cs="Times New Roman"/>
                <w:kern w:val="0"/>
                <w:szCs w:val="21"/>
              </w:rPr>
            </w:pP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7,331.71</w:t>
            </w:r>
          </w:p>
        </w:tc>
        <w:tc>
          <w:tcPr>
            <w:tcW w:w="182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2120801</w:t>
            </w:r>
          </w:p>
        </w:tc>
        <w:tc>
          <w:tcPr>
            <w:tcW w:w="2151"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 xml:space="preserve">  征地和拆迁补偿支出</w:t>
            </w:r>
          </w:p>
        </w:tc>
        <w:tc>
          <w:tcPr>
            <w:tcW w:w="1863" w:type="dxa"/>
            <w:shd w:val="clear" w:color="auto" w:fill="auto"/>
            <w:vAlign w:val="center"/>
          </w:tcPr>
          <w:p>
            <w:pPr>
              <w:jc w:val="right"/>
              <w:rPr>
                <w:rFonts w:ascii="Times New Roman" w:hAnsi="Times New Roman" w:eastAsia="仿宋_GB2312" w:cs="Times New Roman"/>
                <w:kern w:val="0"/>
                <w:szCs w:val="21"/>
              </w:rPr>
            </w:pP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7,002.26</w:t>
            </w: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7,002.26</w:t>
            </w:r>
          </w:p>
        </w:tc>
        <w:tc>
          <w:tcPr>
            <w:tcW w:w="1876" w:type="dxa"/>
            <w:shd w:val="clear" w:color="auto" w:fill="auto"/>
            <w:vAlign w:val="center"/>
          </w:tcPr>
          <w:p>
            <w:pPr>
              <w:jc w:val="right"/>
              <w:rPr>
                <w:rFonts w:ascii="Times New Roman" w:hAnsi="Times New Roman" w:eastAsia="仿宋_GB2312" w:cs="Times New Roman"/>
                <w:kern w:val="0"/>
                <w:szCs w:val="21"/>
              </w:rPr>
            </w:pP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7,002.26</w:t>
            </w:r>
          </w:p>
        </w:tc>
        <w:tc>
          <w:tcPr>
            <w:tcW w:w="182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2120802</w:t>
            </w:r>
          </w:p>
        </w:tc>
        <w:tc>
          <w:tcPr>
            <w:tcW w:w="2151"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 xml:space="preserve">  土地开发支出</w:t>
            </w:r>
          </w:p>
        </w:tc>
        <w:tc>
          <w:tcPr>
            <w:tcW w:w="1863" w:type="dxa"/>
            <w:shd w:val="clear" w:color="auto" w:fill="auto"/>
            <w:vAlign w:val="center"/>
          </w:tcPr>
          <w:p>
            <w:pPr>
              <w:jc w:val="right"/>
              <w:rPr>
                <w:rFonts w:ascii="Times New Roman" w:hAnsi="Times New Roman" w:eastAsia="仿宋_GB2312" w:cs="Times New Roman"/>
                <w:kern w:val="0"/>
                <w:szCs w:val="21"/>
              </w:rPr>
            </w:pP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274.00</w:t>
            </w: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274.00</w:t>
            </w:r>
          </w:p>
        </w:tc>
        <w:tc>
          <w:tcPr>
            <w:tcW w:w="1876" w:type="dxa"/>
            <w:shd w:val="clear" w:color="auto" w:fill="auto"/>
            <w:vAlign w:val="center"/>
          </w:tcPr>
          <w:p>
            <w:pPr>
              <w:jc w:val="right"/>
              <w:rPr>
                <w:rFonts w:ascii="Times New Roman" w:hAnsi="Times New Roman" w:eastAsia="仿宋_GB2312" w:cs="Times New Roman"/>
                <w:kern w:val="0"/>
                <w:szCs w:val="21"/>
              </w:rPr>
            </w:pP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274.00</w:t>
            </w:r>
          </w:p>
        </w:tc>
        <w:tc>
          <w:tcPr>
            <w:tcW w:w="182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2120805</w:t>
            </w:r>
          </w:p>
        </w:tc>
        <w:tc>
          <w:tcPr>
            <w:tcW w:w="2151"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 xml:space="preserve">  补助被征地农民支出</w:t>
            </w:r>
          </w:p>
        </w:tc>
        <w:tc>
          <w:tcPr>
            <w:tcW w:w="186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41.10</w:t>
            </w:r>
          </w:p>
        </w:tc>
        <w:tc>
          <w:tcPr>
            <w:tcW w:w="1913" w:type="dxa"/>
            <w:shd w:val="clear" w:color="auto" w:fill="auto"/>
            <w:vAlign w:val="center"/>
          </w:tcPr>
          <w:p>
            <w:pPr>
              <w:jc w:val="right"/>
              <w:rPr>
                <w:rFonts w:ascii="Times New Roman" w:hAnsi="Times New Roman" w:eastAsia="仿宋_GB2312" w:cs="Times New Roman"/>
                <w:kern w:val="0"/>
                <w:szCs w:val="21"/>
              </w:rPr>
            </w:pP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41.10</w:t>
            </w:r>
          </w:p>
        </w:tc>
        <w:tc>
          <w:tcPr>
            <w:tcW w:w="1876" w:type="dxa"/>
            <w:shd w:val="clear" w:color="auto" w:fill="auto"/>
            <w:vAlign w:val="center"/>
          </w:tcPr>
          <w:p>
            <w:pPr>
              <w:jc w:val="right"/>
              <w:rPr>
                <w:rFonts w:ascii="Times New Roman" w:hAnsi="Times New Roman" w:eastAsia="仿宋_GB2312" w:cs="Times New Roman"/>
                <w:kern w:val="0"/>
                <w:szCs w:val="21"/>
              </w:rPr>
            </w:pP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41.10</w:t>
            </w:r>
          </w:p>
        </w:tc>
        <w:tc>
          <w:tcPr>
            <w:tcW w:w="182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2120899</w:t>
            </w:r>
          </w:p>
        </w:tc>
        <w:tc>
          <w:tcPr>
            <w:tcW w:w="2151"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 xml:space="preserve">  其他国有土地使用权出让收入安排的支出</w:t>
            </w:r>
          </w:p>
        </w:tc>
        <w:tc>
          <w:tcPr>
            <w:tcW w:w="1863" w:type="dxa"/>
            <w:shd w:val="clear" w:color="auto" w:fill="auto"/>
            <w:vAlign w:val="center"/>
          </w:tcPr>
          <w:p>
            <w:pPr>
              <w:jc w:val="right"/>
              <w:rPr>
                <w:rFonts w:ascii="Times New Roman" w:hAnsi="Times New Roman" w:eastAsia="仿宋_GB2312" w:cs="Times New Roman"/>
                <w:kern w:val="0"/>
                <w:szCs w:val="21"/>
              </w:rPr>
            </w:pP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14.35</w:t>
            </w: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14.35</w:t>
            </w:r>
          </w:p>
        </w:tc>
        <w:tc>
          <w:tcPr>
            <w:tcW w:w="1876" w:type="dxa"/>
            <w:shd w:val="clear" w:color="auto" w:fill="auto"/>
            <w:vAlign w:val="center"/>
          </w:tcPr>
          <w:p>
            <w:pPr>
              <w:jc w:val="right"/>
              <w:rPr>
                <w:rFonts w:ascii="Times New Roman" w:hAnsi="Times New Roman" w:eastAsia="仿宋_GB2312" w:cs="Times New Roman"/>
                <w:kern w:val="0"/>
                <w:szCs w:val="21"/>
              </w:rPr>
            </w:pP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14.35</w:t>
            </w:r>
          </w:p>
        </w:tc>
        <w:tc>
          <w:tcPr>
            <w:tcW w:w="182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229</w:t>
            </w:r>
          </w:p>
        </w:tc>
        <w:tc>
          <w:tcPr>
            <w:tcW w:w="2151"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其他支出</w:t>
            </w:r>
          </w:p>
        </w:tc>
        <w:tc>
          <w:tcPr>
            <w:tcW w:w="1863" w:type="dxa"/>
            <w:shd w:val="clear" w:color="auto" w:fill="auto"/>
            <w:vAlign w:val="center"/>
          </w:tcPr>
          <w:p>
            <w:pPr>
              <w:jc w:val="right"/>
              <w:rPr>
                <w:rFonts w:ascii="Times New Roman" w:hAnsi="Times New Roman" w:eastAsia="仿宋_GB2312" w:cs="Times New Roman"/>
                <w:kern w:val="0"/>
                <w:szCs w:val="21"/>
              </w:rPr>
            </w:pP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12,590.05</w:t>
            </w: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12,590.05</w:t>
            </w:r>
          </w:p>
        </w:tc>
        <w:tc>
          <w:tcPr>
            <w:tcW w:w="187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117.71</w:t>
            </w: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12,472.35</w:t>
            </w:r>
          </w:p>
        </w:tc>
        <w:tc>
          <w:tcPr>
            <w:tcW w:w="182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22904</w:t>
            </w:r>
          </w:p>
        </w:tc>
        <w:tc>
          <w:tcPr>
            <w:tcW w:w="2151"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其他政府性基金及对应专项债务收入安排的支出</w:t>
            </w:r>
          </w:p>
        </w:tc>
        <w:tc>
          <w:tcPr>
            <w:tcW w:w="1863" w:type="dxa"/>
            <w:shd w:val="clear" w:color="auto" w:fill="auto"/>
            <w:vAlign w:val="center"/>
          </w:tcPr>
          <w:p>
            <w:pPr>
              <w:jc w:val="right"/>
              <w:rPr>
                <w:rFonts w:ascii="Times New Roman" w:hAnsi="Times New Roman" w:eastAsia="仿宋_GB2312" w:cs="Times New Roman"/>
                <w:kern w:val="0"/>
                <w:szCs w:val="21"/>
              </w:rPr>
            </w:pP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12,590.05</w:t>
            </w: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12,590.05</w:t>
            </w:r>
          </w:p>
        </w:tc>
        <w:tc>
          <w:tcPr>
            <w:tcW w:w="187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117.71</w:t>
            </w: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12,472.35</w:t>
            </w:r>
          </w:p>
        </w:tc>
        <w:tc>
          <w:tcPr>
            <w:tcW w:w="182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2290402</w:t>
            </w:r>
          </w:p>
        </w:tc>
        <w:tc>
          <w:tcPr>
            <w:tcW w:w="2151"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cs="宋体"/>
                <w:color w:val="000000"/>
                <w:kern w:val="0"/>
                <w:sz w:val="22"/>
              </w:rPr>
              <w:t xml:space="preserve">  其他地方自行试点项目收益专项债券收入安排的支出</w:t>
            </w:r>
          </w:p>
        </w:tc>
        <w:tc>
          <w:tcPr>
            <w:tcW w:w="1863" w:type="dxa"/>
            <w:shd w:val="clear" w:color="auto" w:fill="auto"/>
            <w:vAlign w:val="center"/>
          </w:tcPr>
          <w:p>
            <w:pPr>
              <w:jc w:val="right"/>
              <w:rPr>
                <w:rFonts w:ascii="Times New Roman" w:hAnsi="Times New Roman" w:eastAsia="仿宋_GB2312" w:cs="Times New Roman"/>
                <w:kern w:val="0"/>
                <w:szCs w:val="21"/>
              </w:rPr>
            </w:pP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12,590.05</w:t>
            </w: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12,590.05</w:t>
            </w:r>
          </w:p>
        </w:tc>
        <w:tc>
          <w:tcPr>
            <w:tcW w:w="187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117.71</w:t>
            </w:r>
          </w:p>
        </w:tc>
        <w:tc>
          <w:tcPr>
            <w:tcW w:w="191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cs="宋体"/>
                <w:color w:val="000000"/>
                <w:kern w:val="0"/>
                <w:sz w:val="22"/>
              </w:rPr>
              <w:t>12,472.35</w:t>
            </w:r>
          </w:p>
        </w:tc>
        <w:tc>
          <w:tcPr>
            <w:tcW w:w="1825"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eastAsia="黑体"/>
          <w:szCs w:val="21"/>
        </w:rPr>
      </w:pPr>
      <w:r>
        <w:rPr>
          <w:rFonts w:ascii="黑体" w:eastAsia="黑体"/>
          <w:szCs w:val="21"/>
        </w:rPr>
        <w:br w:type="page"/>
      </w:r>
    </w:p>
    <w:tbl>
      <w:tblPr>
        <w:tblStyle w:val="8"/>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eastAsia="华文中宋" w:cs="宋体"/>
                <w:kern w:val="0"/>
                <w:sz w:val="32"/>
                <w:szCs w:val="32"/>
              </w:rPr>
            </w:pPr>
            <w:r>
              <w:rPr>
                <w:rFonts w:hint="eastAsia" w:asci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cs="宋体"/>
                <w:kern w:val="0"/>
                <w:sz w:val="20"/>
                <w:szCs w:val="20"/>
              </w:rPr>
            </w:pPr>
            <w:r>
              <w:rPr>
                <w:rFonts w:hint="eastAsia" w:ascii="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cs="宋体"/>
                <w:kern w:val="0"/>
                <w:sz w:val="20"/>
                <w:szCs w:val="20"/>
              </w:rPr>
            </w:pPr>
            <w:r>
              <w:rPr>
                <w:rFonts w:hint="eastAsia" w:ascii="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cs="宋体"/>
                <w:kern w:val="0"/>
                <w:sz w:val="20"/>
                <w:szCs w:val="20"/>
              </w:rPr>
            </w:pPr>
            <w:r>
              <w:rPr>
                <w:rFonts w:hint="eastAsia" w:ascii="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cs="宋体"/>
                <w:kern w:val="0"/>
                <w:sz w:val="20"/>
                <w:szCs w:val="20"/>
              </w:rPr>
            </w:pPr>
            <w:r>
              <w:rPr>
                <w:rFonts w:hint="eastAsia" w:ascii="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cs="宋体"/>
                <w:kern w:val="0"/>
                <w:sz w:val="20"/>
                <w:szCs w:val="20"/>
              </w:rPr>
            </w:pPr>
            <w:r>
              <w:rPr>
                <w:rFonts w:hint="eastAsia" w:ascii="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cs="宋体"/>
                <w:color w:val="000000"/>
                <w:kern w:val="0"/>
                <w:sz w:val="20"/>
                <w:szCs w:val="20"/>
              </w:rPr>
            </w:pPr>
            <w:r>
              <w:rPr>
                <w:rFonts w:hint="eastAsia" w:ascii="宋体" w:cs="宋体"/>
                <w:color w:val="000000"/>
                <w:kern w:val="0"/>
                <w:sz w:val="20"/>
                <w:szCs w:val="20"/>
              </w:rPr>
              <w:t>部门：道县高新技术产业开发区管委会</w:t>
            </w:r>
          </w:p>
        </w:tc>
        <w:tc>
          <w:tcPr>
            <w:tcW w:w="560" w:type="dxa"/>
            <w:tcBorders>
              <w:top w:val="nil"/>
              <w:left w:val="nil"/>
              <w:bottom w:val="nil"/>
              <w:right w:val="nil"/>
            </w:tcBorders>
            <w:shd w:val="clear" w:color="000000" w:fill="FFFFFF"/>
            <w:vAlign w:val="center"/>
          </w:tcPr>
          <w:p>
            <w:pPr>
              <w:widowControl/>
              <w:jc w:val="center"/>
              <w:rPr>
                <w:rFonts w:ascii="宋体" w:cs="宋体"/>
                <w:kern w:val="0"/>
                <w:sz w:val="20"/>
                <w:szCs w:val="20"/>
              </w:rPr>
            </w:pPr>
            <w:r>
              <w:rPr>
                <w:rFonts w:hint="eastAsia" w:ascii="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rPr>
                <w:rFonts w:ascii="宋体" w:cs="宋体"/>
                <w:kern w:val="0"/>
                <w:sz w:val="20"/>
                <w:szCs w:val="20"/>
              </w:rPr>
            </w:pPr>
          </w:p>
        </w:tc>
        <w:tc>
          <w:tcPr>
            <w:tcW w:w="1225" w:type="dxa"/>
            <w:tcBorders>
              <w:top w:val="nil"/>
              <w:left w:val="nil"/>
              <w:bottom w:val="single" w:color="auto" w:sz="8" w:space="0"/>
              <w:right w:val="nil"/>
            </w:tcBorders>
            <w:shd w:val="clear" w:color="000000" w:fill="FFFFFF"/>
            <w:vAlign w:val="center"/>
          </w:tcPr>
          <w:p>
            <w:pPr>
              <w:widowControl/>
              <w:jc w:val="left"/>
              <w:rPr>
                <w:rFonts w:ascii="宋体" w:cs="宋体"/>
                <w:kern w:val="0"/>
                <w:sz w:val="20"/>
                <w:szCs w:val="20"/>
              </w:rPr>
            </w:pPr>
            <w:r>
              <w:rPr>
                <w:rFonts w:hint="eastAsia" w:ascii="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cs="宋体"/>
                <w:kern w:val="0"/>
                <w:sz w:val="20"/>
                <w:szCs w:val="20"/>
              </w:rPr>
            </w:pPr>
            <w:r>
              <w:rPr>
                <w:rFonts w:hint="eastAsia" w:ascii="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cs="宋体"/>
                <w:color w:val="000000"/>
                <w:kern w:val="0"/>
                <w:sz w:val="20"/>
                <w:szCs w:val="20"/>
              </w:rPr>
            </w:pPr>
            <w:r>
              <w:rPr>
                <w:rFonts w:hint="eastAsia" w:ascii="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 xml:space="preserve">项 </w:t>
            </w:r>
            <w:r>
              <w:rPr>
                <w:rFonts w:hint="eastAsia" w:ascii="宋体" w:cs="宋体"/>
                <w:color w:val="000000"/>
                <w:kern w:val="0"/>
                <w:sz w:val="22"/>
              </w:rPr>
              <w:t xml:space="preserve">   </w:t>
            </w:r>
            <w:r>
              <w:rPr>
                <w:rFonts w:hint="eastAsia" w:ascii="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tc>
        <w:tc>
          <w:tcPr>
            <w:tcW w:w="2126" w:type="dxa"/>
            <w:vMerge w:val="continue"/>
            <w:tcBorders>
              <w:top w:val="nil"/>
              <w:left w:val="single" w:color="auto" w:sz="4" w:space="0"/>
              <w:bottom w:val="single" w:color="auto" w:sz="4" w:space="0"/>
              <w:right w:val="single" w:color="auto" w:sz="4" w:space="0"/>
            </w:tcBorders>
            <w:vAlign w:val="center"/>
          </w:tcPr>
          <w:p/>
        </w:tc>
        <w:tc>
          <w:tcPr>
            <w:tcW w:w="2551" w:type="dxa"/>
            <w:gridSpan w:val="2"/>
            <w:vMerge w:val="continue"/>
            <w:tcBorders>
              <w:top w:val="nil"/>
              <w:left w:val="single" w:color="auto" w:sz="4" w:space="0"/>
              <w:bottom w:val="single" w:color="000000" w:sz="4" w:space="0"/>
              <w:right w:val="single" w:color="auto" w:sz="4" w:space="0"/>
            </w:tcBorders>
            <w:vAlign w:val="center"/>
          </w:tcPr>
          <w:p/>
        </w:tc>
        <w:tc>
          <w:tcPr>
            <w:tcW w:w="2977" w:type="dxa"/>
            <w:gridSpan w:val="2"/>
            <w:vMerge w:val="continue"/>
            <w:tcBorders>
              <w:top w:val="nil"/>
              <w:left w:val="single" w:color="auto" w:sz="4" w:space="0"/>
              <w:bottom w:val="single" w:color="000000" w:sz="4" w:space="0"/>
              <w:right w:val="single" w:color="auto" w:sz="4" w:space="0"/>
            </w:tcBorders>
            <w:vAlign w:val="center"/>
          </w:tcPr>
          <w:p/>
        </w:tc>
        <w:tc>
          <w:tcPr>
            <w:tcW w:w="3827" w:type="dxa"/>
            <w:vMerge w:val="continue"/>
            <w:tcBorders>
              <w:top w:val="nil"/>
              <w:left w:val="single" w:color="auto" w:sz="4" w:space="0"/>
              <w:bottom w:val="single" w:color="000000"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tc>
        <w:tc>
          <w:tcPr>
            <w:tcW w:w="2126" w:type="dxa"/>
            <w:vMerge w:val="continue"/>
            <w:tcBorders>
              <w:top w:val="nil"/>
              <w:left w:val="single" w:color="auto" w:sz="4" w:space="0"/>
              <w:bottom w:val="single" w:color="auto" w:sz="4" w:space="0"/>
              <w:right w:val="single" w:color="auto" w:sz="4" w:space="0"/>
            </w:tcBorders>
            <w:vAlign w:val="center"/>
          </w:tcPr>
          <w:p/>
        </w:tc>
        <w:tc>
          <w:tcPr>
            <w:tcW w:w="2551" w:type="dxa"/>
            <w:gridSpan w:val="2"/>
            <w:vMerge w:val="continue"/>
            <w:tcBorders>
              <w:top w:val="nil"/>
              <w:left w:val="single" w:color="auto" w:sz="4" w:space="0"/>
              <w:bottom w:val="single" w:color="000000" w:sz="4" w:space="0"/>
              <w:right w:val="single" w:color="auto" w:sz="4" w:space="0"/>
            </w:tcBorders>
            <w:vAlign w:val="center"/>
          </w:tcPr>
          <w:p/>
        </w:tc>
        <w:tc>
          <w:tcPr>
            <w:tcW w:w="2977" w:type="dxa"/>
            <w:gridSpan w:val="2"/>
            <w:vMerge w:val="continue"/>
            <w:tcBorders>
              <w:top w:val="nil"/>
              <w:left w:val="single" w:color="auto" w:sz="4" w:space="0"/>
              <w:bottom w:val="single" w:color="000000" w:sz="4" w:space="0"/>
              <w:right w:val="single" w:color="auto" w:sz="4" w:space="0"/>
            </w:tcBorders>
            <w:vAlign w:val="center"/>
          </w:tcPr>
          <w:p/>
        </w:tc>
        <w:tc>
          <w:tcPr>
            <w:tcW w:w="3827" w:type="dxa"/>
            <w:vMerge w:val="continue"/>
            <w:tcBorders>
              <w:top w:val="nil"/>
              <w:left w:val="single" w:color="auto" w:sz="4" w:space="0"/>
              <w:bottom w:val="single" w:color="000000"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0"/>
                <w:szCs w:val="20"/>
              </w:rPr>
            </w:pPr>
            <w:r>
              <w:rPr>
                <w:rFonts w:hint="eastAsia" w:ascii="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0"/>
                <w:szCs w:val="20"/>
              </w:rPr>
            </w:pPr>
            <w:r>
              <w:rPr>
                <w:rFonts w:hint="eastAsia" w:ascii="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cs="宋体"/>
                <w:kern w:val="0"/>
                <w:sz w:val="24"/>
                <w:szCs w:val="24"/>
              </w:rPr>
            </w:pPr>
            <w:r>
              <w:rPr>
                <w:rFonts w:hint="eastAsia" w:ascii="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cs="宋体"/>
                <w:kern w:val="0"/>
                <w:sz w:val="24"/>
                <w:szCs w:val="24"/>
              </w:rPr>
            </w:pPr>
            <w:r>
              <w:rPr>
                <w:rFonts w:hint="eastAsia" w:ascii="宋体" w:cs="宋体"/>
                <w:kern w:val="0"/>
                <w:sz w:val="24"/>
                <w:szCs w:val="24"/>
              </w:rPr>
              <w:t>注：本表反映部门本年度国有资本经营预算财政拨款支出情况。</w:t>
            </w:r>
          </w:p>
        </w:tc>
      </w:tr>
    </w:tbl>
    <w:p>
      <w:pPr>
        <w:pStyle w:val="10"/>
        <w:rPr>
          <w:sz w:val="72"/>
          <w:szCs w:val="72"/>
        </w:rPr>
        <w:sectPr>
          <w:pgSz w:w="16838" w:h="11906" w:orient="landscape"/>
          <w:pgMar w:top="720" w:right="720" w:bottom="720" w:left="720" w:header="851" w:footer="992" w:gutter="0"/>
          <w:cols w:space="720" w:num="1"/>
          <w:docGrid w:type="lines" w:linePitch="312" w:charSpace="0"/>
        </w:sectPr>
      </w:pPr>
      <w:r>
        <w:rPr>
          <w:rFonts w:hint="eastAsia" w:ascii="Times New Roman" w:eastAsia="仿宋_GB2312" w:cs="Times New Roman"/>
          <w:szCs w:val="21"/>
        </w:rPr>
        <w:t>本单位没有国有资本经营预算财政拨款收入，也没有使用国有资本经营预算财政拨款安排的支出，故本表无数据</w:t>
      </w:r>
      <w:r>
        <w:rPr>
          <w:rFonts w:hint="eastAsia" w:ascii="宋体" w:cs="宋体"/>
        </w:rPr>
        <w:t>。</w:t>
      </w: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宋体" w:eastAsia="宋体"/>
          <w:sz w:val="32"/>
          <w:szCs w:val="32"/>
        </w:rPr>
      </w:pPr>
    </w:p>
    <w:p>
      <w:pPr>
        <w:pStyle w:val="10"/>
        <w:rPr>
          <w:b/>
          <w:sz w:val="32"/>
          <w:szCs w:val="32"/>
        </w:rPr>
      </w:pPr>
      <w:r>
        <w:rPr>
          <w:rFonts w:hint="eastAsia"/>
          <w:b/>
          <w:sz w:val="32"/>
          <w:szCs w:val="32"/>
        </w:rPr>
        <w:t>一、收入支出决算总体情况说明</w:t>
      </w:r>
    </w:p>
    <w:p>
      <w:pPr>
        <w:pStyle w:val="10"/>
        <w:ind w:firstLine="800" w:firstLineChars="250"/>
        <w:rPr>
          <w:rFonts w:ascii="宋体" w:eastAsia="宋体"/>
          <w:sz w:val="32"/>
          <w:szCs w:val="32"/>
        </w:rPr>
      </w:pPr>
      <w:r>
        <w:rPr>
          <w:rFonts w:hint="eastAsia" w:ascii="宋体" w:eastAsia="宋体"/>
          <w:sz w:val="32"/>
          <w:szCs w:val="32"/>
        </w:rPr>
        <w:t>2021年度收、支总计41028.23万元。与上年相比，增加23403.47万元，增长132.79%，主要是因为各种政策兑现资金增加。</w:t>
      </w:r>
    </w:p>
    <w:p>
      <w:pPr>
        <w:pStyle w:val="10"/>
        <w:rPr>
          <w:b/>
          <w:sz w:val="32"/>
          <w:szCs w:val="32"/>
        </w:rPr>
      </w:pPr>
      <w:r>
        <w:rPr>
          <w:rFonts w:hint="eastAsia"/>
          <w:b/>
          <w:sz w:val="32"/>
          <w:szCs w:val="32"/>
        </w:rPr>
        <w:t>二、收入决算情况说明</w:t>
      </w:r>
    </w:p>
    <w:p>
      <w:pPr>
        <w:pStyle w:val="10"/>
        <w:ind w:firstLine="640" w:firstLineChars="200"/>
        <w:rPr>
          <w:rFonts w:ascii="宋体" w:eastAsia="宋体"/>
          <w:sz w:val="32"/>
          <w:szCs w:val="32"/>
        </w:rPr>
      </w:pPr>
      <w:r>
        <w:rPr>
          <w:rFonts w:hint="eastAsia" w:ascii="宋体" w:eastAsia="宋体"/>
          <w:sz w:val="32"/>
          <w:szCs w:val="32"/>
        </w:rPr>
        <w:t>2021年度收入合计20193.73万元，其中：财政拨款收入20193.73万元，占%；上级补助收入0万元，占0%；事业收入万元，占0%；经营收入0万元，占0%；附属单位上缴收入0万元，占0%；其他收入0万元，占0%。</w:t>
      </w:r>
    </w:p>
    <w:p>
      <w:pPr>
        <w:pStyle w:val="10"/>
        <w:rPr>
          <w:b/>
          <w:sz w:val="32"/>
          <w:szCs w:val="32"/>
        </w:rPr>
      </w:pPr>
      <w:r>
        <w:rPr>
          <w:rFonts w:hint="eastAsia"/>
          <w:b/>
          <w:sz w:val="32"/>
          <w:szCs w:val="32"/>
        </w:rPr>
        <w:t>三、支出决算情况说明</w:t>
      </w:r>
    </w:p>
    <w:p>
      <w:pPr>
        <w:pStyle w:val="10"/>
        <w:ind w:firstLine="640" w:firstLineChars="200"/>
        <w:rPr>
          <w:rFonts w:ascii="宋体" w:eastAsia="宋体"/>
          <w:sz w:val="32"/>
          <w:szCs w:val="32"/>
        </w:rPr>
      </w:pPr>
      <w:r>
        <w:rPr>
          <w:rFonts w:hint="eastAsia" w:ascii="宋体" w:eastAsia="宋体"/>
          <w:sz w:val="32"/>
          <w:szCs w:val="32"/>
        </w:rPr>
        <w:t>2021年度支出合计20834.5万元，其中：基本支出733.44万元，占3.52%；项目支出20101.06万元，占96.48%；上缴上级支出0万元，占0%；经营支出0万元，占0%；对附属单位补助支出0万元，占0%。</w:t>
      </w:r>
    </w:p>
    <w:p>
      <w:pPr>
        <w:pStyle w:val="10"/>
        <w:rPr>
          <w:b/>
          <w:sz w:val="32"/>
          <w:szCs w:val="32"/>
        </w:rPr>
      </w:pPr>
      <w:r>
        <w:rPr>
          <w:rFonts w:hint="eastAsia"/>
          <w:b/>
          <w:sz w:val="32"/>
          <w:szCs w:val="32"/>
        </w:rPr>
        <w:t>四、财政拨款收入支出决算总体情况说明</w:t>
      </w:r>
    </w:p>
    <w:p>
      <w:pPr>
        <w:pStyle w:val="10"/>
        <w:ind w:firstLine="800" w:firstLineChars="250"/>
        <w:rPr>
          <w:rFonts w:ascii="宋体" w:eastAsia="宋体"/>
          <w:sz w:val="32"/>
          <w:szCs w:val="32"/>
        </w:rPr>
      </w:pPr>
      <w:r>
        <w:rPr>
          <w:rFonts w:hint="eastAsia" w:ascii="宋体" w:eastAsia="宋体"/>
          <w:sz w:val="32"/>
          <w:szCs w:val="32"/>
        </w:rPr>
        <w:t>2021年度财政拨款收、支总计41028.23万元，与上年相比，增加23403.47万元，增长132.79%，主要是因为各种政策兑现资金增加。</w:t>
      </w:r>
    </w:p>
    <w:p>
      <w:pPr>
        <w:pStyle w:val="10"/>
        <w:rPr>
          <w:b/>
          <w:sz w:val="32"/>
          <w:szCs w:val="32"/>
        </w:rPr>
      </w:pPr>
      <w:r>
        <w:rPr>
          <w:rFonts w:hint="eastAsia"/>
          <w:b/>
          <w:sz w:val="32"/>
          <w:szCs w:val="32"/>
        </w:rPr>
        <w:t>五、一般公共预算财政拨款支出决算情况说明</w:t>
      </w:r>
    </w:p>
    <w:p>
      <w:pPr>
        <w:pStyle w:val="10"/>
        <w:ind w:firstLine="640" w:firstLineChars="200"/>
        <w:rPr>
          <w:rFonts w:ascii="宋体" w:eastAsia="宋体"/>
          <w:b/>
          <w:sz w:val="32"/>
          <w:szCs w:val="32"/>
        </w:rPr>
      </w:pPr>
      <w:r>
        <w:rPr>
          <w:rFonts w:hint="eastAsia" w:ascii="宋体" w:eastAsia="宋体"/>
          <w:b/>
          <w:sz w:val="32"/>
          <w:szCs w:val="32"/>
        </w:rPr>
        <w:t>（一）财政拨款支出决算总体情况</w:t>
      </w:r>
    </w:p>
    <w:p>
      <w:pPr>
        <w:pStyle w:val="10"/>
        <w:ind w:firstLine="800" w:firstLineChars="250"/>
        <w:rPr>
          <w:rFonts w:ascii="宋体" w:eastAsia="宋体"/>
          <w:sz w:val="32"/>
          <w:szCs w:val="32"/>
        </w:rPr>
      </w:pPr>
      <w:r>
        <w:rPr>
          <w:rFonts w:hint="eastAsia" w:ascii="宋体" w:eastAsia="宋体"/>
          <w:sz w:val="32"/>
          <w:szCs w:val="32"/>
        </w:rPr>
        <w:t>2021年度财政拨款支出912.74万元，占本年支出合计的100%，与上年相比，财政拨款支出增加449.94万元，增长97.22%，主要是因为临时增加了一些项目支出。</w:t>
      </w:r>
    </w:p>
    <w:p>
      <w:pPr>
        <w:pStyle w:val="10"/>
        <w:ind w:firstLine="480" w:firstLineChars="150"/>
        <w:rPr>
          <w:rFonts w:ascii="宋体" w:eastAsia="宋体"/>
          <w:b/>
          <w:sz w:val="32"/>
          <w:szCs w:val="32"/>
        </w:rPr>
      </w:pPr>
      <w:r>
        <w:rPr>
          <w:rFonts w:hint="eastAsia" w:ascii="宋体" w:eastAsia="宋体"/>
          <w:b/>
          <w:sz w:val="32"/>
          <w:szCs w:val="32"/>
        </w:rPr>
        <w:t>（二）财政拨款支出决算结构情况</w:t>
      </w:r>
    </w:p>
    <w:p>
      <w:pPr>
        <w:pStyle w:val="10"/>
        <w:ind w:firstLine="640" w:firstLineChars="200"/>
        <w:rPr>
          <w:rFonts w:ascii="宋体" w:eastAsia="宋体"/>
          <w:sz w:val="32"/>
          <w:szCs w:val="32"/>
        </w:rPr>
      </w:pPr>
      <w:r>
        <w:rPr>
          <w:rFonts w:hint="eastAsia" w:ascii="宋体" w:eastAsia="宋体"/>
          <w:sz w:val="32"/>
          <w:szCs w:val="32"/>
        </w:rPr>
        <w:t>2021年度财政拨款支出912.74万元，主要用于以下方面：一般公共服务（类）支出716.67万元，占78.52%；科学技术支出（类）支出80万元，占8.76%;文化旅游体育与传媒支出（类）支出12.6万元，占1.38%;资源勘探工业信息等支出（类）支出103.47万元，占11.34%。</w:t>
      </w:r>
    </w:p>
    <w:p>
      <w:pPr>
        <w:pStyle w:val="10"/>
        <w:ind w:firstLine="640" w:firstLineChars="200"/>
        <w:rPr>
          <w:rFonts w:ascii="宋体" w:eastAsia="宋体"/>
          <w:b/>
          <w:sz w:val="32"/>
          <w:szCs w:val="32"/>
        </w:rPr>
      </w:pPr>
      <w:r>
        <w:rPr>
          <w:rFonts w:hint="eastAsia" w:ascii="宋体" w:eastAsia="宋体"/>
          <w:b/>
          <w:sz w:val="32"/>
          <w:szCs w:val="32"/>
        </w:rPr>
        <w:t>（三）财政拨款支出决算具体情况</w:t>
      </w:r>
    </w:p>
    <w:p>
      <w:pPr>
        <w:pStyle w:val="10"/>
        <w:ind w:firstLine="800" w:firstLineChars="250"/>
        <w:rPr>
          <w:rFonts w:ascii="宋体" w:eastAsia="宋体"/>
          <w:sz w:val="32"/>
          <w:szCs w:val="32"/>
        </w:rPr>
      </w:pPr>
      <w:r>
        <w:rPr>
          <w:rFonts w:hint="eastAsia" w:ascii="宋体" w:eastAsia="宋体"/>
          <w:sz w:val="32"/>
          <w:szCs w:val="32"/>
        </w:rPr>
        <w:t>2021年度财政拨款支出年初预算数为400.69万元，支出决算数为912.74万元，完成年初预算的227.79%，其中：</w:t>
      </w:r>
    </w:p>
    <w:p>
      <w:pPr>
        <w:pStyle w:val="10"/>
        <w:ind w:firstLine="800" w:firstLineChars="250"/>
        <w:rPr>
          <w:rFonts w:ascii="宋体" w:eastAsia="宋体"/>
          <w:sz w:val="32"/>
          <w:szCs w:val="32"/>
        </w:rPr>
      </w:pPr>
      <w:r>
        <w:rPr>
          <w:rFonts w:hint="eastAsia" w:ascii="宋体" w:eastAsia="宋体"/>
          <w:sz w:val="32"/>
          <w:szCs w:val="32"/>
        </w:rPr>
        <w:t>1、一般公共服务支出（类）政府办公厅（室）及相关机构事务（款）  其他政府办公厅（室）及相关机构事务支出（项）。</w:t>
      </w:r>
    </w:p>
    <w:p>
      <w:pPr>
        <w:pStyle w:val="10"/>
        <w:ind w:firstLine="800" w:firstLineChars="250"/>
        <w:rPr>
          <w:rFonts w:ascii="宋体" w:eastAsia="宋体"/>
          <w:sz w:val="32"/>
          <w:szCs w:val="32"/>
        </w:rPr>
      </w:pPr>
      <w:r>
        <w:rPr>
          <w:rFonts w:hint="eastAsia" w:ascii="宋体" w:eastAsia="宋体"/>
          <w:sz w:val="32"/>
          <w:szCs w:val="32"/>
        </w:rPr>
        <w:t>年初预算为0万元，支出决算为599.67万元，无法计算完成比率，决算数大于年初预算数的主要原因是：1.年初使用行政运行项目预算了298.09万元和一般行政管理事务预算了102.6万，未经过本项目预算；2.工资调标，工资和社保缴费增加及园区奖励由大财政预算。</w:t>
      </w:r>
    </w:p>
    <w:p>
      <w:pPr>
        <w:pStyle w:val="10"/>
        <w:ind w:firstLine="800" w:firstLineChars="250"/>
        <w:rPr>
          <w:rFonts w:ascii="宋体" w:eastAsia="宋体"/>
          <w:sz w:val="32"/>
          <w:szCs w:val="32"/>
        </w:rPr>
      </w:pPr>
      <w:r>
        <w:rPr>
          <w:rFonts w:hint="eastAsia" w:ascii="宋体" w:eastAsia="宋体"/>
          <w:sz w:val="32"/>
          <w:szCs w:val="32"/>
        </w:rPr>
        <w:t>2、一般公共服务支出（类）发展与改革事务（款）其他发展与改革事务支出（项）。</w:t>
      </w:r>
    </w:p>
    <w:p>
      <w:pPr>
        <w:pStyle w:val="10"/>
        <w:ind w:firstLine="800" w:firstLineChars="250"/>
        <w:rPr>
          <w:rFonts w:ascii="宋体" w:eastAsia="宋体"/>
          <w:sz w:val="32"/>
          <w:szCs w:val="32"/>
        </w:rPr>
      </w:pPr>
      <w:r>
        <w:rPr>
          <w:rFonts w:hint="eastAsia" w:ascii="宋体" w:eastAsia="宋体"/>
          <w:sz w:val="32"/>
          <w:szCs w:val="32"/>
        </w:rPr>
        <w:t>年初预算为0万元，支出决算为97万元，无法计算完成比率，决算数大于年初预算数的主要原因是：省财政部门预算并下达的奖补资金。</w:t>
      </w:r>
    </w:p>
    <w:p>
      <w:pPr>
        <w:pStyle w:val="10"/>
        <w:ind w:firstLine="800" w:firstLineChars="250"/>
        <w:rPr>
          <w:rFonts w:ascii="宋体" w:eastAsia="宋体"/>
          <w:sz w:val="32"/>
          <w:szCs w:val="32"/>
        </w:rPr>
      </w:pPr>
      <w:r>
        <w:rPr>
          <w:rFonts w:hint="eastAsia" w:ascii="宋体" w:eastAsia="宋体"/>
          <w:sz w:val="32"/>
          <w:szCs w:val="32"/>
        </w:rPr>
        <w:t>3、一般公共服务支出（类）统计信息事务（款）其他统计信息事务支出（项）。</w:t>
      </w:r>
    </w:p>
    <w:p>
      <w:pPr>
        <w:pStyle w:val="10"/>
        <w:ind w:firstLine="800" w:firstLineChars="250"/>
        <w:rPr>
          <w:rFonts w:ascii="宋体" w:eastAsia="宋体"/>
          <w:sz w:val="32"/>
          <w:szCs w:val="32"/>
        </w:rPr>
      </w:pPr>
      <w:r>
        <w:rPr>
          <w:rFonts w:hint="eastAsia" w:ascii="宋体" w:eastAsia="宋体"/>
          <w:sz w:val="32"/>
          <w:szCs w:val="32"/>
        </w:rPr>
        <w:t>年初预算为0万元，支出决算为20万元，无法计算完成比率，决算数大于年初预算数的主要原因是：统计经费由大财政进行预算。</w:t>
      </w:r>
    </w:p>
    <w:p>
      <w:pPr>
        <w:pStyle w:val="10"/>
        <w:ind w:firstLine="800" w:firstLineChars="250"/>
        <w:rPr>
          <w:rFonts w:ascii="宋体" w:eastAsia="宋体"/>
          <w:sz w:val="32"/>
          <w:szCs w:val="32"/>
        </w:rPr>
      </w:pPr>
      <w:r>
        <w:rPr>
          <w:rFonts w:hint="eastAsia" w:ascii="宋体" w:eastAsia="宋体"/>
          <w:sz w:val="32"/>
          <w:szCs w:val="32"/>
        </w:rPr>
        <w:t>4、科学技术支出（类）科技条件与服务（款）其他科技条件与服务支出（项）。</w:t>
      </w:r>
    </w:p>
    <w:p>
      <w:pPr>
        <w:pStyle w:val="10"/>
        <w:ind w:firstLine="800" w:firstLineChars="250"/>
        <w:rPr>
          <w:rFonts w:ascii="宋体" w:eastAsia="宋体"/>
          <w:sz w:val="32"/>
          <w:szCs w:val="32"/>
        </w:rPr>
      </w:pPr>
      <w:r>
        <w:rPr>
          <w:rFonts w:hint="eastAsia" w:ascii="宋体" w:eastAsia="宋体"/>
          <w:sz w:val="32"/>
          <w:szCs w:val="32"/>
        </w:rPr>
        <w:t>年初预算为0万元，支出决算为25万元，无法计算完成比率，决算数大于年初预算数的主要原因是：省财政部门预算并下达的资金。</w:t>
      </w:r>
    </w:p>
    <w:p>
      <w:pPr>
        <w:pStyle w:val="10"/>
        <w:ind w:firstLine="800" w:firstLineChars="250"/>
        <w:rPr>
          <w:rFonts w:ascii="宋体" w:eastAsia="宋体"/>
          <w:sz w:val="32"/>
          <w:szCs w:val="32"/>
        </w:rPr>
      </w:pPr>
      <w:r>
        <w:rPr>
          <w:rFonts w:hint="eastAsia" w:ascii="宋体" w:eastAsia="宋体"/>
          <w:sz w:val="32"/>
          <w:szCs w:val="32"/>
        </w:rPr>
        <w:t>5、一般科学技术支出（类）其他科学技术支出（款）其他科学技术支出（项）。</w:t>
      </w:r>
    </w:p>
    <w:p>
      <w:pPr>
        <w:pStyle w:val="10"/>
        <w:ind w:firstLine="800" w:firstLineChars="250"/>
        <w:rPr>
          <w:rFonts w:ascii="宋体" w:eastAsia="宋体"/>
          <w:sz w:val="32"/>
          <w:szCs w:val="32"/>
        </w:rPr>
      </w:pPr>
      <w:r>
        <w:rPr>
          <w:rFonts w:hint="eastAsia" w:ascii="宋体" w:eastAsia="宋体"/>
          <w:sz w:val="32"/>
          <w:szCs w:val="32"/>
        </w:rPr>
        <w:t>年初预算为0万元，支出决算为55万元，无法计算完成比率，决算数大于年初预算数的主要原因是：省财政部门预算并下达的资金。</w:t>
      </w:r>
    </w:p>
    <w:p>
      <w:pPr>
        <w:pStyle w:val="10"/>
        <w:ind w:firstLine="800" w:firstLineChars="250"/>
        <w:rPr>
          <w:rFonts w:ascii="宋体" w:eastAsia="宋体"/>
          <w:sz w:val="32"/>
          <w:szCs w:val="32"/>
        </w:rPr>
      </w:pPr>
      <w:r>
        <w:rPr>
          <w:rFonts w:hint="eastAsia" w:ascii="宋体" w:eastAsia="宋体"/>
          <w:sz w:val="32"/>
          <w:szCs w:val="32"/>
        </w:rPr>
        <w:t>6、文化旅游体育与传媒支出（类）文化和旅游（款）其他文化和旅游支出（项）。</w:t>
      </w:r>
    </w:p>
    <w:p>
      <w:pPr>
        <w:pStyle w:val="10"/>
        <w:ind w:firstLine="800" w:firstLineChars="250"/>
        <w:rPr>
          <w:rFonts w:ascii="宋体" w:eastAsia="宋体"/>
          <w:sz w:val="32"/>
          <w:szCs w:val="32"/>
        </w:rPr>
      </w:pPr>
      <w:r>
        <w:rPr>
          <w:rFonts w:hint="eastAsia" w:ascii="宋体" w:eastAsia="宋体"/>
          <w:sz w:val="32"/>
          <w:szCs w:val="32"/>
        </w:rPr>
        <w:t>年初预算为0万元，支出决算为12.6万元，无法计算完成比率，决算数大于年初预算数的主要原因是：预算不够精细，支出费用增加。</w:t>
      </w:r>
    </w:p>
    <w:p>
      <w:pPr>
        <w:pStyle w:val="10"/>
        <w:ind w:firstLine="800" w:firstLineChars="250"/>
        <w:rPr>
          <w:rFonts w:ascii="宋体" w:eastAsia="宋体"/>
          <w:sz w:val="32"/>
          <w:szCs w:val="32"/>
        </w:rPr>
      </w:pPr>
      <w:r>
        <w:rPr>
          <w:rFonts w:hint="eastAsia" w:ascii="宋体" w:eastAsia="宋体"/>
          <w:sz w:val="32"/>
          <w:szCs w:val="32"/>
        </w:rPr>
        <w:t>7、资源勘探工业信息等支出（类）制造业（款）其他制造业支出（项）。</w:t>
      </w:r>
    </w:p>
    <w:p>
      <w:pPr>
        <w:pStyle w:val="10"/>
        <w:ind w:firstLine="800" w:firstLineChars="250"/>
        <w:rPr>
          <w:rFonts w:ascii="宋体" w:eastAsia="宋体"/>
          <w:sz w:val="32"/>
          <w:szCs w:val="32"/>
        </w:rPr>
      </w:pPr>
      <w:r>
        <w:rPr>
          <w:rFonts w:hint="eastAsia" w:ascii="宋体" w:eastAsia="宋体"/>
          <w:sz w:val="32"/>
          <w:szCs w:val="32"/>
        </w:rPr>
        <w:t>年初预算为0万元，支出决算为100万元，无法计算完成比率，决算数大于年初预算数的主要原因是：省财政部门预算并下达的培育发展先进制造业集群奖励专项资金。</w:t>
      </w:r>
    </w:p>
    <w:p>
      <w:pPr>
        <w:pStyle w:val="10"/>
        <w:ind w:firstLine="800" w:firstLineChars="250"/>
        <w:rPr>
          <w:rFonts w:ascii="宋体" w:eastAsia="宋体"/>
          <w:sz w:val="32"/>
          <w:szCs w:val="32"/>
        </w:rPr>
      </w:pPr>
      <w:r>
        <w:rPr>
          <w:rFonts w:hint="eastAsia" w:ascii="宋体" w:eastAsia="宋体"/>
          <w:sz w:val="32"/>
          <w:szCs w:val="32"/>
        </w:rPr>
        <w:t>8、资源勘探工业信息等支出（类）工业和信息产业监管（款）行政运行（项）。</w:t>
      </w:r>
    </w:p>
    <w:p>
      <w:pPr>
        <w:pStyle w:val="10"/>
        <w:ind w:firstLine="800" w:firstLineChars="250"/>
        <w:rPr>
          <w:rFonts w:ascii="宋体" w:eastAsia="宋体"/>
          <w:sz w:val="32"/>
          <w:szCs w:val="32"/>
        </w:rPr>
      </w:pPr>
      <w:r>
        <w:rPr>
          <w:rFonts w:hint="eastAsia" w:ascii="宋体" w:eastAsia="宋体"/>
          <w:sz w:val="32"/>
          <w:szCs w:val="32"/>
        </w:rPr>
        <w:t>年初预算为0万元，支出决算为3.47万元，无法计算完成比率，决算数大于年初预算数的主要原因是：预算不够精细，支出费用增加。</w:t>
      </w:r>
    </w:p>
    <w:p>
      <w:pPr>
        <w:pStyle w:val="10"/>
        <w:rPr>
          <w:b/>
          <w:sz w:val="32"/>
          <w:szCs w:val="32"/>
        </w:rPr>
      </w:pPr>
      <w:r>
        <w:rPr>
          <w:rFonts w:hint="eastAsia"/>
          <w:b/>
          <w:sz w:val="32"/>
          <w:szCs w:val="32"/>
        </w:rPr>
        <w:t>六、一般公共预算财政拨款基本支出决算情况说明</w:t>
      </w:r>
    </w:p>
    <w:p>
      <w:pPr>
        <w:pStyle w:val="10"/>
        <w:ind w:firstLine="640" w:firstLineChars="200"/>
        <w:rPr>
          <w:rFonts w:ascii="宋体" w:eastAsia="宋体"/>
          <w:sz w:val="32"/>
          <w:szCs w:val="32"/>
        </w:rPr>
      </w:pPr>
      <w:r>
        <w:rPr>
          <w:rFonts w:hint="eastAsia" w:ascii="宋体" w:eastAsia="宋体"/>
          <w:sz w:val="32"/>
          <w:szCs w:val="32"/>
        </w:rPr>
        <w:t>2021年度财政拨款基本支出615.74万元，其中：人员经费391.54万元，占基本支出的63.59%,主要包括基本工资、绩效工资、奖金、伙食补助费、机关事业单位基本养老保险缴费、职工基本医疗保险缴费；公用经费224.2万元，占基本支出的36.41%，主要包括办公费、印刷费、咨询费、手续费、差旅费、公务接待费、工会经费、其他交通费等。</w:t>
      </w:r>
    </w:p>
    <w:p>
      <w:pPr>
        <w:pStyle w:val="10"/>
        <w:rPr>
          <w:b/>
          <w:sz w:val="32"/>
          <w:szCs w:val="32"/>
        </w:rPr>
      </w:pPr>
      <w:r>
        <w:rPr>
          <w:rFonts w:hint="eastAsia"/>
          <w:b/>
          <w:sz w:val="32"/>
          <w:szCs w:val="32"/>
        </w:rPr>
        <w:t>七、一般公共预算财政拨款“三公”经费支出决算情况说明</w:t>
      </w:r>
    </w:p>
    <w:p>
      <w:pPr>
        <w:pStyle w:val="10"/>
        <w:rPr>
          <w:rFonts w:ascii="宋体" w:eastAsia="宋体"/>
          <w:b/>
          <w:sz w:val="32"/>
          <w:szCs w:val="32"/>
        </w:rPr>
      </w:pPr>
      <w:r>
        <w:rPr>
          <w:rFonts w:hint="eastAsia" w:ascii="宋体" w:eastAsia="宋体"/>
          <w:b/>
          <w:sz w:val="32"/>
          <w:szCs w:val="32"/>
        </w:rPr>
        <w:t>（一）“三公”经费财政拨款支出决算总体情况说明</w:t>
      </w:r>
    </w:p>
    <w:p>
      <w:pPr>
        <w:pStyle w:val="10"/>
        <w:ind w:firstLine="800" w:firstLineChars="250"/>
        <w:rPr>
          <w:rFonts w:ascii="宋体" w:eastAsia="宋体"/>
          <w:sz w:val="32"/>
          <w:szCs w:val="32"/>
        </w:rPr>
      </w:pPr>
      <w:r>
        <w:rPr>
          <w:rFonts w:hint="eastAsia" w:ascii="宋体" w:eastAsia="宋体"/>
          <w:sz w:val="32"/>
          <w:szCs w:val="32"/>
        </w:rPr>
        <w:t>2021年度“三公”经费财政拨款支出预算为18.6万元，支出决算为41.16万元，完成预算的221.29%，其中：</w:t>
      </w:r>
    </w:p>
    <w:p>
      <w:pPr>
        <w:pStyle w:val="10"/>
        <w:ind w:firstLine="800" w:firstLineChars="250"/>
        <w:rPr>
          <w:rFonts w:hint="eastAsia" w:asciiTheme="minorEastAsia" w:hAnsiTheme="minorEastAsia" w:eastAsiaTheme="minorEastAsia"/>
          <w:sz w:val="32"/>
          <w:szCs w:val="32"/>
        </w:rPr>
      </w:pPr>
      <w:r>
        <w:rPr>
          <w:rFonts w:hint="eastAsia" w:ascii="宋体" w:eastAsia="宋体"/>
          <w:sz w:val="32"/>
          <w:szCs w:val="32"/>
        </w:rPr>
        <w:t>因公出国（境）费支出预算为0万元，支出决算为0万元，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800" w:firstLineChars="250"/>
        <w:rPr>
          <w:rFonts w:ascii="宋体" w:eastAsia="宋体"/>
          <w:sz w:val="32"/>
          <w:szCs w:val="32"/>
        </w:rPr>
      </w:pPr>
      <w:r>
        <w:rPr>
          <w:rFonts w:hint="eastAsia" w:ascii="宋体" w:eastAsia="宋体"/>
          <w:sz w:val="32"/>
          <w:szCs w:val="32"/>
        </w:rPr>
        <w:t>公务接待费支出预算为9.3万元，支出决算为37万元，完成预算的397.85%，决算数大于预算数的主要原因是招商引资的接待费由大财政预算，与上年相比减少19.3万元，减少34.28%,增长的主要原因是受疫情影响，来道考察项目客商数量减少。</w:t>
      </w:r>
    </w:p>
    <w:p>
      <w:pPr>
        <w:pStyle w:val="10"/>
        <w:ind w:firstLine="640" w:firstLineChars="200"/>
        <w:rPr>
          <w:rFonts w:asciiTheme="minorEastAsia" w:hAnsiTheme="minorEastAsia" w:eastAsiaTheme="minorEastAsia"/>
          <w:sz w:val="32"/>
          <w:szCs w:val="32"/>
        </w:rPr>
      </w:pPr>
      <w:r>
        <w:rPr>
          <w:rFonts w:hint="eastAsia" w:ascii="宋体" w:eastAsia="宋体"/>
          <w:sz w:val="32"/>
          <w:szCs w:val="32"/>
        </w:rPr>
        <w:t>公务用车购置费支出预算为0万元，支出决算为0万元，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p>
    <w:p>
      <w:pPr>
        <w:pStyle w:val="10"/>
        <w:ind w:firstLine="640" w:firstLineChars="200"/>
        <w:rPr>
          <w:rFonts w:ascii="宋体" w:eastAsia="宋体"/>
          <w:sz w:val="32"/>
          <w:szCs w:val="32"/>
        </w:rPr>
      </w:pPr>
      <w:r>
        <w:rPr>
          <w:rFonts w:hint="eastAsia" w:ascii="宋体" w:eastAsia="宋体"/>
          <w:sz w:val="32"/>
          <w:szCs w:val="32"/>
        </w:rPr>
        <w:t>公务用车运行维护费支出预算为9.3万元，支出决算为4.16万元，完成预算的44.73%，决算数大于预算数的主要原因是从机关事务局借</w:t>
      </w:r>
      <w:bookmarkStart w:id="3" w:name="_GoBack"/>
      <w:bookmarkEnd w:id="3"/>
      <w:r>
        <w:rPr>
          <w:rFonts w:hint="eastAsia" w:ascii="宋体" w:eastAsia="宋体"/>
          <w:sz w:val="32"/>
          <w:szCs w:val="32"/>
        </w:rPr>
        <w:t>来的公车，提前归还给机关事务局，与上年相比增加3.75万元，增长914.63%,增长的主要原因是从机关事务局借了两台公务用车用于招商引资。</w:t>
      </w:r>
    </w:p>
    <w:p>
      <w:pPr>
        <w:pStyle w:val="10"/>
        <w:rPr>
          <w:rFonts w:ascii="宋体" w:eastAsia="宋体"/>
          <w:b/>
          <w:sz w:val="32"/>
          <w:szCs w:val="32"/>
        </w:rPr>
      </w:pPr>
      <w:r>
        <w:rPr>
          <w:rFonts w:hint="eastAsia" w:ascii="宋体" w:eastAsia="宋体"/>
          <w:b/>
          <w:sz w:val="32"/>
          <w:szCs w:val="32"/>
        </w:rPr>
        <w:t>（二）“三公”经费财政拨款支出决算具体情况说明</w:t>
      </w:r>
    </w:p>
    <w:p>
      <w:pPr>
        <w:pStyle w:val="10"/>
        <w:ind w:firstLine="640" w:firstLineChars="200"/>
        <w:rPr>
          <w:rFonts w:ascii="宋体" w:eastAsia="宋体"/>
          <w:sz w:val="32"/>
          <w:szCs w:val="32"/>
        </w:rPr>
      </w:pPr>
      <w:r>
        <w:rPr>
          <w:rFonts w:hint="eastAsia" w:ascii="宋体" w:eastAsia="宋体"/>
          <w:sz w:val="32"/>
          <w:szCs w:val="32"/>
        </w:rPr>
        <w:t>2021年度“三公”经费财政拨款支出决算中，公务接待费支出决算37万元，占89.89%,因公出国（境）费支出决算0万元，占0%,公务用车购置费及运行维护费支出决4.16万元，占10.11%。其中：</w:t>
      </w:r>
    </w:p>
    <w:p>
      <w:pPr>
        <w:pStyle w:val="10"/>
        <w:ind w:firstLine="640" w:firstLineChars="200"/>
        <w:rPr>
          <w:rFonts w:ascii="宋体" w:eastAsia="宋体"/>
          <w:sz w:val="32"/>
          <w:szCs w:val="32"/>
        </w:rPr>
      </w:pPr>
      <w:r>
        <w:rPr>
          <w:rFonts w:hint="eastAsia" w:ascii="宋体" w:eastAsia="宋体"/>
          <w:sz w:val="32"/>
          <w:szCs w:val="32"/>
        </w:rPr>
        <w:t>1、因公出国（境）费支出决算为0万元，全年安排因公出国（境）团组0个，累0人次。</w:t>
      </w:r>
    </w:p>
    <w:p>
      <w:pPr>
        <w:pStyle w:val="10"/>
        <w:ind w:firstLine="800" w:firstLineChars="250"/>
        <w:rPr>
          <w:rFonts w:ascii="宋体" w:eastAsia="宋体"/>
          <w:sz w:val="32"/>
          <w:szCs w:val="32"/>
        </w:rPr>
      </w:pPr>
      <w:r>
        <w:rPr>
          <w:rFonts w:hint="eastAsia" w:ascii="宋体" w:eastAsia="宋体"/>
          <w:sz w:val="32"/>
          <w:szCs w:val="32"/>
        </w:rPr>
        <w:t>2、公务接待费支出决算为37万元，全年共接待来访团组148个、来宾2944人次，主要是接待来道考察项目的客商发生的接待支出。</w:t>
      </w:r>
    </w:p>
    <w:p>
      <w:pPr>
        <w:ind w:firstLine="800" w:firstLineChars="250"/>
        <w:rPr>
          <w:rFonts w:ascii="宋体" w:cs="黑体"/>
          <w:color w:val="000000"/>
          <w:kern w:val="0"/>
          <w:sz w:val="32"/>
          <w:szCs w:val="32"/>
        </w:rPr>
      </w:pPr>
      <w:r>
        <w:rPr>
          <w:rFonts w:hint="eastAsia" w:ascii="宋体"/>
          <w:sz w:val="32"/>
          <w:szCs w:val="32"/>
        </w:rPr>
        <w:t>3、公务用车购置费及运行维护费支出决算为4.16万元，其中：公务用车购置费0万元，公务用车购置0辆</w:t>
      </w:r>
      <w:r>
        <w:rPr>
          <w:rFonts w:hint="eastAsia" w:ascii="宋体"/>
          <w:color w:val="000000"/>
          <w:sz w:val="32"/>
          <w:szCs w:val="32"/>
        </w:rPr>
        <w:t>。</w:t>
      </w:r>
      <w:r>
        <w:rPr>
          <w:rFonts w:hint="eastAsia" w:ascii="宋体"/>
          <w:sz w:val="32"/>
          <w:szCs w:val="32"/>
        </w:rPr>
        <w:t>公务用车运行维护费4.16万元，主要是车辆燃油费支出，截止2021年12月31日，我单位开支财政拨款的公务用车保有量为2辆（借来得2台公务用车，下半年归还给机关事务局）。</w:t>
      </w:r>
    </w:p>
    <w:p>
      <w:pPr>
        <w:pStyle w:val="10"/>
        <w:rPr>
          <w:b/>
          <w:sz w:val="32"/>
          <w:szCs w:val="32"/>
        </w:rPr>
      </w:pPr>
      <w:r>
        <w:rPr>
          <w:rFonts w:hint="eastAsia"/>
          <w:b/>
          <w:sz w:val="32"/>
          <w:szCs w:val="32"/>
        </w:rPr>
        <w:t>八、政府性基金预算收入支出决算情况</w:t>
      </w:r>
    </w:p>
    <w:p>
      <w:pPr>
        <w:pStyle w:val="10"/>
        <w:rPr>
          <w:rFonts w:ascii="宋体" w:eastAsia="宋体"/>
          <w:i/>
          <w:color w:val="FF0000"/>
          <w:sz w:val="32"/>
          <w:szCs w:val="32"/>
        </w:rPr>
      </w:pPr>
      <w:r>
        <w:rPr>
          <w:rFonts w:hint="eastAsia" w:ascii="宋体" w:eastAsia="宋体"/>
          <w:sz w:val="32"/>
          <w:szCs w:val="32"/>
        </w:rPr>
        <w:t xml:space="preserve">     2021年度政府性基金预算财政拨款收入19880.66万元；年初结转和结余41.10万元；支出19921.76万元，其中基本支出117.71万元，项目支出19804.05万元；年末结转和结余0万元。具体情况如下：</w:t>
      </w:r>
    </w:p>
    <w:p>
      <w:pPr>
        <w:pStyle w:val="10"/>
        <w:ind w:firstLine="800" w:firstLineChars="250"/>
        <w:rPr>
          <w:rFonts w:ascii="宋体" w:eastAsia="宋体"/>
          <w:sz w:val="32"/>
          <w:szCs w:val="32"/>
        </w:rPr>
      </w:pPr>
      <w:r>
        <w:rPr>
          <w:rFonts w:hint="eastAsia" w:ascii="宋体" w:eastAsia="宋体"/>
          <w:sz w:val="32"/>
          <w:szCs w:val="32"/>
        </w:rPr>
        <w:t>1、城乡社区支出（类）国有土地使用权出让收入安排的支出（款）征地和拆迁补偿支出（项）。</w:t>
      </w:r>
    </w:p>
    <w:p>
      <w:pPr>
        <w:pStyle w:val="10"/>
        <w:ind w:firstLine="800" w:firstLineChars="250"/>
        <w:rPr>
          <w:rFonts w:ascii="宋体" w:eastAsia="宋体"/>
          <w:sz w:val="32"/>
          <w:szCs w:val="32"/>
        </w:rPr>
      </w:pPr>
      <w:r>
        <w:rPr>
          <w:rFonts w:hint="eastAsia" w:ascii="宋体" w:eastAsia="宋体"/>
          <w:sz w:val="32"/>
          <w:szCs w:val="32"/>
        </w:rPr>
        <w:t>年初预算为0万元，支出决算为7002.25万元，无法计算完成比率，决算数大于年初预算数的主要原因是：征地拆迁经费由大财政预算。</w:t>
      </w:r>
    </w:p>
    <w:p>
      <w:pPr>
        <w:pStyle w:val="10"/>
        <w:ind w:firstLine="800" w:firstLineChars="250"/>
        <w:rPr>
          <w:rFonts w:ascii="宋体" w:eastAsia="宋体"/>
          <w:sz w:val="32"/>
          <w:szCs w:val="32"/>
        </w:rPr>
      </w:pPr>
      <w:r>
        <w:rPr>
          <w:rFonts w:hint="eastAsia" w:ascii="宋体" w:eastAsia="宋体"/>
          <w:sz w:val="32"/>
          <w:szCs w:val="32"/>
        </w:rPr>
        <w:t>2、城乡社区支出（类）国有土地使用权出让收入安排的支出（款）土地开发支出（项）。</w:t>
      </w:r>
    </w:p>
    <w:p>
      <w:pPr>
        <w:pStyle w:val="10"/>
        <w:ind w:firstLine="800" w:firstLineChars="250"/>
        <w:rPr>
          <w:rFonts w:ascii="宋体" w:eastAsia="宋体"/>
          <w:sz w:val="32"/>
          <w:szCs w:val="32"/>
        </w:rPr>
      </w:pPr>
      <w:r>
        <w:rPr>
          <w:rFonts w:hint="eastAsia" w:ascii="宋体" w:eastAsia="宋体"/>
          <w:sz w:val="32"/>
          <w:szCs w:val="32"/>
        </w:rPr>
        <w:t>年初预算为0万元，支出决算为274万元，无法计算完成比率，决算数大于年初预算数的主要原因是：土地开发支出由大财政预算。</w:t>
      </w:r>
    </w:p>
    <w:p>
      <w:pPr>
        <w:pStyle w:val="10"/>
        <w:ind w:firstLine="800" w:firstLineChars="250"/>
        <w:rPr>
          <w:rFonts w:ascii="宋体" w:eastAsia="宋体"/>
          <w:sz w:val="32"/>
          <w:szCs w:val="32"/>
        </w:rPr>
      </w:pPr>
      <w:r>
        <w:rPr>
          <w:rFonts w:hint="eastAsia" w:ascii="宋体" w:eastAsia="宋体"/>
          <w:sz w:val="32"/>
          <w:szCs w:val="32"/>
        </w:rPr>
        <w:t>3、城乡社区支出（类）国有土地使用权出让收入安排的支出（款）补助被征地农民支出（项）。</w:t>
      </w:r>
    </w:p>
    <w:p>
      <w:pPr>
        <w:pStyle w:val="10"/>
        <w:ind w:firstLine="800" w:firstLineChars="250"/>
        <w:rPr>
          <w:rFonts w:ascii="宋体" w:eastAsia="宋体"/>
          <w:sz w:val="32"/>
          <w:szCs w:val="32"/>
        </w:rPr>
      </w:pPr>
      <w:r>
        <w:rPr>
          <w:rFonts w:hint="eastAsia" w:ascii="宋体" w:eastAsia="宋体"/>
          <w:sz w:val="32"/>
          <w:szCs w:val="32"/>
        </w:rPr>
        <w:t>年初预算为0万元，支出决算为41.10万元，无法计算完成比率，决算数大于年初预算数的主要原因是：补助被征地农民支出由大财政预算。</w:t>
      </w:r>
    </w:p>
    <w:p>
      <w:pPr>
        <w:pStyle w:val="10"/>
        <w:ind w:firstLine="800" w:firstLineChars="250"/>
        <w:rPr>
          <w:rFonts w:ascii="宋体" w:eastAsia="宋体"/>
          <w:sz w:val="32"/>
          <w:szCs w:val="32"/>
        </w:rPr>
      </w:pPr>
      <w:r>
        <w:rPr>
          <w:rFonts w:hint="eastAsia" w:ascii="宋体" w:eastAsia="宋体"/>
          <w:sz w:val="32"/>
          <w:szCs w:val="32"/>
        </w:rPr>
        <w:t>4、城乡社区支出（类）国有土地使用权出让收入安排的支出（款）  其他国有土地使用权出让收入安排的支出（项）。</w:t>
      </w:r>
    </w:p>
    <w:p>
      <w:pPr>
        <w:pStyle w:val="10"/>
        <w:ind w:firstLine="800" w:firstLineChars="250"/>
        <w:rPr>
          <w:rFonts w:ascii="宋体" w:eastAsia="宋体"/>
          <w:sz w:val="32"/>
          <w:szCs w:val="32"/>
        </w:rPr>
      </w:pPr>
      <w:r>
        <w:rPr>
          <w:rFonts w:hint="eastAsia" w:ascii="宋体" w:eastAsia="宋体"/>
          <w:sz w:val="32"/>
          <w:szCs w:val="32"/>
        </w:rPr>
        <w:t>年初预算为0万元，支出决算为14.35万元，无法计算完成比率，决算数大于年初预算数的主要原因是：其他国有土地使用权出让收入安排的支出由大财政预算。</w:t>
      </w:r>
    </w:p>
    <w:p>
      <w:pPr>
        <w:pStyle w:val="10"/>
        <w:ind w:firstLine="800" w:firstLineChars="250"/>
        <w:rPr>
          <w:rFonts w:ascii="宋体" w:eastAsia="宋体"/>
          <w:sz w:val="32"/>
          <w:szCs w:val="32"/>
        </w:rPr>
      </w:pPr>
      <w:r>
        <w:rPr>
          <w:rFonts w:hint="eastAsia" w:ascii="宋体" w:eastAsia="宋体"/>
          <w:sz w:val="32"/>
          <w:szCs w:val="32"/>
        </w:rPr>
        <w:t>5、其他支出（类）其他政府性基金及对应专项债务收入安排的支出（款）    其他地方自行试点项目收益专项债券收入安排的支出（项）。</w:t>
      </w:r>
    </w:p>
    <w:p>
      <w:pPr>
        <w:pStyle w:val="10"/>
        <w:ind w:firstLine="800" w:firstLineChars="250"/>
        <w:rPr>
          <w:rFonts w:ascii="宋体" w:eastAsia="宋体"/>
          <w:sz w:val="32"/>
          <w:szCs w:val="32"/>
        </w:rPr>
      </w:pPr>
      <w:r>
        <w:rPr>
          <w:rFonts w:hint="eastAsia" w:ascii="宋体" w:eastAsia="宋体"/>
          <w:sz w:val="32"/>
          <w:szCs w:val="32"/>
        </w:rPr>
        <w:t>年初预算为0万元，支出决算为12590.05万元，无法计算完成比率，决算数大于年初预算数的主要原因是：政策兑现资金由大财政预算。</w:t>
      </w:r>
    </w:p>
    <w:p>
      <w:pPr>
        <w:pStyle w:val="10"/>
        <w:rPr>
          <w:b/>
          <w:sz w:val="32"/>
          <w:szCs w:val="32"/>
        </w:rPr>
      </w:pPr>
      <w:r>
        <w:rPr>
          <w:rFonts w:hint="eastAsia"/>
          <w:b/>
          <w:sz w:val="32"/>
          <w:szCs w:val="32"/>
        </w:rPr>
        <w:t>九、机关运行经费支出说明</w:t>
      </w:r>
    </w:p>
    <w:p>
      <w:pPr>
        <w:pStyle w:val="10"/>
        <w:ind w:firstLine="640" w:firstLineChars="200"/>
        <w:rPr>
          <w:rFonts w:ascii="宋体" w:eastAsia="宋体"/>
          <w:sz w:val="32"/>
          <w:szCs w:val="32"/>
        </w:rPr>
      </w:pPr>
      <w:r>
        <w:rPr>
          <w:rFonts w:hint="eastAsia" w:ascii="宋体" w:eastAsia="宋体"/>
          <w:sz w:val="32"/>
          <w:szCs w:val="32"/>
        </w:rPr>
        <w:t>本部门2021年度机关运行经费支出0万元，比年初预算数持平。</w:t>
      </w:r>
    </w:p>
    <w:p>
      <w:pPr>
        <w:pStyle w:val="10"/>
        <w:rPr>
          <w:b/>
          <w:sz w:val="32"/>
          <w:szCs w:val="32"/>
        </w:rPr>
      </w:pPr>
      <w:r>
        <w:rPr>
          <w:rFonts w:hint="eastAsia"/>
          <w:b/>
          <w:sz w:val="32"/>
          <w:szCs w:val="32"/>
        </w:rPr>
        <w:t>十、一般性支出情况说明</w:t>
      </w:r>
    </w:p>
    <w:p>
      <w:pPr>
        <w:pStyle w:val="10"/>
        <w:ind w:firstLine="640" w:firstLineChars="200"/>
        <w:rPr>
          <w:rFonts w:ascii="宋体" w:eastAsia="宋体"/>
          <w:sz w:val="32"/>
          <w:szCs w:val="32"/>
        </w:rPr>
      </w:pPr>
      <w:r>
        <w:rPr>
          <w:rFonts w:hint="eastAsia" w:ascii="宋体" w:eastAsia="宋体"/>
          <w:sz w:val="32"/>
          <w:szCs w:val="32"/>
        </w:rPr>
        <w:t>2021年本部门开支会议费0.51万元，用于参加省里有关单位组织的会议，人数2人，内容为参加开发区协会组织的会议；开支培训费6.21万元，用于开展园区内企业培训，人数300人，内容为高新技术企业申报及科技创新培训费；开支培训费1.22万元，用于单位员工培训，人数41人，内容为人社局组织的事业单位工作人员在岗教育网络培训；开支培训费0.4万元，用于单位员工培训，人数2人，内容为组织部组织的科干班培训；开支培训费0.2万元，用于园区企业培训，人数100人，内容为应急管理局组织的新安全生产法培训；</w:t>
      </w:r>
    </w:p>
    <w:p>
      <w:pPr>
        <w:pStyle w:val="10"/>
        <w:ind w:firstLine="640" w:firstLineChars="200"/>
        <w:rPr>
          <w:b/>
          <w:sz w:val="32"/>
          <w:szCs w:val="32"/>
        </w:rPr>
      </w:pPr>
      <w:r>
        <w:rPr>
          <w:rFonts w:hint="eastAsia"/>
          <w:b/>
          <w:sz w:val="32"/>
          <w:szCs w:val="32"/>
        </w:rPr>
        <w:t>十一、政府采购支出说明</w:t>
      </w:r>
    </w:p>
    <w:p>
      <w:pPr>
        <w:pStyle w:val="10"/>
        <w:ind w:firstLine="640" w:firstLineChars="200"/>
        <w:rPr>
          <w:rFonts w:ascii="宋体" w:eastAsia="宋体"/>
          <w:sz w:val="32"/>
          <w:szCs w:val="32"/>
        </w:rPr>
      </w:pPr>
      <w:r>
        <w:rPr>
          <w:rFonts w:hint="eastAsia" w:ascii="宋体" w:eastAsia="宋体"/>
          <w:sz w:val="32"/>
          <w:szCs w:val="32"/>
        </w:rPr>
        <w:t>本部门2021年度政府采购支出总额620万元，其中：政府采购货物支出0 万元、政府采购工程支出620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0"/>
        <w:rPr>
          <w:b/>
          <w:sz w:val="32"/>
          <w:szCs w:val="32"/>
        </w:rPr>
      </w:pPr>
      <w:r>
        <w:rPr>
          <w:rFonts w:hint="eastAsia"/>
          <w:b/>
          <w:sz w:val="32"/>
          <w:szCs w:val="32"/>
        </w:rPr>
        <w:t>十二、国有资产占用情况说明</w:t>
      </w:r>
    </w:p>
    <w:p>
      <w:pPr>
        <w:pStyle w:val="10"/>
        <w:ind w:firstLine="640" w:firstLineChars="200"/>
        <w:rPr>
          <w:rFonts w:ascii="宋体" w:eastAsia="宋体"/>
          <w:sz w:val="32"/>
          <w:szCs w:val="32"/>
        </w:rPr>
      </w:pPr>
      <w:r>
        <w:rPr>
          <w:rFonts w:hint="eastAsia" w:ascii="宋体" w:eastAsia="宋体"/>
          <w:sz w:val="32"/>
          <w:szCs w:val="32"/>
        </w:rPr>
        <w:t>截至2021年12月31日，部门（单位）共有车辆2辆，其中，主要领导干部用车0辆，机要通信用车0辆、应急保障用车0辆、执法执勤用车0辆、特种专业技术用车0辆、其他用车2辆，其他用车主要是招商引资用车；单位价值50万元以上通用设备0台（套）；单位价值100万元以上专用设备0台（套）。</w:t>
      </w:r>
    </w:p>
    <w:p>
      <w:pPr>
        <w:pStyle w:val="10"/>
        <w:rPr>
          <w:b/>
          <w:sz w:val="32"/>
          <w:szCs w:val="32"/>
        </w:rPr>
      </w:pPr>
      <w:r>
        <w:rPr>
          <w:rFonts w:hint="eastAsia"/>
          <w:b/>
          <w:sz w:val="32"/>
          <w:szCs w:val="32"/>
        </w:rPr>
        <w:t>十三、2021年度预算绩效情况说明</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b/>
          <w:color w:val="000000"/>
          <w:kern w:val="0"/>
          <w:sz w:val="32"/>
          <w:szCs w:val="32"/>
        </w:rPr>
        <w:t>（1）绩效管理评价工作开展情况</w:t>
      </w:r>
      <w:r>
        <w:rPr>
          <w:rFonts w:hint="eastAsia" w:ascii="宋体" w:cs="黑体"/>
          <w:color w:val="000000"/>
          <w:kern w:val="0"/>
          <w:sz w:val="32"/>
          <w:szCs w:val="32"/>
        </w:rPr>
        <w:t>。</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color w:val="000000"/>
          <w:kern w:val="0"/>
          <w:sz w:val="32"/>
          <w:szCs w:val="32"/>
        </w:rPr>
        <w:t>根据预算绩效管理要求，我部门组织对</w:t>
      </w:r>
      <w:r>
        <w:rPr>
          <w:rFonts w:ascii="宋体" w:cs="黑体"/>
          <w:color w:val="000000"/>
          <w:kern w:val="0"/>
          <w:sz w:val="32"/>
          <w:szCs w:val="32"/>
        </w:rPr>
        <w:t>2021</w:t>
      </w:r>
      <w:r>
        <w:rPr>
          <w:rFonts w:hint="eastAsia" w:ascii="宋体" w:cs="黑体"/>
          <w:color w:val="000000"/>
          <w:kern w:val="0"/>
          <w:sz w:val="32"/>
          <w:szCs w:val="32"/>
        </w:rPr>
        <w:t>年度一般公共预算项目支出全面开展绩效自评，其中，一级项目1个，共涉及资金80万元，占一般公共预算项目支出总额的13.34</w:t>
      </w:r>
      <w:r>
        <w:rPr>
          <w:rFonts w:ascii="宋体" w:cs="黑体"/>
          <w:color w:val="000000"/>
          <w:kern w:val="0"/>
          <w:sz w:val="32"/>
          <w:szCs w:val="32"/>
        </w:rPr>
        <w:t>%</w:t>
      </w:r>
      <w:r>
        <w:rPr>
          <w:rFonts w:hint="eastAsia" w:ascii="宋体" w:cs="黑体"/>
          <w:color w:val="000000"/>
          <w:kern w:val="0"/>
          <w:sz w:val="32"/>
          <w:szCs w:val="32"/>
        </w:rPr>
        <w:t>。组织对</w:t>
      </w:r>
      <w:r>
        <w:rPr>
          <w:rFonts w:ascii="宋体" w:cs="黑体"/>
          <w:color w:val="000000"/>
          <w:kern w:val="0"/>
          <w:sz w:val="32"/>
          <w:szCs w:val="32"/>
        </w:rPr>
        <w:t>2021</w:t>
      </w:r>
      <w:r>
        <w:rPr>
          <w:rFonts w:hint="eastAsia" w:ascii="宋体" w:cs="黑体"/>
          <w:color w:val="000000"/>
          <w:kern w:val="0"/>
          <w:sz w:val="32"/>
          <w:szCs w:val="32"/>
        </w:rPr>
        <w:t>年度中小企业发展资金、电子信息产业孵化基地等2个政府性基金预算项目支出开展绩效自评，共涉及资金19921.76</w:t>
      </w:r>
      <w:r>
        <w:rPr>
          <w:rFonts w:ascii="宋体" w:cs="黑体"/>
          <w:color w:val="000000"/>
          <w:kern w:val="0"/>
          <w:sz w:val="32"/>
          <w:szCs w:val="32"/>
        </w:rPr>
        <w:t xml:space="preserve"> </w:t>
      </w:r>
      <w:r>
        <w:rPr>
          <w:rFonts w:hint="eastAsia" w:ascii="宋体" w:cs="黑体"/>
          <w:color w:val="000000"/>
          <w:kern w:val="0"/>
          <w:sz w:val="32"/>
          <w:szCs w:val="32"/>
        </w:rPr>
        <w:t>万元，占政府性基金预算项目支出总额的100</w:t>
      </w:r>
      <w:r>
        <w:rPr>
          <w:rFonts w:ascii="宋体" w:cs="黑体"/>
          <w:color w:val="000000"/>
          <w:kern w:val="0"/>
          <w:sz w:val="32"/>
          <w:szCs w:val="32"/>
        </w:rPr>
        <w:t>%</w:t>
      </w:r>
      <w:r>
        <w:rPr>
          <w:rFonts w:hint="eastAsia" w:ascii="宋体" w:cs="黑体"/>
          <w:color w:val="000000"/>
          <w:kern w:val="0"/>
          <w:sz w:val="32"/>
          <w:szCs w:val="32"/>
        </w:rPr>
        <w:t>。</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color w:val="000000"/>
          <w:kern w:val="0"/>
          <w:sz w:val="32"/>
          <w:szCs w:val="32"/>
        </w:rPr>
        <w:t>组织对“科技创新”、 “中小企业发展资金”、“电子信息产业孵化基地”等3个项目开展了部门评价，涉及一般公共预算支出80万元，政府性基金预算支出19921.76万元，国有资本经营预算支出0万元。从评价情况来看，各项目基本完成了年初制定的绩效考核目标。</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color w:val="000000"/>
          <w:kern w:val="0"/>
          <w:sz w:val="32"/>
          <w:szCs w:val="32"/>
        </w:rPr>
        <w:t>组织对“道县高新技术产业开发区本级”等1个单位开展整体支出绩效评价，涉及一般公共预算支出80万元，政府性基金预算支出19921.76万元。从评价情况来看，一是园区经济呈现新气象。园区完成规模工业总产值173.18亿元，同比增长43.31%；技工贸总收入206.3亿元，增幅9.53%；规模企业实缴税金3.06亿元，同比增长36.92%；二是招商引资取得新成绩，新签约投资5000万元以上工业项目26个；三是创先争优取得新成效，在全省“五好”园区评价中排名上升32名。。</w:t>
      </w:r>
    </w:p>
    <w:p>
      <w:pPr>
        <w:autoSpaceDE w:val="0"/>
        <w:autoSpaceDN w:val="0"/>
        <w:adjustRightInd w:val="0"/>
        <w:ind w:firstLine="640" w:firstLineChars="200"/>
        <w:jc w:val="left"/>
        <w:rPr>
          <w:rFonts w:ascii="宋体" w:cs="黑体"/>
          <w:b/>
          <w:color w:val="000000"/>
          <w:kern w:val="0"/>
          <w:sz w:val="32"/>
          <w:szCs w:val="32"/>
        </w:rPr>
      </w:pPr>
      <w:r>
        <w:rPr>
          <w:rFonts w:hint="eastAsia" w:ascii="宋体" w:cs="黑体"/>
          <w:b/>
          <w:color w:val="000000"/>
          <w:kern w:val="0"/>
          <w:sz w:val="32"/>
          <w:szCs w:val="32"/>
        </w:rPr>
        <w:t>（2）部门决算中项目绩效自评结果。</w:t>
      </w:r>
    </w:p>
    <w:p>
      <w:pPr>
        <w:ind w:firstLine="640" w:firstLineChars="200"/>
        <w:jc w:val="left"/>
        <w:rPr>
          <w:rFonts w:ascii="宋体" w:cs="黑体"/>
          <w:color w:val="000000"/>
          <w:kern w:val="0"/>
          <w:sz w:val="32"/>
          <w:szCs w:val="32"/>
        </w:rPr>
      </w:pPr>
      <w:r>
        <w:rPr>
          <w:rFonts w:hint="eastAsia" w:ascii="宋体" w:cs="黑体"/>
          <w:color w:val="000000"/>
          <w:kern w:val="0"/>
          <w:sz w:val="32"/>
          <w:szCs w:val="32"/>
        </w:rPr>
        <w:t>道县高新区科技创新服务平台建设项目绩效自评综述：根据年初设定的绩效目标，项目绩效自评得分为87分。项目全年预算数为80万元，执行数为80万元，完成预算的100</w:t>
      </w:r>
      <w:r>
        <w:rPr>
          <w:rFonts w:ascii="宋体" w:cs="黑体"/>
          <w:color w:val="000000"/>
          <w:kern w:val="0"/>
          <w:sz w:val="32"/>
          <w:szCs w:val="32"/>
        </w:rPr>
        <w:t>%</w:t>
      </w:r>
      <w:r>
        <w:rPr>
          <w:rFonts w:hint="eastAsia" w:ascii="宋体" w:cs="黑体"/>
          <w:color w:val="000000"/>
          <w:kern w:val="0"/>
          <w:sz w:val="32"/>
          <w:szCs w:val="32"/>
        </w:rPr>
        <w:t>。项目绩效目标完成情况：一是</w:t>
      </w:r>
      <w:r>
        <w:rPr>
          <w:rFonts w:ascii="宋体" w:cs="黑体"/>
          <w:color w:val="000000"/>
          <w:kern w:val="0"/>
          <w:sz w:val="32"/>
          <w:szCs w:val="32"/>
        </w:rPr>
        <w:t>培育高新技术企业数量</w:t>
      </w:r>
      <w:r>
        <w:rPr>
          <w:rFonts w:hint="eastAsia" w:ascii="宋体" w:cs="黑体"/>
          <w:color w:val="000000"/>
          <w:kern w:val="0"/>
          <w:sz w:val="32"/>
          <w:szCs w:val="32"/>
        </w:rPr>
        <w:t>8家；二是</w:t>
      </w:r>
      <w:r>
        <w:rPr>
          <w:rFonts w:ascii="宋体" w:cs="黑体"/>
          <w:color w:val="000000"/>
          <w:kern w:val="0"/>
          <w:sz w:val="32"/>
          <w:szCs w:val="32"/>
        </w:rPr>
        <w:t>新增在孵企业数量</w:t>
      </w:r>
      <w:r>
        <w:rPr>
          <w:rFonts w:hint="eastAsia" w:ascii="宋体" w:cs="黑体"/>
          <w:color w:val="000000"/>
          <w:kern w:val="0"/>
          <w:sz w:val="32"/>
          <w:szCs w:val="32"/>
        </w:rPr>
        <w:t>15家。发现的主要问题及原因：活动开展不够及时。下一步改进措施：按时开展各种活动。</w:t>
      </w:r>
    </w:p>
    <w:p>
      <w:pPr>
        <w:ind w:firstLine="640" w:firstLineChars="200"/>
        <w:jc w:val="left"/>
        <w:rPr>
          <w:rFonts w:ascii="宋体" w:cs="黑体"/>
          <w:color w:val="000000"/>
          <w:kern w:val="0"/>
          <w:sz w:val="32"/>
          <w:szCs w:val="32"/>
        </w:rPr>
      </w:pPr>
      <w:r>
        <w:rPr>
          <w:rFonts w:hint="eastAsia" w:ascii="宋体" w:cs="黑体"/>
          <w:color w:val="000000"/>
          <w:kern w:val="0"/>
          <w:sz w:val="32"/>
          <w:szCs w:val="32"/>
        </w:rPr>
        <w:t>中小企业发展资金及产业项目资金绩效自评综述：根据年初设定的绩效目标，项目绩效自评得分为97分。项目全年预算数为18300万元，执行数为18300万元，完成预算的100</w:t>
      </w:r>
      <w:r>
        <w:rPr>
          <w:rFonts w:ascii="宋体" w:cs="黑体"/>
          <w:color w:val="000000"/>
          <w:kern w:val="0"/>
          <w:sz w:val="32"/>
          <w:szCs w:val="32"/>
        </w:rPr>
        <w:t>%</w:t>
      </w:r>
      <w:r>
        <w:rPr>
          <w:rFonts w:hint="eastAsia" w:ascii="宋体" w:cs="黑体"/>
          <w:color w:val="000000"/>
          <w:kern w:val="0"/>
          <w:sz w:val="32"/>
          <w:szCs w:val="32"/>
        </w:rPr>
        <w:t>。项目绩效目标完成情况：一是</w:t>
      </w:r>
      <w:r>
        <w:rPr>
          <w:rFonts w:ascii="宋体" w:cs="黑体"/>
          <w:color w:val="000000"/>
          <w:kern w:val="0"/>
          <w:sz w:val="32"/>
          <w:szCs w:val="32"/>
        </w:rPr>
        <w:t>引进项目</w:t>
      </w:r>
      <w:r>
        <w:rPr>
          <w:rFonts w:hint="eastAsia" w:ascii="宋体" w:cs="黑体"/>
          <w:color w:val="000000"/>
          <w:kern w:val="0"/>
          <w:sz w:val="32"/>
          <w:szCs w:val="32"/>
        </w:rPr>
        <w:t>26个；二是</w:t>
      </w:r>
      <w:r>
        <w:rPr>
          <w:rFonts w:ascii="宋体" w:cs="黑体"/>
          <w:color w:val="000000"/>
          <w:kern w:val="0"/>
          <w:sz w:val="32"/>
          <w:szCs w:val="32"/>
        </w:rPr>
        <w:t>新增固定资产投资</w:t>
      </w:r>
      <w:r>
        <w:rPr>
          <w:rFonts w:hint="eastAsia" w:ascii="宋体" w:cs="黑体"/>
          <w:color w:val="000000"/>
          <w:kern w:val="0"/>
          <w:sz w:val="32"/>
          <w:szCs w:val="32"/>
        </w:rPr>
        <w:t>40亿。发现的主要问题及原因：政策资金兑现不够及时。下一步改进措施：按时兑现各类资金。</w:t>
      </w:r>
    </w:p>
    <w:p>
      <w:pPr>
        <w:ind w:firstLine="640" w:firstLineChars="200"/>
        <w:jc w:val="left"/>
        <w:rPr>
          <w:rFonts w:ascii="宋体" w:cs="黑体"/>
          <w:color w:val="000000"/>
          <w:kern w:val="0"/>
          <w:sz w:val="32"/>
          <w:szCs w:val="32"/>
        </w:rPr>
      </w:pPr>
      <w:r>
        <w:rPr>
          <w:rFonts w:hint="eastAsia" w:ascii="宋体" w:cs="黑体"/>
          <w:color w:val="000000"/>
          <w:kern w:val="0"/>
          <w:sz w:val="32"/>
          <w:szCs w:val="32"/>
        </w:rPr>
        <w:t>电子信息产业孵化基地及配套设施项目绩效自评综述：根据年初设定的绩效目标，项目绩效自评得分为95分。项目全年预算数为1640万元，执行数为1640万元，完成预算的100</w:t>
      </w:r>
      <w:r>
        <w:rPr>
          <w:rFonts w:ascii="宋体" w:cs="黑体"/>
          <w:color w:val="000000"/>
          <w:kern w:val="0"/>
          <w:sz w:val="32"/>
          <w:szCs w:val="32"/>
        </w:rPr>
        <w:t>%</w:t>
      </w:r>
      <w:r>
        <w:rPr>
          <w:rFonts w:hint="eastAsia" w:ascii="宋体" w:cs="黑体"/>
          <w:color w:val="000000"/>
          <w:kern w:val="0"/>
          <w:sz w:val="32"/>
          <w:szCs w:val="32"/>
        </w:rPr>
        <w:t>。项目绩效目标完成情况：一是完成87958.96平方米土地征收和划拨；二是</w:t>
      </w:r>
      <w:r>
        <w:rPr>
          <w:rFonts w:ascii="宋体" w:cs="黑体"/>
          <w:color w:val="000000"/>
          <w:kern w:val="0"/>
          <w:sz w:val="32"/>
          <w:szCs w:val="32"/>
        </w:rPr>
        <w:t>新增</w:t>
      </w:r>
      <w:r>
        <w:rPr>
          <w:rFonts w:hint="eastAsia" w:ascii="宋体" w:cs="黑体"/>
          <w:color w:val="000000"/>
          <w:kern w:val="0"/>
          <w:sz w:val="32"/>
          <w:szCs w:val="32"/>
        </w:rPr>
        <w:t>标准厂房</w:t>
      </w:r>
      <w:r>
        <w:rPr>
          <w:rFonts w:ascii="宋体" w:cs="黑体"/>
          <w:color w:val="000000"/>
          <w:kern w:val="0"/>
          <w:sz w:val="32"/>
          <w:szCs w:val="32"/>
        </w:rPr>
        <w:t>91000</w:t>
      </w:r>
      <w:r>
        <w:rPr>
          <w:rFonts w:hint="eastAsia" w:ascii="宋体" w:cs="黑体"/>
          <w:color w:val="000000"/>
          <w:kern w:val="0"/>
          <w:sz w:val="32"/>
          <w:szCs w:val="32"/>
        </w:rPr>
        <w:t>平方米。发现的主要问题及原因：资金拨付不够及时。下一步改进措施：按时拨付资金资金。</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b/>
          <w:color w:val="000000"/>
          <w:kern w:val="0"/>
          <w:sz w:val="32"/>
          <w:szCs w:val="32"/>
        </w:rPr>
        <w:t>（</w:t>
      </w:r>
      <w:r>
        <w:rPr>
          <w:rFonts w:ascii="宋体" w:cs="黑体"/>
          <w:b/>
          <w:color w:val="000000"/>
          <w:kern w:val="0"/>
          <w:sz w:val="32"/>
          <w:szCs w:val="32"/>
        </w:rPr>
        <w:t>3</w:t>
      </w:r>
      <w:r>
        <w:rPr>
          <w:rFonts w:hint="eastAsia" w:ascii="宋体" w:cs="黑体"/>
          <w:b/>
          <w:color w:val="000000"/>
          <w:kern w:val="0"/>
          <w:sz w:val="32"/>
          <w:szCs w:val="32"/>
        </w:rPr>
        <w:t>）部门评价项目绩效评价结果。</w:t>
      </w:r>
    </w:p>
    <w:p>
      <w:pPr>
        <w:autoSpaceDE w:val="0"/>
        <w:autoSpaceDN w:val="0"/>
        <w:adjustRightInd w:val="0"/>
        <w:ind w:firstLine="640" w:firstLineChars="200"/>
        <w:jc w:val="left"/>
        <w:rPr>
          <w:rFonts w:ascii="宋体" w:cs="黑体"/>
          <w:color w:val="000000"/>
          <w:kern w:val="0"/>
          <w:sz w:val="32"/>
          <w:szCs w:val="32"/>
        </w:rPr>
      </w:pPr>
      <w:r>
        <w:rPr>
          <w:rFonts w:hint="eastAsia" w:ascii="宋体" w:cs="黑体"/>
          <w:color w:val="000000"/>
          <w:kern w:val="0"/>
          <w:sz w:val="32"/>
          <w:szCs w:val="32"/>
        </w:rPr>
        <w:t>“科技创新”、 “中小企业发展资金”、“电子信息产业孵化基地”等3个项目部门评价报告依据《项目支出绩效评价办法》（财预〔</w:t>
      </w:r>
      <w:r>
        <w:rPr>
          <w:rFonts w:ascii="宋体" w:cs="黑体"/>
          <w:color w:val="000000"/>
          <w:kern w:val="0"/>
          <w:sz w:val="32"/>
          <w:szCs w:val="32"/>
        </w:rPr>
        <w:t>2020</w:t>
      </w:r>
      <w:r>
        <w:rPr>
          <w:rFonts w:hint="eastAsia" w:ascii="宋体" w:cs="黑体"/>
          <w:color w:val="000000"/>
          <w:kern w:val="0"/>
          <w:sz w:val="32"/>
          <w:szCs w:val="32"/>
        </w:rPr>
        <w:t>〕</w:t>
      </w:r>
      <w:r>
        <w:rPr>
          <w:rFonts w:ascii="宋体" w:cs="黑体"/>
          <w:color w:val="000000"/>
          <w:kern w:val="0"/>
          <w:sz w:val="32"/>
          <w:szCs w:val="32"/>
        </w:rPr>
        <w:t xml:space="preserve">10 </w:t>
      </w:r>
      <w:r>
        <w:rPr>
          <w:rFonts w:hint="eastAsia" w:ascii="宋体" w:cs="黑体"/>
          <w:color w:val="000000"/>
          <w:kern w:val="0"/>
          <w:sz w:val="32"/>
          <w:szCs w:val="32"/>
        </w:rPr>
        <w:t>号）中《项目支出绩效评价报告（参考提纲）》、《湖南省预算支出绩效评价管理办法》（湘财绩〔</w:t>
      </w:r>
      <w:r>
        <w:rPr>
          <w:rFonts w:ascii="宋体" w:cs="黑体"/>
          <w:color w:val="000000"/>
          <w:kern w:val="0"/>
          <w:sz w:val="32"/>
          <w:szCs w:val="32"/>
        </w:rPr>
        <w:t>2020</w:t>
      </w:r>
      <w:r>
        <w:rPr>
          <w:rFonts w:hint="eastAsia" w:ascii="宋体" w:cs="黑体"/>
          <w:color w:val="000000"/>
          <w:kern w:val="0"/>
          <w:sz w:val="32"/>
          <w:szCs w:val="32"/>
        </w:rPr>
        <w:t>〕7号）的要求向社会公开。</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cs="黑体"/>
          <w:color w:val="000000"/>
          <w:kern w:val="0"/>
          <w:sz w:val="32"/>
          <w:szCs w:val="32"/>
        </w:rPr>
      </w:pPr>
    </w:p>
    <w:p>
      <w:pPr>
        <w:widowControl/>
        <w:ind w:left="210" w:leftChars="100" w:firstLine="320" w:firstLineChars="100"/>
        <w:jc w:val="left"/>
        <w:rPr>
          <w:rFonts w:hint="eastAsia" w:ascii="仿宋" w:hAnsi="仿宋" w:cs="宋体"/>
          <w:color w:val="000000"/>
          <w:kern w:val="0"/>
          <w:sz w:val="32"/>
          <w:szCs w:val="32"/>
        </w:rPr>
      </w:pPr>
      <w:r>
        <w:rPr>
          <w:rFonts w:hint="eastAsia" w:ascii="仿宋" w:hAnsi="仿宋" w:cs="宋体"/>
          <w:color w:val="000000"/>
          <w:kern w:val="0"/>
          <w:sz w:val="32"/>
          <w:szCs w:val="32"/>
        </w:rPr>
        <w:t>一、</w:t>
      </w:r>
      <w:r>
        <w:rPr>
          <w:rFonts w:ascii="仿宋" w:hAnsi="仿宋" w:cs="宋体"/>
          <w:color w:val="000000"/>
          <w:kern w:val="0"/>
          <w:sz w:val="32"/>
          <w:szCs w:val="32"/>
        </w:rPr>
        <w:t xml:space="preserve">财政拨款收入：指单位本年度从同级财政部门取得的各类财政 拨款。 </w:t>
      </w:r>
      <w:r>
        <w:rPr>
          <w:rFonts w:hint="eastAsia" w:ascii="仿宋" w:hAnsi="仿宋" w:cs="宋体"/>
          <w:color w:val="000000"/>
          <w:kern w:val="0"/>
          <w:sz w:val="32"/>
          <w:szCs w:val="32"/>
        </w:rPr>
        <w:t xml:space="preserve">  </w:t>
      </w:r>
    </w:p>
    <w:p>
      <w:pPr>
        <w:widowControl/>
        <w:ind w:left="210" w:leftChars="100" w:firstLine="320" w:firstLineChars="100"/>
        <w:jc w:val="left"/>
        <w:rPr>
          <w:rFonts w:hint="eastAsia" w:ascii="仿宋" w:hAnsi="仿宋" w:cs="宋体"/>
          <w:color w:val="000000"/>
          <w:kern w:val="0"/>
          <w:sz w:val="32"/>
          <w:szCs w:val="32"/>
        </w:rPr>
      </w:pPr>
      <w:r>
        <w:rPr>
          <w:rFonts w:hint="eastAsia" w:ascii="仿宋" w:hAnsi="仿宋" w:cs="宋体"/>
          <w:color w:val="000000"/>
          <w:kern w:val="0"/>
          <w:sz w:val="32"/>
          <w:szCs w:val="32"/>
        </w:rPr>
        <w:t>二、</w:t>
      </w:r>
      <w:r>
        <w:rPr>
          <w:rFonts w:ascii="仿宋" w:hAnsi="仿宋" w:cs="宋体"/>
          <w:color w:val="000000"/>
          <w:kern w:val="0"/>
          <w:sz w:val="32"/>
          <w:szCs w:val="32"/>
        </w:rPr>
        <w:t xml:space="preserve">上级补助收入：指事业单位从主管部门和上级单位取得的非财 政补助收入。 </w:t>
      </w:r>
    </w:p>
    <w:p>
      <w:pPr>
        <w:widowControl/>
        <w:ind w:firstLine="480" w:firstLineChars="150"/>
        <w:jc w:val="left"/>
        <w:rPr>
          <w:rFonts w:hint="eastAsia" w:ascii="仿宋" w:hAnsi="仿宋" w:cs="宋体"/>
          <w:color w:val="000000"/>
          <w:kern w:val="0"/>
          <w:sz w:val="32"/>
          <w:szCs w:val="32"/>
        </w:rPr>
      </w:pPr>
      <w:r>
        <w:rPr>
          <w:rFonts w:hint="eastAsia" w:ascii="仿宋" w:hAnsi="仿宋" w:cs="宋体"/>
          <w:color w:val="000000"/>
          <w:kern w:val="0"/>
          <w:sz w:val="32"/>
          <w:szCs w:val="32"/>
        </w:rPr>
        <w:t>三、</w:t>
      </w:r>
      <w:r>
        <w:rPr>
          <w:rFonts w:ascii="仿宋" w:hAnsi="仿宋" w:cs="宋体"/>
          <w:color w:val="000000"/>
          <w:kern w:val="0"/>
          <w:sz w:val="32"/>
          <w:szCs w:val="32"/>
        </w:rPr>
        <w:t xml:space="preserve">机关运行经费：指行政单位（含参照公务员法管理的事业单位） 使用一般公共预算安排的基本支出中的公用经费支出，包括办公及印刷 费、邮电费、差旅费、会议费、福利费、日常维修费、专用材料及一般 设备购置费、办公用房水电费、办公用房取暖费、办公用房物业管理费、 公务用车运行维护费及其他费用。 </w:t>
      </w:r>
    </w:p>
    <w:p>
      <w:pPr>
        <w:widowControl/>
        <w:ind w:firstLine="480" w:firstLineChars="150"/>
        <w:jc w:val="left"/>
        <w:rPr>
          <w:rFonts w:hint="eastAsia" w:ascii="仿宋" w:hAnsi="仿宋" w:cs="宋体"/>
          <w:color w:val="000000"/>
          <w:kern w:val="0"/>
          <w:sz w:val="32"/>
          <w:szCs w:val="32"/>
        </w:rPr>
      </w:pPr>
      <w:r>
        <w:rPr>
          <w:rFonts w:hint="eastAsia" w:ascii="仿宋" w:hAnsi="仿宋" w:cs="宋体"/>
          <w:color w:val="000000"/>
          <w:kern w:val="0"/>
          <w:sz w:val="32"/>
          <w:szCs w:val="32"/>
        </w:rPr>
        <w:t>四、</w:t>
      </w:r>
      <w:r>
        <w:rPr>
          <w:rFonts w:ascii="仿宋" w:hAnsi="仿宋" w:cs="宋体"/>
          <w:color w:val="000000"/>
          <w:kern w:val="0"/>
          <w:sz w:val="32"/>
          <w:szCs w:val="32"/>
        </w:rPr>
        <w:t xml:space="preserve">“三公”经费：指单位用一般公共预算财政拨款安排的因公出 国（境）费、公务用车购置及运行维护费和公务接待费。其中，因公出 国（境）费反映单位公务出国（境）的国际旅费、国外城市间交通费、 住宿费、伙食费、培训费、公杂费等支出；公务用车购置及运行维护费 反映单位公务用车购置支出（含车辆购置税、牌照费）以及按规定保留 的公务用车燃料费、维修费、过路过桥费、保险费、安全奖励费用等支 出；公务接待费反映单位按规定开支的各类公务接待（含外宾接待）费 用。 </w:t>
      </w:r>
    </w:p>
    <w:p>
      <w:pPr>
        <w:widowControl/>
        <w:ind w:firstLine="480" w:firstLineChars="150"/>
        <w:jc w:val="left"/>
        <w:rPr>
          <w:rFonts w:hint="eastAsia" w:ascii="仿宋" w:hAnsi="仿宋" w:cs="宋体"/>
          <w:color w:val="000000"/>
          <w:kern w:val="0"/>
          <w:sz w:val="32"/>
          <w:szCs w:val="32"/>
        </w:rPr>
      </w:pPr>
      <w:r>
        <w:rPr>
          <w:rFonts w:hint="eastAsia" w:ascii="仿宋" w:hAnsi="仿宋" w:cs="宋体"/>
          <w:color w:val="000000"/>
          <w:kern w:val="0"/>
          <w:sz w:val="32"/>
          <w:szCs w:val="32"/>
        </w:rPr>
        <w:t>五、</w:t>
      </w:r>
      <w:r>
        <w:rPr>
          <w:rFonts w:ascii="仿宋" w:hAnsi="仿宋" w:cs="宋体"/>
          <w:color w:val="000000"/>
          <w:kern w:val="0"/>
          <w:sz w:val="32"/>
          <w:szCs w:val="32"/>
        </w:rPr>
        <w:t xml:space="preserve">对附属单位补助支出：指事业单位用财政拨款收入之外的收入 对附属单位补助发生的支出。 </w:t>
      </w:r>
    </w:p>
    <w:p>
      <w:pPr>
        <w:widowControl/>
        <w:ind w:firstLine="480" w:firstLineChars="150"/>
        <w:jc w:val="left"/>
        <w:rPr>
          <w:rFonts w:hint="eastAsia" w:ascii="仿宋" w:hAnsi="仿宋" w:cs="宋体"/>
          <w:color w:val="000000"/>
          <w:kern w:val="0"/>
          <w:sz w:val="32"/>
          <w:szCs w:val="32"/>
        </w:rPr>
      </w:pPr>
      <w:r>
        <w:rPr>
          <w:rFonts w:hint="eastAsia" w:ascii="仿宋" w:hAnsi="仿宋" w:cs="宋体"/>
          <w:color w:val="000000"/>
          <w:kern w:val="0"/>
          <w:sz w:val="32"/>
          <w:szCs w:val="32"/>
        </w:rPr>
        <w:t>六、</w:t>
      </w:r>
      <w:r>
        <w:rPr>
          <w:rFonts w:ascii="仿宋" w:hAnsi="仿宋" w:cs="宋体"/>
          <w:color w:val="000000"/>
          <w:kern w:val="0"/>
          <w:sz w:val="32"/>
          <w:szCs w:val="32"/>
        </w:rPr>
        <w:t xml:space="preserve">经营支出：指事业单位在专业业务活动及其辅助活动之外开展 非独立核算经营活动发生的支出。 </w:t>
      </w:r>
    </w:p>
    <w:p>
      <w:pPr>
        <w:widowControl/>
        <w:ind w:firstLine="480" w:firstLineChars="150"/>
        <w:jc w:val="left"/>
        <w:rPr>
          <w:rFonts w:ascii="宋体" w:cs="宋体"/>
          <w:kern w:val="0"/>
          <w:sz w:val="24"/>
          <w:szCs w:val="24"/>
        </w:rPr>
      </w:pPr>
      <w:r>
        <w:rPr>
          <w:rFonts w:hint="eastAsia" w:ascii="仿宋" w:hAnsi="仿宋" w:cs="宋体"/>
          <w:color w:val="000000"/>
          <w:kern w:val="0"/>
          <w:sz w:val="32"/>
          <w:szCs w:val="32"/>
        </w:rPr>
        <w:t>七、</w:t>
      </w:r>
      <w:r>
        <w:rPr>
          <w:rFonts w:ascii="仿宋" w:hAnsi="仿宋" w:cs="宋体"/>
          <w:color w:val="000000"/>
          <w:kern w:val="0"/>
          <w:sz w:val="32"/>
          <w:szCs w:val="32"/>
        </w:rPr>
        <w:t>上缴上级支出：指事业单位按照财政部门和主管部门的规定上</w:t>
      </w:r>
    </w:p>
    <w:p>
      <w:pPr>
        <w:widowControl/>
        <w:jc w:val="left"/>
        <w:rPr>
          <w:rFonts w:hint="eastAsia" w:ascii="仿宋" w:hAnsi="仿宋" w:cs="宋体"/>
          <w:color w:val="000000"/>
          <w:kern w:val="0"/>
          <w:sz w:val="32"/>
          <w:szCs w:val="32"/>
        </w:rPr>
      </w:pPr>
      <w:r>
        <w:rPr>
          <w:rFonts w:ascii="仿宋" w:hAnsi="仿宋" w:cs="宋体"/>
          <w:color w:val="000000"/>
          <w:kern w:val="0"/>
          <w:sz w:val="32"/>
          <w:szCs w:val="32"/>
        </w:rPr>
        <w:t xml:space="preserve">缴上级单位的支出。 </w:t>
      </w:r>
    </w:p>
    <w:p>
      <w:pPr>
        <w:widowControl/>
        <w:jc w:val="left"/>
        <w:rPr>
          <w:rFonts w:hint="eastAsia" w:ascii="仿宋" w:hAnsi="仿宋" w:cs="宋体"/>
          <w:color w:val="000000"/>
          <w:kern w:val="0"/>
          <w:sz w:val="32"/>
          <w:szCs w:val="32"/>
        </w:rPr>
      </w:pPr>
      <w:r>
        <w:rPr>
          <w:rFonts w:hint="eastAsia" w:ascii="仿宋" w:hAnsi="仿宋" w:cs="宋体"/>
          <w:color w:val="000000"/>
          <w:kern w:val="0"/>
          <w:sz w:val="32"/>
          <w:szCs w:val="32"/>
        </w:rPr>
        <w:t>八、</w:t>
      </w:r>
      <w:r>
        <w:rPr>
          <w:rFonts w:ascii="仿宋" w:hAnsi="仿宋" w:cs="宋体"/>
          <w:color w:val="000000"/>
          <w:kern w:val="0"/>
          <w:sz w:val="32"/>
          <w:szCs w:val="32"/>
        </w:rPr>
        <w:t>事业收入：指事业单位开展专业业务活动及其辅助活动取得的 收入，事业单位收到的财政专户实际核拨的教育收费等资金在此反映。</w:t>
      </w:r>
    </w:p>
    <w:p>
      <w:pPr>
        <w:widowControl/>
        <w:ind w:firstLine="640" w:firstLineChars="200"/>
        <w:jc w:val="left"/>
        <w:rPr>
          <w:rFonts w:hint="eastAsia" w:ascii="仿宋" w:hAnsi="仿宋" w:cs="宋体"/>
          <w:color w:val="000000"/>
          <w:kern w:val="0"/>
          <w:sz w:val="32"/>
          <w:szCs w:val="32"/>
        </w:rPr>
      </w:pPr>
      <w:r>
        <w:rPr>
          <w:rFonts w:hint="eastAsia" w:ascii="仿宋" w:hAnsi="仿宋" w:cs="宋体"/>
          <w:color w:val="000000"/>
          <w:kern w:val="0"/>
          <w:sz w:val="32"/>
          <w:szCs w:val="32"/>
        </w:rPr>
        <w:t>九、</w:t>
      </w:r>
      <w:r>
        <w:rPr>
          <w:rFonts w:ascii="仿宋" w:hAnsi="仿宋" w:cs="宋体"/>
          <w:color w:val="000000"/>
          <w:kern w:val="0"/>
          <w:sz w:val="32"/>
          <w:szCs w:val="32"/>
        </w:rPr>
        <w:t xml:space="preserve">经营收入：指事业单位在专业业务活动及其辅助活动之外开展 非独立核算经营活动取得的收入。 </w:t>
      </w:r>
    </w:p>
    <w:p>
      <w:pPr>
        <w:widowControl/>
        <w:ind w:firstLine="640" w:firstLineChars="200"/>
        <w:jc w:val="left"/>
        <w:rPr>
          <w:rFonts w:hint="eastAsia" w:ascii="仿宋" w:hAnsi="仿宋" w:cs="宋体"/>
          <w:color w:val="000000"/>
          <w:kern w:val="0"/>
          <w:sz w:val="32"/>
          <w:szCs w:val="32"/>
        </w:rPr>
      </w:pPr>
      <w:r>
        <w:rPr>
          <w:rFonts w:hint="eastAsia" w:ascii="仿宋" w:hAnsi="仿宋" w:cs="宋体"/>
          <w:color w:val="000000"/>
          <w:kern w:val="0"/>
          <w:sz w:val="32"/>
          <w:szCs w:val="32"/>
        </w:rPr>
        <w:t>十、</w:t>
      </w:r>
      <w:r>
        <w:rPr>
          <w:rFonts w:ascii="仿宋" w:hAnsi="仿宋" w:cs="宋体"/>
          <w:color w:val="000000"/>
          <w:kern w:val="0"/>
          <w:sz w:val="32"/>
          <w:szCs w:val="32"/>
        </w:rPr>
        <w:t xml:space="preserve">附属单位上缴收入：指事业单位附属独立核算单位按照有关规 定上缴的收入。 </w:t>
      </w:r>
    </w:p>
    <w:p>
      <w:pPr>
        <w:widowControl/>
        <w:ind w:firstLine="640" w:firstLineChars="200"/>
        <w:jc w:val="left"/>
        <w:rPr>
          <w:rFonts w:hint="eastAsia" w:ascii="仿宋" w:hAnsi="仿宋" w:cs="宋体"/>
          <w:color w:val="000000"/>
          <w:kern w:val="0"/>
          <w:sz w:val="32"/>
          <w:szCs w:val="32"/>
        </w:rPr>
      </w:pPr>
      <w:r>
        <w:rPr>
          <w:rFonts w:hint="eastAsia" w:ascii="仿宋" w:hAnsi="仿宋" w:cs="宋体"/>
          <w:color w:val="000000"/>
          <w:kern w:val="0"/>
          <w:sz w:val="32"/>
          <w:szCs w:val="32"/>
        </w:rPr>
        <w:t>十一、</w:t>
      </w:r>
      <w:r>
        <w:rPr>
          <w:rFonts w:ascii="仿宋" w:hAnsi="仿宋" w:cs="宋体"/>
          <w:color w:val="000000"/>
          <w:kern w:val="0"/>
          <w:sz w:val="32"/>
          <w:szCs w:val="32"/>
        </w:rPr>
        <w:t xml:space="preserve">其他收入：指单位取得的除上述“财政拨款收入”、“事业收 入”、“经营收入”等以外的各项收入。 </w:t>
      </w:r>
    </w:p>
    <w:p>
      <w:pPr>
        <w:widowControl/>
        <w:ind w:firstLine="640" w:firstLineChars="200"/>
        <w:jc w:val="left"/>
        <w:rPr>
          <w:rFonts w:hint="eastAsia" w:ascii="仿宋" w:hAnsi="仿宋" w:cs="宋体"/>
          <w:color w:val="000000"/>
          <w:kern w:val="0"/>
          <w:sz w:val="32"/>
          <w:szCs w:val="32"/>
        </w:rPr>
      </w:pPr>
      <w:r>
        <w:rPr>
          <w:rFonts w:hint="eastAsia" w:ascii="仿宋" w:hAnsi="仿宋" w:cs="宋体"/>
          <w:color w:val="000000"/>
          <w:kern w:val="0"/>
          <w:sz w:val="32"/>
          <w:szCs w:val="32"/>
        </w:rPr>
        <w:t>十二、</w:t>
      </w:r>
      <w:r>
        <w:rPr>
          <w:rFonts w:ascii="仿宋" w:hAnsi="仿宋" w:cs="宋体"/>
          <w:color w:val="000000"/>
          <w:kern w:val="0"/>
          <w:sz w:val="32"/>
          <w:szCs w:val="32"/>
        </w:rPr>
        <w:t xml:space="preserve">使用非财政拨款结余：指事业单位使用非财政拨款结余（原事 业基金）弥补当年收支差额的数额。 </w:t>
      </w:r>
    </w:p>
    <w:p>
      <w:pPr>
        <w:widowControl/>
        <w:ind w:firstLine="640" w:firstLineChars="200"/>
        <w:jc w:val="left"/>
        <w:rPr>
          <w:rFonts w:hint="eastAsia" w:ascii="仿宋" w:hAnsi="仿宋" w:cs="宋体"/>
          <w:color w:val="000000"/>
          <w:kern w:val="0"/>
          <w:sz w:val="32"/>
          <w:szCs w:val="32"/>
        </w:rPr>
      </w:pPr>
      <w:r>
        <w:rPr>
          <w:rFonts w:hint="eastAsia" w:ascii="仿宋" w:hAnsi="仿宋" w:cs="宋体"/>
          <w:color w:val="000000"/>
          <w:kern w:val="0"/>
          <w:sz w:val="32"/>
          <w:szCs w:val="32"/>
        </w:rPr>
        <w:t>十三、</w:t>
      </w:r>
      <w:r>
        <w:rPr>
          <w:rFonts w:ascii="仿宋" w:hAnsi="仿宋" w:cs="宋体"/>
          <w:color w:val="000000"/>
          <w:kern w:val="0"/>
          <w:sz w:val="32"/>
          <w:szCs w:val="32"/>
        </w:rPr>
        <w:t xml:space="preserve">年初结转和结余：指单位上年结转本年使用的基本支出结转、 项目支出结转和结余和经营结余。 </w:t>
      </w:r>
    </w:p>
    <w:p>
      <w:pPr>
        <w:widowControl/>
        <w:ind w:firstLine="640" w:firstLineChars="200"/>
        <w:jc w:val="left"/>
        <w:rPr>
          <w:rFonts w:hint="eastAsia" w:ascii="仿宋" w:hAnsi="仿宋" w:cs="宋体"/>
          <w:color w:val="000000"/>
          <w:kern w:val="0"/>
          <w:sz w:val="32"/>
          <w:szCs w:val="32"/>
        </w:rPr>
      </w:pPr>
      <w:r>
        <w:rPr>
          <w:rFonts w:hint="eastAsia" w:ascii="仿宋" w:hAnsi="仿宋" w:cs="宋体"/>
          <w:color w:val="000000"/>
          <w:kern w:val="0"/>
          <w:sz w:val="32"/>
          <w:szCs w:val="32"/>
        </w:rPr>
        <w:t>十四、</w:t>
      </w:r>
      <w:r>
        <w:rPr>
          <w:rFonts w:ascii="仿宋" w:hAnsi="仿宋" w:cs="宋体"/>
          <w:color w:val="000000"/>
          <w:kern w:val="0"/>
          <w:sz w:val="32"/>
          <w:szCs w:val="32"/>
        </w:rPr>
        <w:t xml:space="preserve">结余分配：指事业单位按规定对非财政拨款结余资金提取的专 用基金、缴纳的所得税和转入非财政拨款结余等。 </w:t>
      </w:r>
    </w:p>
    <w:p>
      <w:pPr>
        <w:widowControl/>
        <w:ind w:firstLine="640" w:firstLineChars="200"/>
        <w:jc w:val="left"/>
        <w:rPr>
          <w:rFonts w:hint="eastAsia" w:ascii="仿宋" w:hAnsi="仿宋" w:cs="宋体"/>
          <w:color w:val="000000"/>
          <w:kern w:val="0"/>
          <w:sz w:val="32"/>
          <w:szCs w:val="32"/>
        </w:rPr>
      </w:pPr>
      <w:r>
        <w:rPr>
          <w:rFonts w:hint="eastAsia" w:ascii="仿宋" w:hAnsi="仿宋" w:cs="宋体"/>
          <w:color w:val="000000"/>
          <w:kern w:val="0"/>
          <w:sz w:val="32"/>
          <w:szCs w:val="32"/>
        </w:rPr>
        <w:t>十五、</w:t>
      </w:r>
      <w:r>
        <w:rPr>
          <w:rFonts w:ascii="仿宋" w:hAnsi="仿宋" w:cs="宋体"/>
          <w:color w:val="000000"/>
          <w:kern w:val="0"/>
          <w:sz w:val="32"/>
          <w:szCs w:val="32"/>
        </w:rPr>
        <w:t xml:space="preserve">年末结转和结余资金：指本年度或以前年度预算安排、因客观 条件发生变化无法按原计划实施，需要延迟到以后年度按有关规定继续 使用的资金。 </w:t>
      </w:r>
    </w:p>
    <w:p>
      <w:pPr>
        <w:widowControl/>
        <w:ind w:firstLine="640" w:firstLineChars="200"/>
        <w:jc w:val="left"/>
        <w:rPr>
          <w:rFonts w:hint="eastAsia" w:ascii="仿宋" w:hAnsi="仿宋" w:cs="宋体"/>
          <w:color w:val="000000"/>
          <w:kern w:val="0"/>
          <w:sz w:val="32"/>
          <w:szCs w:val="32"/>
        </w:rPr>
      </w:pPr>
      <w:r>
        <w:rPr>
          <w:rFonts w:hint="eastAsia" w:ascii="仿宋" w:hAnsi="仿宋" w:cs="宋体"/>
          <w:color w:val="000000"/>
          <w:kern w:val="0"/>
          <w:sz w:val="32"/>
          <w:szCs w:val="32"/>
        </w:rPr>
        <w:t>十六、</w:t>
      </w:r>
      <w:r>
        <w:rPr>
          <w:rFonts w:ascii="仿宋" w:hAnsi="仿宋" w:cs="宋体"/>
          <w:color w:val="000000"/>
          <w:kern w:val="0"/>
          <w:sz w:val="32"/>
          <w:szCs w:val="32"/>
        </w:rPr>
        <w:t xml:space="preserve">基本支出：指为保障机构正常运转、完成日常工作任务而发生 的支出，包括人员经费和公用经费。 </w:t>
      </w:r>
    </w:p>
    <w:p>
      <w:pPr>
        <w:widowControl/>
        <w:ind w:firstLine="640" w:firstLineChars="200"/>
        <w:jc w:val="left"/>
        <w:rPr>
          <w:rFonts w:ascii="宋体" w:cs="宋体"/>
          <w:kern w:val="0"/>
          <w:sz w:val="24"/>
          <w:szCs w:val="24"/>
        </w:rPr>
      </w:pPr>
      <w:r>
        <w:rPr>
          <w:rFonts w:hint="eastAsia" w:ascii="仿宋" w:hAnsi="仿宋" w:cs="宋体"/>
          <w:color w:val="000000"/>
          <w:kern w:val="0"/>
          <w:sz w:val="32"/>
          <w:szCs w:val="32"/>
        </w:rPr>
        <w:t>十七、</w:t>
      </w:r>
      <w:r>
        <w:rPr>
          <w:rFonts w:ascii="仿宋" w:hAnsi="仿宋" w:cs="宋体"/>
          <w:color w:val="000000"/>
          <w:kern w:val="0"/>
          <w:sz w:val="32"/>
          <w:szCs w:val="32"/>
        </w:rPr>
        <w:t>项目支出：指在为完成特定的工作任务和事业发展目标所发生 的支出。</w:t>
      </w:r>
    </w:p>
    <w:p>
      <w:pPr>
        <w:widowControl/>
        <w:ind w:firstLine="640" w:firstLineChars="200"/>
        <w:jc w:val="left"/>
        <w:rPr>
          <w:rFonts w:hint="eastAsia" w:ascii="仿宋" w:hAnsi="仿宋" w:cs="宋体"/>
          <w:color w:val="000000"/>
          <w:kern w:val="0"/>
          <w:sz w:val="32"/>
          <w:szCs w:val="32"/>
        </w:rPr>
      </w:pPr>
      <w:r>
        <w:rPr>
          <w:rFonts w:hint="eastAsia" w:ascii="仿宋" w:hAnsi="仿宋" w:cs="宋体"/>
          <w:color w:val="000000"/>
          <w:kern w:val="0"/>
          <w:sz w:val="32"/>
          <w:szCs w:val="32"/>
        </w:rPr>
        <w:t>十八、</w:t>
      </w:r>
      <w:r>
        <w:rPr>
          <w:rFonts w:ascii="仿宋" w:hAnsi="仿宋" w:cs="宋体"/>
          <w:color w:val="000000"/>
          <w:kern w:val="0"/>
          <w:sz w:val="32"/>
          <w:szCs w:val="32"/>
        </w:rPr>
        <w:t xml:space="preserve">一般公共服务支出（类）政府办公厅（室）及相关机构事务（款） 行政运行（项）：反映行政单位（包括实行公务员管理的事业单位）的 基本 支出。 </w:t>
      </w:r>
    </w:p>
    <w:p>
      <w:pPr>
        <w:widowControl/>
        <w:ind w:firstLine="640" w:firstLineChars="200"/>
        <w:jc w:val="left"/>
        <w:rPr>
          <w:rFonts w:hint="eastAsia" w:ascii="仿宋" w:hAnsi="仿宋" w:cs="宋体"/>
          <w:color w:val="000000"/>
          <w:kern w:val="0"/>
          <w:sz w:val="32"/>
          <w:szCs w:val="32"/>
        </w:rPr>
      </w:pPr>
      <w:r>
        <w:rPr>
          <w:rFonts w:hint="eastAsia" w:ascii="仿宋" w:hAnsi="仿宋" w:cs="宋体"/>
          <w:color w:val="000000"/>
          <w:kern w:val="0"/>
          <w:sz w:val="32"/>
          <w:szCs w:val="32"/>
        </w:rPr>
        <w:t>十九、</w:t>
      </w:r>
      <w:r>
        <w:rPr>
          <w:rFonts w:ascii="仿宋" w:hAnsi="仿宋" w:cs="宋体"/>
          <w:color w:val="000000"/>
          <w:kern w:val="0"/>
          <w:sz w:val="32"/>
          <w:szCs w:val="32"/>
        </w:rPr>
        <w:t xml:space="preserve">一般公共服务支出（类）政府办公厅（室）及相关机构事务（款） 事业运行（项）：反映事业单位的基本支出，不包括行政单位（包括实 行公务 员管理的事业单位）后勤服务中心、医务室等附属事业单位。 </w:t>
      </w:r>
    </w:p>
    <w:p>
      <w:pPr>
        <w:widowControl/>
        <w:ind w:firstLine="640" w:firstLineChars="200"/>
        <w:jc w:val="left"/>
        <w:rPr>
          <w:rFonts w:hint="eastAsia" w:ascii="仿宋" w:hAnsi="仿宋" w:cs="宋体"/>
          <w:color w:val="000000"/>
          <w:kern w:val="0"/>
          <w:sz w:val="32"/>
          <w:szCs w:val="32"/>
        </w:rPr>
      </w:pPr>
      <w:r>
        <w:rPr>
          <w:rFonts w:hint="eastAsia" w:ascii="仿宋" w:hAnsi="仿宋" w:cs="宋体"/>
          <w:color w:val="000000"/>
          <w:kern w:val="0"/>
          <w:sz w:val="32"/>
          <w:szCs w:val="32"/>
        </w:rPr>
        <w:t>二十、</w:t>
      </w:r>
      <w:r>
        <w:rPr>
          <w:rFonts w:ascii="仿宋" w:hAnsi="仿宋" w:cs="宋体"/>
          <w:color w:val="000000"/>
          <w:kern w:val="0"/>
          <w:sz w:val="32"/>
          <w:szCs w:val="32"/>
        </w:rPr>
        <w:t xml:space="preserve">一般公共服务支出（类）政府办公厅（室）及相关机构事务（款） 其他政府办公厅（室）及相关机构事务支出（项）：反映除上述项目以 外的其他政府办公厅（室）及相关机构事 务支出。 </w:t>
      </w:r>
    </w:p>
    <w:p>
      <w:pPr>
        <w:widowControl/>
        <w:ind w:firstLine="640" w:firstLineChars="200"/>
        <w:jc w:val="left"/>
        <w:rPr>
          <w:rFonts w:hint="eastAsia" w:ascii="仿宋" w:hAnsi="仿宋" w:cs="宋体"/>
          <w:color w:val="000000"/>
          <w:kern w:val="0"/>
          <w:sz w:val="32"/>
          <w:szCs w:val="32"/>
        </w:rPr>
      </w:pPr>
      <w:r>
        <w:rPr>
          <w:rFonts w:hint="eastAsia" w:ascii="仿宋" w:hAnsi="仿宋" w:cs="宋体"/>
          <w:color w:val="000000"/>
          <w:kern w:val="0"/>
          <w:sz w:val="32"/>
          <w:szCs w:val="32"/>
        </w:rPr>
        <w:t>二十一、</w:t>
      </w:r>
      <w:r>
        <w:rPr>
          <w:rFonts w:ascii="仿宋" w:hAnsi="仿宋" w:cs="宋体"/>
          <w:color w:val="000000"/>
          <w:kern w:val="0"/>
          <w:sz w:val="32"/>
          <w:szCs w:val="32"/>
        </w:rPr>
        <w:t xml:space="preserve">社会保障和就业支出（类）行政事业单位养老支出（款）机关 事业单位基本养老保险缴费支出（项）：反映机关事业单位实施养老保 险制度由单位缴纳的基本养老保险费支出。 </w:t>
      </w:r>
    </w:p>
    <w:p>
      <w:pPr>
        <w:widowControl/>
        <w:ind w:firstLine="640" w:firstLineChars="200"/>
        <w:jc w:val="left"/>
        <w:rPr>
          <w:rFonts w:hint="eastAsia" w:ascii="仿宋" w:hAnsi="仿宋" w:cs="宋体"/>
          <w:color w:val="000000"/>
          <w:kern w:val="0"/>
          <w:sz w:val="32"/>
          <w:szCs w:val="32"/>
        </w:rPr>
      </w:pPr>
      <w:r>
        <w:rPr>
          <w:rFonts w:hint="eastAsia" w:ascii="仿宋" w:hAnsi="仿宋" w:cs="宋体"/>
          <w:color w:val="000000"/>
          <w:kern w:val="0"/>
          <w:sz w:val="32"/>
          <w:szCs w:val="32"/>
        </w:rPr>
        <w:t>二十二、</w:t>
      </w:r>
      <w:r>
        <w:rPr>
          <w:rFonts w:ascii="仿宋" w:hAnsi="仿宋" w:cs="宋体"/>
          <w:color w:val="000000"/>
          <w:kern w:val="0"/>
          <w:sz w:val="32"/>
          <w:szCs w:val="32"/>
        </w:rPr>
        <w:t xml:space="preserve">卫生健康支出（类）行政事业单位医疗（款）事业单位医疗（项）： 反映财政部门安排的事业单位基本医疗保险缴费经费，未参 加医疗保 险的事业单位的公费医疗经费，按国家规定享受离休 人员待遇的医疗 经费。 </w:t>
      </w:r>
    </w:p>
    <w:p>
      <w:pPr>
        <w:widowControl/>
        <w:ind w:firstLine="640" w:firstLineChars="200"/>
        <w:jc w:val="left"/>
        <w:rPr>
          <w:rFonts w:ascii="宋体" w:hAnsi="宋体" w:eastAsia="黑体" w:cs="黑体"/>
          <w:color w:val="000000"/>
          <w:kern w:val="0"/>
          <w:sz w:val="28"/>
          <w:szCs w:val="32"/>
        </w:rPr>
      </w:pPr>
      <w:r>
        <w:rPr>
          <w:rFonts w:hint="eastAsia" w:ascii="仿宋" w:hAnsi="仿宋" w:cs="宋体"/>
          <w:color w:val="000000"/>
          <w:kern w:val="0"/>
          <w:sz w:val="32"/>
          <w:szCs w:val="32"/>
        </w:rPr>
        <w:t>二十三、</w:t>
      </w:r>
      <w:r>
        <w:rPr>
          <w:rFonts w:ascii="仿宋" w:hAnsi="仿宋" w:cs="宋体"/>
          <w:color w:val="000000"/>
          <w:kern w:val="0"/>
          <w:sz w:val="32"/>
          <w:szCs w:val="32"/>
        </w:rPr>
        <w:t>资源勘探工业信息等支出（类）制造业（款）其他制造业支出 （项）：反映除上述项目以外其他用于制造业方面的支出。</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jc w:val="center"/>
        <w:rPr>
          <w:rFonts w:ascii="仿宋" w:eastAsia="仿宋" w:cs="仿宋"/>
          <w:b/>
          <w:bCs/>
          <w:sz w:val="36"/>
          <w:szCs w:val="36"/>
        </w:rPr>
      </w:pPr>
      <w:r>
        <w:rPr>
          <w:rFonts w:hint="eastAsia" w:ascii="仿宋" w:eastAsia="仿宋" w:cs="仿宋"/>
          <w:b/>
          <w:bCs/>
          <w:sz w:val="36"/>
          <w:szCs w:val="36"/>
        </w:rPr>
        <w:t>2021年度道县高新技术产业开发区管理委员会</w:t>
      </w:r>
    </w:p>
    <w:p>
      <w:pPr>
        <w:jc w:val="center"/>
        <w:rPr>
          <w:rFonts w:ascii="仿宋" w:eastAsia="仿宋" w:cs="仿宋"/>
          <w:b/>
          <w:bCs/>
          <w:sz w:val="36"/>
          <w:szCs w:val="36"/>
        </w:rPr>
      </w:pPr>
      <w:r>
        <w:rPr>
          <w:rFonts w:hint="eastAsia" w:ascii="仿宋" w:eastAsia="仿宋" w:cs="仿宋"/>
          <w:b/>
          <w:bCs/>
          <w:sz w:val="36"/>
          <w:szCs w:val="36"/>
        </w:rPr>
        <w:t>绩效评价报告</w:t>
      </w:r>
    </w:p>
    <w:p>
      <w:pPr>
        <w:jc w:val="center"/>
        <w:rPr>
          <w:rFonts w:ascii="仿宋" w:eastAsia="仿宋" w:cs="仿宋"/>
          <w:b/>
          <w:bCs/>
          <w:sz w:val="36"/>
          <w:szCs w:val="36"/>
        </w:rPr>
      </w:pPr>
    </w:p>
    <w:p>
      <w:pPr>
        <w:numPr>
          <w:ilvl w:val="0"/>
          <w:numId w:val="2"/>
        </w:numPr>
        <w:jc w:val="left"/>
        <w:rPr>
          <w:rFonts w:ascii="仿宋" w:eastAsia="仿宋" w:cs="仿宋"/>
          <w:b/>
          <w:bCs/>
          <w:sz w:val="32"/>
          <w:szCs w:val="32"/>
        </w:rPr>
      </w:pPr>
      <w:r>
        <w:rPr>
          <w:rFonts w:hint="eastAsia" w:ascii="仿宋" w:eastAsia="仿宋" w:cs="仿宋"/>
          <w:b/>
          <w:bCs/>
          <w:sz w:val="32"/>
          <w:szCs w:val="32"/>
        </w:rPr>
        <w:t>基本情况</w:t>
      </w:r>
    </w:p>
    <w:p>
      <w:pPr>
        <w:jc w:val="left"/>
        <w:rPr>
          <w:rFonts w:ascii="仿宋" w:eastAsia="仿宋" w:cs="仿宋"/>
          <w:sz w:val="32"/>
          <w:szCs w:val="32"/>
        </w:rPr>
      </w:pPr>
      <w:r>
        <w:rPr>
          <w:rFonts w:hint="eastAsia" w:ascii="仿宋" w:eastAsia="仿宋" w:cs="仿宋"/>
          <w:b/>
          <w:bCs/>
          <w:sz w:val="32"/>
          <w:szCs w:val="32"/>
        </w:rPr>
        <w:t xml:space="preserve">    </w:t>
      </w:r>
      <w:r>
        <w:rPr>
          <w:rFonts w:hint="eastAsia" w:ascii="仿宋" w:eastAsia="仿宋" w:cs="仿宋"/>
          <w:sz w:val="32"/>
          <w:szCs w:val="32"/>
        </w:rPr>
        <w:t>（一）部门（单位）基本情况　　　　</w:t>
      </w:r>
    </w:p>
    <w:p>
      <w:pPr>
        <w:ind w:firstLine="640" w:firstLineChars="200"/>
        <w:rPr>
          <w:rFonts w:ascii="仿宋" w:eastAsia="仿宋" w:cs="仿宋_GB2312"/>
          <w:sz w:val="32"/>
          <w:szCs w:val="32"/>
        </w:rPr>
      </w:pPr>
      <w:r>
        <w:rPr>
          <w:rFonts w:hint="eastAsia" w:ascii="仿宋" w:eastAsia="仿宋" w:cs="仿宋_GB2312"/>
          <w:sz w:val="32"/>
          <w:szCs w:val="32"/>
        </w:rPr>
        <w:t>1．主要职能</w:t>
      </w:r>
    </w:p>
    <w:p>
      <w:pPr>
        <w:widowControl/>
        <w:spacing w:after="2"/>
        <w:ind w:firstLine="640" w:firstLineChars="200"/>
        <w:rPr>
          <w:rFonts w:ascii="仿宋" w:eastAsia="仿宋" w:cs="仿宋_GB2312"/>
          <w:color w:val="000000"/>
          <w:kern w:val="0"/>
          <w:sz w:val="32"/>
          <w:szCs w:val="32"/>
        </w:rPr>
      </w:pPr>
      <w:r>
        <w:rPr>
          <w:rFonts w:hint="eastAsia" w:ascii="仿宋" w:eastAsia="仿宋" w:cs="仿宋_GB2312"/>
          <w:color w:val="000000"/>
          <w:kern w:val="0"/>
          <w:sz w:val="32"/>
          <w:szCs w:val="32"/>
        </w:rPr>
        <w:t>（1）负责贯彻执行党和国家关于高新区的方针政策、法律法规和决策部署。</w:t>
      </w:r>
    </w:p>
    <w:p>
      <w:pPr>
        <w:widowControl/>
        <w:spacing w:after="2"/>
        <w:ind w:firstLine="640"/>
        <w:rPr>
          <w:rFonts w:ascii="仿宋" w:eastAsia="仿宋" w:cs="仿宋_GB2312"/>
          <w:color w:val="000000"/>
          <w:kern w:val="0"/>
          <w:sz w:val="32"/>
          <w:szCs w:val="32"/>
        </w:rPr>
      </w:pPr>
      <w:r>
        <w:rPr>
          <w:rFonts w:hint="eastAsia" w:ascii="仿宋" w:eastAsia="仿宋" w:cs="仿宋_GB2312"/>
          <w:color w:val="000000"/>
          <w:kern w:val="0"/>
          <w:sz w:val="32"/>
          <w:szCs w:val="32"/>
        </w:rPr>
        <w:t>（2）负责研究拟订和组织实施道县高新区重大发展战略、发展规划和工作计划。</w:t>
      </w:r>
    </w:p>
    <w:p>
      <w:pPr>
        <w:widowControl/>
        <w:spacing w:after="2"/>
        <w:ind w:firstLine="640"/>
        <w:rPr>
          <w:rFonts w:ascii="仿宋" w:eastAsia="仿宋" w:cs="仿宋_GB2312"/>
          <w:color w:val="000000"/>
          <w:kern w:val="0"/>
          <w:sz w:val="32"/>
          <w:szCs w:val="32"/>
        </w:rPr>
      </w:pPr>
      <w:r>
        <w:rPr>
          <w:rFonts w:hint="eastAsia" w:ascii="仿宋" w:eastAsia="仿宋" w:cs="仿宋_GB2312"/>
          <w:color w:val="000000"/>
          <w:kern w:val="0"/>
          <w:sz w:val="32"/>
          <w:szCs w:val="32"/>
        </w:rPr>
        <w:t>（3）按照道县国土空间总体规划和产业发展规划要求及相关权限，负责统筹建设发展空间布局。负责拟订道县高新区发展规划、产业布局、产业政策、项目准入标准等重要事项并组织实施。</w:t>
      </w:r>
    </w:p>
    <w:p>
      <w:pPr>
        <w:widowControl/>
        <w:spacing w:after="2"/>
        <w:ind w:firstLine="640"/>
        <w:rPr>
          <w:rFonts w:ascii="仿宋" w:eastAsia="仿宋" w:cs="仿宋_GB2312"/>
          <w:color w:val="000000"/>
          <w:kern w:val="0"/>
          <w:sz w:val="32"/>
          <w:szCs w:val="32"/>
        </w:rPr>
      </w:pPr>
      <w:r>
        <w:rPr>
          <w:rFonts w:hint="eastAsia" w:ascii="仿宋" w:eastAsia="仿宋" w:cs="仿宋_GB2312"/>
          <w:color w:val="000000"/>
          <w:kern w:val="0"/>
          <w:sz w:val="32"/>
          <w:szCs w:val="32"/>
        </w:rPr>
        <w:t>（4）负责道县高新区招商引资工作，组织对外经济技术合作与交流。负责道县高新区基础设施、公用事业、重大项目等建设管理相关工作。</w:t>
      </w:r>
    </w:p>
    <w:p>
      <w:pPr>
        <w:widowControl/>
        <w:spacing w:after="2"/>
        <w:ind w:firstLine="640"/>
        <w:rPr>
          <w:rFonts w:ascii="仿宋" w:eastAsia="仿宋" w:cs="仿宋_GB2312"/>
          <w:color w:val="000000"/>
          <w:kern w:val="0"/>
          <w:sz w:val="32"/>
          <w:szCs w:val="32"/>
        </w:rPr>
      </w:pPr>
      <w:r>
        <w:rPr>
          <w:rFonts w:hint="eastAsia" w:ascii="仿宋" w:eastAsia="仿宋" w:cs="仿宋_GB2312"/>
          <w:color w:val="000000"/>
          <w:kern w:val="0"/>
          <w:sz w:val="32"/>
          <w:szCs w:val="32"/>
        </w:rPr>
        <w:t>（5）负责道县高新区优化营商环境工作，根据权限依法承担有关行政审批工作，履行行政审批服务职责。负责构建道县高新区创新创业服务体系，协助企业做好人才引进和服务工作。</w:t>
      </w:r>
    </w:p>
    <w:p>
      <w:pPr>
        <w:widowControl/>
        <w:spacing w:after="2"/>
        <w:ind w:firstLine="640"/>
        <w:rPr>
          <w:rFonts w:ascii="仿宋" w:eastAsia="仿宋" w:cs="仿宋_GB2312"/>
          <w:color w:val="000000"/>
          <w:kern w:val="0"/>
          <w:sz w:val="32"/>
          <w:szCs w:val="32"/>
        </w:rPr>
      </w:pPr>
      <w:r>
        <w:rPr>
          <w:rFonts w:hint="eastAsia" w:ascii="仿宋" w:eastAsia="仿宋" w:cs="仿宋_GB2312"/>
          <w:color w:val="000000"/>
          <w:kern w:val="0"/>
          <w:sz w:val="32"/>
          <w:szCs w:val="32"/>
        </w:rPr>
        <w:t>（6）负责道县高新区的科技创新、高新技术产业管理和服务，开展有关科技创新和高新技术产业政策研究，构建技术创新服务体系。指导区内企业建立现代化企业制度，推进高新技术产业化、国际化。</w:t>
      </w:r>
    </w:p>
    <w:p>
      <w:pPr>
        <w:widowControl/>
        <w:spacing w:after="2"/>
        <w:ind w:firstLine="640"/>
        <w:rPr>
          <w:rFonts w:ascii="仿宋" w:eastAsia="仿宋" w:cs="仿宋_GB2312"/>
          <w:color w:val="000000"/>
          <w:kern w:val="0"/>
          <w:sz w:val="32"/>
          <w:szCs w:val="32"/>
        </w:rPr>
      </w:pPr>
      <w:r>
        <w:rPr>
          <w:rFonts w:hint="eastAsia" w:ascii="仿宋" w:eastAsia="仿宋" w:cs="仿宋_GB2312"/>
          <w:color w:val="000000"/>
          <w:kern w:val="0"/>
          <w:sz w:val="32"/>
          <w:szCs w:val="32"/>
        </w:rPr>
        <w:t>（7）负责道县高新区党的建设和“两新”组织党建工作。</w:t>
      </w:r>
    </w:p>
    <w:p>
      <w:pPr>
        <w:widowControl/>
        <w:spacing w:after="2"/>
        <w:ind w:firstLine="640"/>
        <w:rPr>
          <w:rFonts w:ascii="仿宋" w:eastAsia="仿宋" w:cs="仿宋_GB2312"/>
          <w:color w:val="000000"/>
          <w:kern w:val="0"/>
          <w:sz w:val="32"/>
          <w:szCs w:val="32"/>
        </w:rPr>
      </w:pPr>
      <w:r>
        <w:rPr>
          <w:rFonts w:hint="eastAsia" w:ascii="仿宋" w:eastAsia="仿宋" w:cs="仿宋_GB2312"/>
          <w:color w:val="000000"/>
          <w:kern w:val="0"/>
          <w:sz w:val="32"/>
          <w:szCs w:val="32"/>
        </w:rPr>
        <w:t>（8）根据有关要求和职责分工，承担道县高新区综合管理、统计、信息、安全生产监督管理、生态环境保护、财政收支管理及国有资产管理等工作。</w:t>
      </w:r>
    </w:p>
    <w:p>
      <w:pPr>
        <w:widowControl/>
        <w:spacing w:after="2"/>
        <w:ind w:firstLine="640"/>
        <w:rPr>
          <w:rFonts w:ascii="仿宋" w:eastAsia="仿宋" w:cs="仿宋_GB2312"/>
          <w:sz w:val="32"/>
          <w:szCs w:val="32"/>
        </w:rPr>
      </w:pPr>
      <w:r>
        <w:rPr>
          <w:rFonts w:hint="eastAsia" w:ascii="仿宋" w:eastAsia="仿宋" w:cs="仿宋_GB2312"/>
          <w:color w:val="000000"/>
          <w:kern w:val="0"/>
          <w:sz w:val="32"/>
          <w:szCs w:val="32"/>
        </w:rPr>
        <w:t>（9）承办市委、市政府和县委、县政府交办的其他事项。</w:t>
      </w:r>
      <w:r>
        <w:rPr>
          <w:rFonts w:hint="eastAsia" w:ascii="仿宋" w:eastAsia="仿宋" w:cs="仿宋_GB2312"/>
          <w:sz w:val="32"/>
          <w:szCs w:val="32"/>
        </w:rPr>
        <w:t xml:space="preserve"> </w:t>
      </w:r>
    </w:p>
    <w:p>
      <w:pPr>
        <w:ind w:firstLine="640" w:firstLineChars="200"/>
        <w:rPr>
          <w:rFonts w:ascii="仿宋" w:eastAsia="仿宋" w:cs="仿宋_GB2312"/>
          <w:sz w:val="32"/>
          <w:szCs w:val="32"/>
        </w:rPr>
      </w:pPr>
      <w:r>
        <w:rPr>
          <w:rFonts w:hint="eastAsia" w:ascii="仿宋" w:eastAsia="仿宋" w:cs="仿宋_GB2312"/>
          <w:sz w:val="32"/>
          <w:szCs w:val="32"/>
        </w:rPr>
        <w:t>2．机构设置</w:t>
      </w:r>
    </w:p>
    <w:p>
      <w:pPr>
        <w:widowControl/>
        <w:spacing w:after="2"/>
        <w:ind w:firstLine="628"/>
        <w:rPr>
          <w:rFonts w:ascii="仿宋" w:eastAsia="仿宋" w:cs="仿宋_GB2312"/>
          <w:kern w:val="0"/>
          <w:szCs w:val="21"/>
        </w:rPr>
      </w:pPr>
      <w:r>
        <w:rPr>
          <w:rFonts w:hint="eastAsia" w:ascii="仿宋" w:eastAsia="仿宋" w:cs="仿宋_GB2312"/>
          <w:sz w:val="32"/>
          <w:szCs w:val="32"/>
        </w:rPr>
        <w:t>道县高新技术产业开发区管理委员会</w:t>
      </w:r>
      <w:r>
        <w:rPr>
          <w:rFonts w:hint="eastAsia" w:ascii="仿宋" w:eastAsia="仿宋" w:cs="仿宋_GB2312"/>
          <w:color w:val="000000"/>
          <w:kern w:val="0"/>
          <w:sz w:val="32"/>
          <w:szCs w:val="32"/>
        </w:rPr>
        <w:t>属副处级单位，事业编制42人，实有人员49人，其中管理人员32人，工勤人员6人，其他人员11人。</w:t>
      </w:r>
    </w:p>
    <w:p>
      <w:pPr>
        <w:jc w:val="left"/>
        <w:rPr>
          <w:rFonts w:ascii="仿宋" w:eastAsia="仿宋" w:cs="仿宋"/>
          <w:sz w:val="32"/>
          <w:szCs w:val="32"/>
        </w:rPr>
      </w:pPr>
      <w:r>
        <w:rPr>
          <w:rFonts w:hint="eastAsia" w:ascii="仿宋" w:eastAsia="仿宋" w:cs="仿宋"/>
          <w:sz w:val="32"/>
          <w:szCs w:val="32"/>
        </w:rPr>
        <w:t xml:space="preserve">    （二）部门（单位）年度整体支出绩效目标，省级专项资金绩效目标、其他项目支出（除省级专项资金以外）绩效目标。</w:t>
      </w:r>
    </w:p>
    <w:p>
      <w:pPr>
        <w:jc w:val="left"/>
        <w:rPr>
          <w:rFonts w:ascii="仿宋" w:eastAsia="仿宋" w:cs="仿宋"/>
          <w:sz w:val="32"/>
          <w:szCs w:val="32"/>
        </w:rPr>
      </w:pPr>
      <w:r>
        <w:rPr>
          <w:rFonts w:hint="eastAsia" w:ascii="仿宋" w:eastAsia="仿宋" w:cs="仿宋"/>
          <w:sz w:val="32"/>
          <w:szCs w:val="32"/>
        </w:rPr>
        <w:t xml:space="preserve">    1.整体支出绩效目标。</w:t>
      </w:r>
    </w:p>
    <w:p>
      <w:pPr>
        <w:jc w:val="left"/>
        <w:rPr>
          <w:rFonts w:ascii="仿宋" w:eastAsia="仿宋" w:cs="仿宋"/>
          <w:sz w:val="32"/>
          <w:szCs w:val="32"/>
        </w:rPr>
      </w:pPr>
      <w:r>
        <w:rPr>
          <w:rFonts w:hint="eastAsia" w:ascii="仿宋" w:eastAsia="仿宋" w:cs="仿宋"/>
          <w:sz w:val="32"/>
          <w:szCs w:val="32"/>
        </w:rPr>
        <w:t xml:space="preserve">    ①强化园区规划。根据园区发展、建设规划和产业政策打造“一主一特”产业。</w:t>
      </w:r>
    </w:p>
    <w:p>
      <w:pPr>
        <w:ind w:firstLine="640" w:firstLineChars="200"/>
        <w:jc w:val="left"/>
        <w:rPr>
          <w:rFonts w:ascii="仿宋" w:eastAsia="仿宋" w:cs="仿宋"/>
          <w:sz w:val="32"/>
          <w:szCs w:val="32"/>
        </w:rPr>
      </w:pPr>
      <w:r>
        <w:rPr>
          <w:rFonts w:hint="eastAsia" w:ascii="仿宋" w:eastAsia="仿宋" w:cs="仿宋"/>
          <w:sz w:val="32"/>
          <w:szCs w:val="32"/>
        </w:rPr>
        <w:t>②加强招商引资。通过商会招商、以商招商等方式主动上门招商，年内完成引进项目17个，竣工项目13个，新增入统规模企业15个，认定高新技术企业15个。</w:t>
      </w:r>
    </w:p>
    <w:p>
      <w:pPr>
        <w:ind w:firstLine="640" w:firstLineChars="200"/>
        <w:jc w:val="left"/>
        <w:rPr>
          <w:rFonts w:ascii="仿宋" w:eastAsia="仿宋" w:cs="仿宋"/>
          <w:sz w:val="32"/>
          <w:szCs w:val="32"/>
        </w:rPr>
      </w:pPr>
      <w:r>
        <w:rPr>
          <w:rFonts w:hint="eastAsia" w:ascii="仿宋" w:eastAsia="仿宋" w:cs="仿宋"/>
          <w:sz w:val="32"/>
          <w:szCs w:val="32"/>
        </w:rPr>
        <w:t>③注重优质服务，构建高效平台。进一步加大全程代办的力度，对园区企业安排一名人员为其专门进行服务，做到提前想到，提前告之，放下架子、全力服务，真正做到一站式、保姆式服务。</w:t>
      </w:r>
    </w:p>
    <w:p>
      <w:pPr>
        <w:ind w:firstLine="640" w:firstLineChars="200"/>
        <w:jc w:val="left"/>
        <w:rPr>
          <w:rFonts w:ascii="仿宋" w:eastAsia="仿宋" w:cs="仿宋"/>
          <w:sz w:val="32"/>
          <w:szCs w:val="32"/>
        </w:rPr>
      </w:pPr>
      <w:r>
        <w:rPr>
          <w:rFonts w:hint="eastAsia" w:ascii="仿宋" w:eastAsia="仿宋" w:cs="仿宋"/>
          <w:sz w:val="32"/>
          <w:szCs w:val="32"/>
        </w:rPr>
        <w:t xml:space="preserve">④做好指导监管。安全生产、环境保护强化企业主体责任，同时对单位所有工作人员实行“一岗双责”。　  </w:t>
      </w:r>
    </w:p>
    <w:p>
      <w:pPr>
        <w:jc w:val="left"/>
        <w:rPr>
          <w:rFonts w:ascii="仿宋" w:eastAsia="仿宋" w:cs="仿宋"/>
          <w:sz w:val="32"/>
          <w:szCs w:val="32"/>
        </w:rPr>
      </w:pPr>
      <w:r>
        <w:rPr>
          <w:rFonts w:hint="eastAsia" w:ascii="仿宋" w:eastAsia="仿宋" w:cs="仿宋"/>
          <w:sz w:val="32"/>
          <w:szCs w:val="32"/>
        </w:rPr>
        <w:t xml:space="preserve">    2.其他项目支出（除省级专项资金以外）绩效目标</w:t>
      </w:r>
    </w:p>
    <w:p>
      <w:pPr>
        <w:jc w:val="left"/>
        <w:rPr>
          <w:rFonts w:ascii="仿宋" w:eastAsia="仿宋" w:cs="仿宋"/>
          <w:sz w:val="32"/>
          <w:szCs w:val="32"/>
        </w:rPr>
      </w:pPr>
      <w:r>
        <w:rPr>
          <w:rFonts w:hint="eastAsia" w:ascii="仿宋" w:eastAsia="仿宋" w:cs="仿宋"/>
          <w:sz w:val="32"/>
          <w:szCs w:val="32"/>
        </w:rPr>
        <w:t xml:space="preserve">   一是中小企业发展资金及产业项目资金等项目绩效目标为充分依托区位、资源优势，下功夫谋划一批科技含量高、有发展前景的产业项目。坚持引进来和走出去并重、引资和引技、引智并举，瞄准“珠三角”，紧盯知名民企、行业领军企业，通过高位嫁接、合资合作、战略重组，引进高新技术企业和高端人才。进一步增强园区经济发展实力和示范带动能力。采取精准招商、专业化招商和委托招商等方式，力争2021年园区新招引投资5000万元项目25个，完成引资额20亿元以上。</w:t>
      </w:r>
    </w:p>
    <w:p>
      <w:pPr>
        <w:ind w:firstLine="640" w:firstLineChars="200"/>
        <w:jc w:val="left"/>
        <w:rPr>
          <w:rFonts w:ascii="仿宋" w:eastAsia="仿宋" w:cs="仿宋"/>
          <w:b/>
          <w:bCs/>
          <w:sz w:val="32"/>
          <w:szCs w:val="32"/>
        </w:rPr>
      </w:pPr>
      <w:r>
        <w:rPr>
          <w:rFonts w:hint="eastAsia" w:ascii="仿宋" w:eastAsia="仿宋" w:cs="仿宋"/>
          <w:sz w:val="32"/>
          <w:szCs w:val="32"/>
        </w:rPr>
        <w:t>二是电子信息产业孵化基地及配套设施项目绩效目标为完成项目用地的土地征收和划拨、项目用地内土石方工程、标准厂房主体工程、部分配套基础设施。</w:t>
      </w:r>
    </w:p>
    <w:p>
      <w:pPr>
        <w:ind w:firstLine="640" w:firstLineChars="200"/>
        <w:jc w:val="left"/>
        <w:rPr>
          <w:rFonts w:ascii="仿宋" w:eastAsia="仿宋" w:cs="仿宋"/>
          <w:b/>
          <w:bCs/>
          <w:sz w:val="32"/>
          <w:szCs w:val="32"/>
        </w:rPr>
      </w:pPr>
      <w:r>
        <w:rPr>
          <w:rFonts w:hint="eastAsia" w:ascii="仿宋" w:eastAsia="仿宋" w:cs="仿宋"/>
          <w:b/>
          <w:bCs/>
          <w:sz w:val="32"/>
          <w:szCs w:val="32"/>
        </w:rPr>
        <w:t>二、一般公共预算支出情况</w:t>
      </w:r>
    </w:p>
    <w:p>
      <w:pPr>
        <w:ind w:firstLine="640" w:firstLineChars="200"/>
        <w:jc w:val="left"/>
        <w:rPr>
          <w:rFonts w:ascii="仿宋" w:eastAsia="仿宋" w:cs="仿宋"/>
          <w:sz w:val="32"/>
          <w:szCs w:val="32"/>
        </w:rPr>
      </w:pPr>
      <w:r>
        <w:rPr>
          <w:rFonts w:hint="eastAsia" w:ascii="仿宋" w:eastAsia="仿宋" w:cs="仿宋"/>
          <w:sz w:val="32"/>
          <w:szCs w:val="32"/>
        </w:rPr>
        <w:t>（一）基本支出情况</w:t>
      </w:r>
    </w:p>
    <w:p>
      <w:pPr>
        <w:ind w:firstLine="640" w:firstLineChars="200"/>
        <w:jc w:val="left"/>
        <w:rPr>
          <w:rFonts w:ascii="仿宋" w:eastAsia="仿宋" w:cs="仿宋"/>
          <w:sz w:val="32"/>
          <w:szCs w:val="32"/>
        </w:rPr>
      </w:pPr>
      <w:r>
        <w:rPr>
          <w:rFonts w:hint="eastAsia" w:ascii="仿宋" w:eastAsia="仿宋" w:cs="仿宋"/>
          <w:sz w:val="32"/>
          <w:szCs w:val="32"/>
        </w:rPr>
        <w:t>　2021年度财政拨款基本支出</w:t>
      </w:r>
      <w:r>
        <w:rPr>
          <w:rFonts w:hint="eastAsia" w:ascii="仿宋" w:eastAsia="仿宋"/>
          <w:sz w:val="32"/>
          <w:szCs w:val="32"/>
        </w:rPr>
        <w:t>733.44</w:t>
      </w:r>
      <w:r>
        <w:rPr>
          <w:rFonts w:hint="eastAsia" w:ascii="仿宋" w:eastAsia="仿宋" w:cs="仿宋"/>
          <w:sz w:val="32"/>
          <w:szCs w:val="32"/>
        </w:rPr>
        <w:t>万元，其中：人员经费509.25万元，占基本支出的69.43%,主要包括基本工资144.83万元、津贴补贴74.86万元、奖金139.65万元、机关事业单位基本养老保险缴费39.56万元、职业年金0.09，职工医疗保险20.67万元、住房公积金2.66万元，其他社会保障缴费5.4万元；公用经费224.19万元，占基本支出的30.57%，主要包括办公费13.32万元、咨询费6万元、水电费3.4万元、邮电费0.08万元、差旅费6.57万元、维护费12.95万元、会议费0.52万元、培训费1.88万元、公务接待费37万元、劳务费5.58万元、工会经费21.68万元、福利费20.73万元、公务用车运行维护费4.15万元、其他交通费用26.88万元、其他商品和服务支出63.47万元。</w:t>
      </w:r>
    </w:p>
    <w:p>
      <w:pPr>
        <w:numPr>
          <w:ilvl w:val="0"/>
          <w:numId w:val="3"/>
        </w:numPr>
        <w:ind w:firstLine="640" w:firstLineChars="200"/>
        <w:jc w:val="left"/>
        <w:rPr>
          <w:rFonts w:ascii="仿宋" w:eastAsia="仿宋" w:cs="仿宋"/>
          <w:sz w:val="32"/>
          <w:szCs w:val="32"/>
        </w:rPr>
      </w:pPr>
      <w:r>
        <w:rPr>
          <w:rFonts w:hint="eastAsia" w:ascii="仿宋" w:eastAsia="仿宋" w:cs="仿宋"/>
          <w:sz w:val="32"/>
          <w:szCs w:val="32"/>
        </w:rPr>
        <w:t>项目支出情况</w:t>
      </w:r>
    </w:p>
    <w:p>
      <w:pPr>
        <w:jc w:val="left"/>
        <w:rPr>
          <w:rFonts w:ascii="仿宋" w:eastAsia="仿宋" w:cs="仿宋"/>
          <w:sz w:val="32"/>
          <w:szCs w:val="32"/>
        </w:rPr>
      </w:pPr>
      <w:r>
        <w:rPr>
          <w:rFonts w:hint="eastAsia" w:ascii="仿宋" w:eastAsia="仿宋" w:cs="仿宋"/>
          <w:sz w:val="32"/>
          <w:szCs w:val="32"/>
        </w:rPr>
        <w:t xml:space="preserve">    2021年度一般公共项目支出80万元，其中科技创新服务平台建设80万，中小企业发展资金及产业项目资金等217万。</w:t>
      </w:r>
    </w:p>
    <w:p>
      <w:pPr>
        <w:numPr>
          <w:ilvl w:val="0"/>
          <w:numId w:val="4"/>
        </w:numPr>
        <w:ind w:firstLine="640" w:firstLineChars="200"/>
        <w:jc w:val="left"/>
        <w:rPr>
          <w:rFonts w:ascii="仿宋" w:eastAsia="仿宋" w:cs="仿宋"/>
          <w:b/>
          <w:bCs/>
          <w:sz w:val="32"/>
          <w:szCs w:val="32"/>
        </w:rPr>
      </w:pPr>
      <w:r>
        <w:rPr>
          <w:rFonts w:hint="eastAsia" w:ascii="仿宋" w:eastAsia="仿宋" w:cs="仿宋"/>
          <w:b/>
          <w:bCs/>
          <w:sz w:val="32"/>
          <w:szCs w:val="32"/>
        </w:rPr>
        <w:t>政府性基金预算支出情况</w:t>
      </w:r>
    </w:p>
    <w:p>
      <w:pPr>
        <w:jc w:val="left"/>
        <w:rPr>
          <w:rFonts w:ascii="仿宋" w:eastAsia="仿宋" w:cs="仿宋"/>
          <w:sz w:val="32"/>
          <w:szCs w:val="32"/>
        </w:rPr>
      </w:pPr>
      <w:r>
        <w:rPr>
          <w:rFonts w:hint="eastAsia" w:ascii="仿宋" w:eastAsia="仿宋" w:cs="仿宋"/>
          <w:sz w:val="32"/>
          <w:szCs w:val="32"/>
        </w:rPr>
        <w:t xml:space="preserve">    本单位2021年度政府性基金预算支出合计19921.76万元，其中电子信息产业孵化基地及配套设施项目支出土地出让金1640万元，中小企业发展资金及产业项目资金18281.76万元。</w:t>
      </w:r>
    </w:p>
    <w:p>
      <w:pPr>
        <w:jc w:val="left"/>
        <w:rPr>
          <w:rFonts w:ascii="仿宋" w:eastAsia="仿宋" w:cs="仿宋"/>
          <w:sz w:val="32"/>
          <w:szCs w:val="32"/>
        </w:rPr>
      </w:pPr>
    </w:p>
    <w:p>
      <w:pPr>
        <w:numPr>
          <w:ilvl w:val="0"/>
          <w:numId w:val="5"/>
        </w:numPr>
        <w:ind w:firstLine="640" w:firstLineChars="200"/>
        <w:jc w:val="left"/>
        <w:rPr>
          <w:rFonts w:ascii="仿宋" w:eastAsia="仿宋" w:cs="仿宋"/>
          <w:b/>
          <w:bCs/>
          <w:sz w:val="32"/>
          <w:szCs w:val="32"/>
        </w:rPr>
      </w:pPr>
      <w:r>
        <w:rPr>
          <w:rFonts w:hint="eastAsia" w:ascii="仿宋" w:eastAsia="仿宋" w:cs="仿宋"/>
          <w:b/>
          <w:bCs/>
          <w:sz w:val="32"/>
          <w:szCs w:val="32"/>
        </w:rPr>
        <w:t>国有资本经营预算支出情况</w:t>
      </w:r>
    </w:p>
    <w:p>
      <w:pPr>
        <w:ind w:firstLine="640" w:firstLineChars="200"/>
        <w:jc w:val="left"/>
        <w:rPr>
          <w:rFonts w:ascii="仿宋" w:eastAsia="仿宋" w:cs="仿宋"/>
          <w:sz w:val="32"/>
          <w:szCs w:val="32"/>
        </w:rPr>
      </w:pPr>
      <w:r>
        <w:rPr>
          <w:rFonts w:hint="eastAsia" w:ascii="仿宋" w:eastAsia="仿宋" w:cs="仿宋"/>
          <w:sz w:val="32"/>
          <w:szCs w:val="32"/>
        </w:rPr>
        <w:t>本单位2021年度无涉及国有资本经营的预算支出。</w:t>
      </w:r>
    </w:p>
    <w:p>
      <w:pPr>
        <w:numPr>
          <w:ilvl w:val="0"/>
          <w:numId w:val="6"/>
        </w:numPr>
        <w:ind w:firstLine="640" w:firstLineChars="200"/>
        <w:jc w:val="left"/>
        <w:rPr>
          <w:rFonts w:ascii="仿宋" w:eastAsia="仿宋" w:cs="仿宋"/>
          <w:b/>
          <w:bCs/>
          <w:sz w:val="32"/>
          <w:szCs w:val="32"/>
        </w:rPr>
      </w:pPr>
      <w:r>
        <w:rPr>
          <w:rFonts w:hint="eastAsia" w:ascii="仿宋" w:eastAsia="仿宋" w:cs="仿宋"/>
          <w:b/>
          <w:bCs/>
          <w:sz w:val="32"/>
          <w:szCs w:val="32"/>
        </w:rPr>
        <w:t>社会保险基金预算支出情况</w:t>
      </w:r>
    </w:p>
    <w:p>
      <w:pPr>
        <w:ind w:firstLine="640" w:firstLineChars="200"/>
        <w:jc w:val="left"/>
        <w:rPr>
          <w:rFonts w:ascii="仿宋" w:eastAsia="仿宋" w:cs="仿宋"/>
          <w:sz w:val="32"/>
          <w:szCs w:val="32"/>
        </w:rPr>
      </w:pPr>
      <w:r>
        <w:rPr>
          <w:rFonts w:hint="eastAsia" w:ascii="仿宋" w:eastAsia="仿宋" w:cs="仿宋"/>
          <w:sz w:val="32"/>
          <w:szCs w:val="32"/>
        </w:rPr>
        <w:t>本单位2021年度无涉及社会保险基金预算支出。</w:t>
      </w:r>
    </w:p>
    <w:p>
      <w:pPr>
        <w:numPr>
          <w:ilvl w:val="0"/>
          <w:numId w:val="7"/>
        </w:numPr>
        <w:ind w:firstLine="640" w:firstLineChars="200"/>
        <w:jc w:val="left"/>
        <w:rPr>
          <w:rFonts w:ascii="仿宋" w:eastAsia="仿宋" w:cs="仿宋"/>
          <w:b/>
          <w:bCs/>
          <w:sz w:val="32"/>
          <w:szCs w:val="32"/>
        </w:rPr>
      </w:pPr>
      <w:r>
        <w:rPr>
          <w:rFonts w:hint="eastAsia" w:ascii="仿宋" w:eastAsia="仿宋" w:cs="仿宋"/>
          <w:b/>
          <w:bCs/>
          <w:sz w:val="32"/>
          <w:szCs w:val="32"/>
        </w:rPr>
        <w:t>部门整体支出绩效情况</w:t>
      </w:r>
    </w:p>
    <w:p>
      <w:pPr>
        <w:spacing w:line="560" w:lineRule="exact"/>
        <w:ind w:firstLine="640" w:firstLineChars="200"/>
        <w:rPr>
          <w:rFonts w:ascii="仿宋" w:eastAsia="仿宋" w:cs="仿宋_GB2312"/>
          <w:sz w:val="32"/>
          <w:szCs w:val="32"/>
        </w:rPr>
      </w:pPr>
      <w:r>
        <w:rPr>
          <w:rFonts w:hint="eastAsia" w:ascii="仿宋" w:eastAsia="仿宋" w:cs="楷体_GB2312"/>
          <w:b/>
          <w:bCs/>
          <w:sz w:val="32"/>
          <w:szCs w:val="32"/>
        </w:rPr>
        <w:t>（一）园区经济呈现新气象。</w:t>
      </w:r>
      <w:r>
        <w:rPr>
          <w:rFonts w:hint="eastAsia" w:ascii="仿宋" w:eastAsia="仿宋" w:cs="仿宋_GB2312"/>
          <w:sz w:val="32"/>
          <w:szCs w:val="32"/>
        </w:rPr>
        <w:t>园区完成规模工业总产值173.18亿元，同比增长43.31%；技工贸总收入206.3亿元，增幅9.53%；规模企业实缴税金3.06亿元，同比增长36.92%；工业增加值增幅14.51%；主导产业营业收入占比69.28%；研发经费生产总值占比3.07%；高新技术产业营业收入占比84.34%；招商引资金额约58.97亿元，增幅33.37%；进出口金额完成14.95亿元，增幅46.57%。2021年新签约投资5000万元以上工业项目26个，其中“一主一特”项目21个，占比80.77%；新开工投资5000万元以上工业项目23个，其中“一主一特”项目19个，占比82.61%；新竣工投资5000万元以上工业项目19个，其中“一主一特”项目15个，占比78.95%；新增入统规模企业16家；新增高新技术企业17家。今年成功培育2家企业（富明户外、仟亿药业）在湖南股权交易所挂牌上市。</w:t>
      </w:r>
    </w:p>
    <w:p>
      <w:pPr>
        <w:spacing w:line="560" w:lineRule="exact"/>
        <w:ind w:firstLine="640" w:firstLineChars="200"/>
        <w:rPr>
          <w:rFonts w:ascii="仿宋" w:eastAsia="仿宋" w:cs="仿宋_GB2312"/>
          <w:sz w:val="32"/>
          <w:szCs w:val="32"/>
        </w:rPr>
      </w:pPr>
      <w:r>
        <w:rPr>
          <w:rFonts w:hint="eastAsia" w:ascii="仿宋" w:eastAsia="仿宋" w:cs="楷体_GB2312"/>
          <w:b/>
          <w:bCs/>
          <w:sz w:val="32"/>
          <w:szCs w:val="32"/>
        </w:rPr>
        <w:t>（二）招商引资取得新成绩。</w:t>
      </w:r>
      <w:r>
        <w:rPr>
          <w:rFonts w:hint="eastAsia" w:ascii="仿宋" w:eastAsia="仿宋" w:cs="仿宋_GB2312"/>
          <w:sz w:val="32"/>
          <w:szCs w:val="32"/>
        </w:rPr>
        <w:t>围绕“一主一特”产业定位，大力开展产业链精准招商。新签约投资5000万元以上工业项目26个，其中“一主一特”项目21个，占比80.77%。</w:t>
      </w:r>
      <w:r>
        <w:rPr>
          <w:rFonts w:hint="eastAsia" w:ascii="仿宋" w:eastAsia="仿宋" w:cs="仿宋_GB2312"/>
          <w:b/>
          <w:bCs/>
          <w:sz w:val="32"/>
          <w:szCs w:val="32"/>
        </w:rPr>
        <w:t>一是</w:t>
      </w:r>
      <w:r>
        <w:rPr>
          <w:rFonts w:hint="eastAsia" w:ascii="仿宋" w:eastAsia="仿宋" w:cs="仿宋_GB2312"/>
          <w:sz w:val="32"/>
          <w:szCs w:val="32"/>
        </w:rPr>
        <w:t>压实责任抓招商。实行县委书记、县长靠前指挥，带头每月轮流外出招商，县高新区主要领导带领招商小分队深入一线广泛招商。</w:t>
      </w:r>
      <w:r>
        <w:rPr>
          <w:rFonts w:hint="eastAsia" w:ascii="仿宋" w:eastAsia="仿宋" w:cs="仿宋_GB2312"/>
          <w:b/>
          <w:bCs/>
          <w:sz w:val="32"/>
          <w:szCs w:val="32"/>
        </w:rPr>
        <w:t>二是</w:t>
      </w:r>
      <w:r>
        <w:rPr>
          <w:rFonts w:hint="eastAsia" w:ascii="仿宋" w:eastAsia="仿宋" w:cs="仿宋_GB2312"/>
          <w:sz w:val="32"/>
          <w:szCs w:val="32"/>
        </w:rPr>
        <w:t>创新方式抓招商。按照“政府专业小分队+市场化”的招商模式，组建了2支由县级领导带队的工业招商小分队，同时聘请了华企云谷等5个第三方机构，紧密对接招商目标企业。</w:t>
      </w:r>
      <w:r>
        <w:rPr>
          <w:rFonts w:hint="eastAsia" w:ascii="仿宋" w:eastAsia="仿宋" w:cs="仿宋_GB2312"/>
          <w:b/>
          <w:bCs/>
          <w:sz w:val="32"/>
          <w:szCs w:val="32"/>
        </w:rPr>
        <w:t>三是</w:t>
      </w:r>
      <w:r>
        <w:rPr>
          <w:rFonts w:hint="eastAsia" w:ascii="仿宋" w:eastAsia="仿宋" w:cs="仿宋_GB2312"/>
          <w:sz w:val="32"/>
          <w:szCs w:val="32"/>
        </w:rPr>
        <w:t>注重实效抓招商。坚持意向项目促签约、签约项目促开工、开工项目促投产，新引进项目明确一个县级领导主抓并实施“五个一”推进和全程帮代办服务机制，从签约开始，入驻标准化厂房的半年内必须投产，供地自建厂房的一年半内必须投产。2021年园区招商引资项目履约率达96.16%，开工率达88.47%、竣工率82.61%。</w:t>
      </w:r>
    </w:p>
    <w:p>
      <w:pPr>
        <w:spacing w:line="560" w:lineRule="exact"/>
        <w:ind w:firstLine="640" w:firstLineChars="200"/>
        <w:rPr>
          <w:rFonts w:ascii="仿宋" w:eastAsia="仿宋" w:cs="仿宋_GB2312"/>
          <w:sz w:val="32"/>
          <w:szCs w:val="32"/>
        </w:rPr>
      </w:pPr>
      <w:r>
        <w:rPr>
          <w:rFonts w:hint="eastAsia" w:ascii="仿宋" w:eastAsia="仿宋" w:cs="楷体_GB2312"/>
          <w:b/>
          <w:bCs/>
          <w:sz w:val="32"/>
          <w:szCs w:val="32"/>
        </w:rPr>
        <w:t>（三）项目建设取得新进展。</w:t>
      </w:r>
      <w:r>
        <w:rPr>
          <w:rFonts w:hint="eastAsia" w:ascii="仿宋" w:eastAsia="仿宋" w:cs="仿宋_GB2312"/>
          <w:b/>
          <w:bCs/>
          <w:sz w:val="32"/>
          <w:szCs w:val="32"/>
        </w:rPr>
        <w:t>一是</w:t>
      </w:r>
      <w:r>
        <w:rPr>
          <w:rFonts w:hint="eastAsia" w:ascii="仿宋" w:eastAsia="仿宋" w:cs="仿宋_GB2312"/>
          <w:sz w:val="32"/>
          <w:szCs w:val="32"/>
        </w:rPr>
        <w:t>主特产业突出。新开工投资5000万元以上工业项目23个，“一主一特”项目19个，占比82.61%；新竣工投产投资5000万元以上工业项目19个，“一主一特”项目15个，占比78.95%。</w:t>
      </w:r>
      <w:r>
        <w:rPr>
          <w:rFonts w:hint="eastAsia" w:ascii="仿宋" w:eastAsia="仿宋" w:cs="仿宋_GB2312"/>
          <w:b/>
          <w:bCs/>
          <w:sz w:val="32"/>
          <w:szCs w:val="32"/>
        </w:rPr>
        <w:t>二是</w:t>
      </w:r>
      <w:r>
        <w:rPr>
          <w:rFonts w:hint="eastAsia" w:ascii="仿宋" w:eastAsia="仿宋" w:cs="仿宋_GB2312"/>
          <w:sz w:val="32"/>
          <w:szCs w:val="32"/>
        </w:rPr>
        <w:t>承载能力显著提升。建成标准厂房约17万平方米，新“135”工程升级版项目约33万平方米完成主体建设。工业污水处理厂投入运营，园区亮化全覆盖，路网进一步完善。完善数字小镇配套建设及项目入驻建设，已入驻企业16家，已投产13家，3家装修中，筹备2022年6月正式开园并举办首届智能制造博览会。</w:t>
      </w:r>
    </w:p>
    <w:p>
      <w:pPr>
        <w:spacing w:line="560" w:lineRule="exact"/>
        <w:ind w:firstLine="640" w:firstLineChars="200"/>
        <w:rPr>
          <w:rFonts w:ascii="仿宋" w:eastAsia="仿宋" w:cs="仿宋_GB2312"/>
          <w:sz w:val="32"/>
          <w:szCs w:val="32"/>
        </w:rPr>
      </w:pPr>
      <w:r>
        <w:rPr>
          <w:rFonts w:hint="eastAsia" w:ascii="仿宋" w:eastAsia="仿宋" w:cs="楷体_GB2312"/>
          <w:b/>
          <w:bCs/>
          <w:sz w:val="32"/>
          <w:szCs w:val="32"/>
        </w:rPr>
        <w:t>（四）营商环境不断优化。</w:t>
      </w:r>
      <w:r>
        <w:rPr>
          <w:rFonts w:hint="eastAsia" w:ascii="仿宋" w:eastAsia="仿宋" w:cs="仿宋_GB2312"/>
          <w:sz w:val="32"/>
          <w:szCs w:val="32"/>
        </w:rPr>
        <w:t>一是切实把服务企业发展摆在首要位置，诚信兑现各项优惠政策。二是持续深化“放管服”改革，推动出台了《道县园区赋权事项清单（试行）》（道政办函〔2021 〕35号），赋权48项审批事项；组建园区全程帮代办中心，代办项目34个，代办事项119件。三是推进全员联企帮扶服务制度。联企人员每周深入企业收集意见建议，建立“一企一策”及时高效解决。四是严格推进落实“双随机一公开”监管和“企业宁静日”制度，涉企检查活动由园区管委会统筹安排。</w:t>
      </w:r>
    </w:p>
    <w:p>
      <w:pPr>
        <w:spacing w:line="560" w:lineRule="exact"/>
        <w:ind w:firstLine="640" w:firstLineChars="200"/>
        <w:rPr>
          <w:rFonts w:ascii="仿宋" w:eastAsia="仿宋" w:cs="仿宋_GB2312"/>
          <w:sz w:val="32"/>
          <w:szCs w:val="32"/>
        </w:rPr>
      </w:pPr>
      <w:r>
        <w:rPr>
          <w:rFonts w:hint="eastAsia" w:ascii="仿宋" w:eastAsia="仿宋" w:cs="楷体_GB2312"/>
          <w:b/>
          <w:bCs/>
          <w:sz w:val="32"/>
          <w:szCs w:val="32"/>
        </w:rPr>
        <w:t>（五）创先争优取得新成效。</w:t>
      </w:r>
      <w:r>
        <w:rPr>
          <w:rFonts w:hint="eastAsia" w:ascii="仿宋" w:eastAsia="仿宋" w:cs="仿宋_GB2312"/>
          <w:sz w:val="32"/>
          <w:szCs w:val="32"/>
        </w:rPr>
        <w:t>在全省“五好”园区评价中排名上升32名，成功承办湖南省电子信息制造业发展工作现场会，道县光电显示及电子元器件产业集群入围湖南省培育先进制造业集群。道县高新区科技创新服务平台、道县高新区省级“双创”基地创新能力分别获省科技厅、省发改委专项资金支持；成功创建湖南省绿色园区；成功申报制造强省专项项目7个，中小企业发展专项项目2个。成功培育2家企业（富明户外、仟亿药业）在湖南股权交易所挂牌上市。湖南美莱珀科技荣获湖南省2021年湖湘高层次人才聚集工程创新团队、湖南省科学技术进步奖二等奖；道县龙威盛、永州凯新鞋业分别获得全国工人先锋号、湖南省工人先锋号；湖南展鸿获得2021年湖南省创新创业大赛初创企业组优秀奖。</w:t>
      </w:r>
    </w:p>
    <w:p>
      <w:pPr>
        <w:ind w:firstLine="640" w:firstLineChars="200"/>
        <w:jc w:val="left"/>
        <w:rPr>
          <w:rFonts w:ascii="仿宋" w:eastAsia="仿宋" w:cs="仿宋"/>
          <w:b/>
          <w:bCs/>
          <w:sz w:val="32"/>
          <w:szCs w:val="32"/>
        </w:rPr>
      </w:pPr>
      <w:r>
        <w:rPr>
          <w:rFonts w:hint="eastAsia" w:ascii="仿宋" w:eastAsia="仿宋" w:cs="仿宋"/>
          <w:b/>
          <w:bCs/>
          <w:sz w:val="32"/>
          <w:szCs w:val="32"/>
        </w:rPr>
        <w:t>七、存在的问题及原因分析</w:t>
      </w:r>
    </w:p>
    <w:p>
      <w:pPr>
        <w:ind w:firstLine="640" w:firstLineChars="200"/>
        <w:jc w:val="left"/>
        <w:rPr>
          <w:rFonts w:ascii="仿宋" w:eastAsia="仿宋" w:cs="仿宋"/>
          <w:sz w:val="32"/>
          <w:szCs w:val="32"/>
        </w:rPr>
      </w:pPr>
      <w:r>
        <w:rPr>
          <w:rFonts w:hint="eastAsia" w:ascii="仿宋" w:eastAsia="仿宋" w:cs="仿宋"/>
          <w:sz w:val="32"/>
          <w:szCs w:val="32"/>
        </w:rPr>
        <w:t>2021年项目支出大于年初预算数，主要原因是原由县财政预算并支付的征地、优惠政策兑现等资金改为由园区管委会支付。</w:t>
      </w:r>
    </w:p>
    <w:p>
      <w:pPr>
        <w:numPr>
          <w:ilvl w:val="0"/>
          <w:numId w:val="8"/>
        </w:numPr>
        <w:ind w:firstLine="640" w:firstLineChars="200"/>
        <w:jc w:val="left"/>
        <w:rPr>
          <w:rFonts w:ascii="仿宋" w:eastAsia="仿宋" w:cs="仿宋"/>
          <w:b/>
          <w:bCs/>
          <w:sz w:val="32"/>
          <w:szCs w:val="32"/>
        </w:rPr>
      </w:pPr>
      <w:r>
        <w:rPr>
          <w:rFonts w:hint="eastAsia" w:ascii="仿宋" w:eastAsia="仿宋" w:cs="仿宋"/>
          <w:b/>
          <w:bCs/>
          <w:sz w:val="32"/>
          <w:szCs w:val="32"/>
        </w:rPr>
        <w:t>下一步改进措施</w:t>
      </w:r>
    </w:p>
    <w:p>
      <w:pPr>
        <w:ind w:firstLine="640" w:firstLineChars="200"/>
        <w:jc w:val="left"/>
        <w:rPr>
          <w:rFonts w:ascii="仿宋" w:eastAsia="仿宋" w:cs="仿宋"/>
          <w:sz w:val="32"/>
          <w:szCs w:val="32"/>
        </w:rPr>
      </w:pPr>
      <w:r>
        <w:rPr>
          <w:rFonts w:ascii="仿宋" w:eastAsia="仿宋" w:cs="仿宋"/>
          <w:sz w:val="32"/>
          <w:szCs w:val="32"/>
        </w:rPr>
        <w:t>（一）加强财务人员业务知识学习及培训。定期参与财政局组织</w:t>
      </w:r>
      <w:r>
        <w:rPr>
          <w:rFonts w:hint="eastAsia" w:ascii="仿宋" w:eastAsia="仿宋" w:cs="仿宋"/>
          <w:sz w:val="32"/>
          <w:szCs w:val="32"/>
        </w:rPr>
        <w:t>的</w:t>
      </w:r>
      <w:r>
        <w:rPr>
          <w:rFonts w:ascii="仿宋" w:eastAsia="仿宋" w:cs="仿宋"/>
          <w:sz w:val="32"/>
          <w:szCs w:val="32"/>
        </w:rPr>
        <w:t>培训会，</w:t>
      </w:r>
      <w:r>
        <w:rPr>
          <w:rFonts w:hint="eastAsia" w:ascii="仿宋" w:eastAsia="仿宋" w:cs="仿宋"/>
          <w:sz w:val="32"/>
          <w:szCs w:val="32"/>
        </w:rPr>
        <w:t>与财政业务股室加强交流，</w:t>
      </w:r>
      <w:r>
        <w:rPr>
          <w:rFonts w:ascii="仿宋" w:eastAsia="仿宋" w:cs="仿宋"/>
          <w:sz w:val="32"/>
          <w:szCs w:val="32"/>
        </w:rPr>
        <w:t>提高业务水平，确保财务日常工作的正常运行。</w:t>
      </w:r>
    </w:p>
    <w:p>
      <w:pPr>
        <w:ind w:firstLine="640" w:firstLineChars="200"/>
        <w:jc w:val="left"/>
        <w:rPr>
          <w:rFonts w:ascii="仿宋" w:eastAsia="仿宋" w:cs="仿宋"/>
          <w:sz w:val="32"/>
          <w:szCs w:val="32"/>
        </w:rPr>
      </w:pPr>
      <w:r>
        <w:rPr>
          <w:rFonts w:ascii="仿宋" w:eastAsia="仿宋" w:cs="仿宋"/>
          <w:sz w:val="32"/>
          <w:szCs w:val="32"/>
        </w:rPr>
        <w:t>（二）</w:t>
      </w:r>
      <w:r>
        <w:rPr>
          <w:rFonts w:hint="eastAsia" w:ascii="仿宋" w:eastAsia="仿宋" w:cs="仿宋"/>
          <w:sz w:val="32"/>
          <w:szCs w:val="32"/>
        </w:rPr>
        <w:t>建立目标明确的绩效管理计划。</w:t>
      </w:r>
    </w:p>
    <w:p>
      <w:pPr>
        <w:ind w:firstLine="640" w:firstLineChars="200"/>
        <w:jc w:val="left"/>
        <w:rPr>
          <w:rFonts w:ascii="仿宋" w:eastAsia="仿宋"/>
        </w:rPr>
      </w:pPr>
      <w:r>
        <w:rPr>
          <w:rFonts w:hint="eastAsia" w:ascii="仿宋" w:eastAsia="仿宋" w:cs="仿宋"/>
          <w:sz w:val="32"/>
          <w:szCs w:val="32"/>
        </w:rPr>
        <w:t>（三）实行全方位绩效评估，评估结果公开。</w:t>
      </w:r>
    </w:p>
    <w:p>
      <w:pPr>
        <w:ind w:firstLine="640" w:firstLineChars="200"/>
        <w:jc w:val="left"/>
        <w:rPr>
          <w:rFonts w:ascii="仿宋" w:eastAsia="仿宋" w:cs="仿宋"/>
          <w:b/>
          <w:bCs/>
          <w:sz w:val="32"/>
          <w:szCs w:val="32"/>
        </w:rPr>
      </w:pPr>
      <w:r>
        <w:rPr>
          <w:rFonts w:hint="eastAsia" w:ascii="仿宋" w:eastAsia="仿宋" w:cs="仿宋"/>
          <w:b/>
          <w:bCs/>
          <w:sz w:val="32"/>
          <w:szCs w:val="32"/>
        </w:rPr>
        <w:t>九、绩效自评结果拟应用和公开情况</w:t>
      </w:r>
    </w:p>
    <w:p>
      <w:pPr>
        <w:ind w:firstLine="640" w:firstLineChars="200"/>
        <w:jc w:val="left"/>
        <w:rPr>
          <w:rFonts w:ascii="仿宋" w:eastAsia="仿宋" w:cs="仿宋"/>
          <w:sz w:val="32"/>
          <w:szCs w:val="32"/>
        </w:rPr>
      </w:pPr>
      <w:r>
        <w:rPr>
          <w:rFonts w:hint="eastAsia" w:ascii="仿宋" w:eastAsia="仿宋" w:cs="仿宋"/>
          <w:sz w:val="32"/>
          <w:szCs w:val="32"/>
        </w:rPr>
        <w:t>本年度绩效自评结果为91分。按财政局有关规定在政府网站公开。</w:t>
      </w:r>
    </w:p>
    <w:p>
      <w:pPr>
        <w:ind w:firstLine="640" w:firstLineChars="200"/>
        <w:jc w:val="center"/>
        <w:rPr>
          <w:rFonts w:ascii="仿宋" w:eastAsia="仿宋" w:cs="黑体"/>
          <w:color w:val="000000"/>
          <w:kern w:val="0"/>
          <w:sz w:val="32"/>
          <w:szCs w:val="32"/>
        </w:rPr>
      </w:pP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华文中宋">
    <w:altName w:val="微软雅黑"/>
    <w:panose1 w:val="00000000000000000000"/>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F7C9A"/>
    <w:multiLevelType w:val="singleLevel"/>
    <w:tmpl w:val="156F7C9A"/>
    <w:lvl w:ilvl="0" w:tentative="0">
      <w:start w:val="2"/>
      <w:numFmt w:val="chineseCounting"/>
      <w:suff w:val="nothing"/>
      <w:lvlText w:val="（%1）"/>
      <w:lvlJc w:val="left"/>
      <w:pPr>
        <w:tabs>
          <w:tab w:val="left" w:pos="0"/>
        </w:tabs>
        <w:ind w:left="0" w:firstLine="0"/>
      </w:pPr>
    </w:lvl>
  </w:abstractNum>
  <w:abstractNum w:abstractNumId="1">
    <w:nsid w:val="1B026286"/>
    <w:multiLevelType w:val="singleLevel"/>
    <w:tmpl w:val="1B026286"/>
    <w:lvl w:ilvl="0" w:tentative="0">
      <w:start w:val="6"/>
      <w:numFmt w:val="chineseCounting"/>
      <w:suff w:val="nothing"/>
      <w:lvlText w:val="%1、"/>
      <w:lvlJc w:val="left"/>
      <w:pPr>
        <w:tabs>
          <w:tab w:val="left" w:pos="0"/>
        </w:tabs>
        <w:ind w:left="0" w:firstLine="0"/>
      </w:pPr>
    </w:lvl>
  </w:abstractNum>
  <w:abstractNum w:abstractNumId="2">
    <w:nsid w:val="1EEB6690"/>
    <w:multiLevelType w:val="singleLevel"/>
    <w:tmpl w:val="1EEB6690"/>
    <w:lvl w:ilvl="0" w:tentative="0">
      <w:start w:val="4"/>
      <w:numFmt w:val="chineseCounting"/>
      <w:suff w:val="nothing"/>
      <w:lvlText w:val="%1、"/>
      <w:lvlJc w:val="left"/>
      <w:pPr>
        <w:tabs>
          <w:tab w:val="left" w:pos="0"/>
        </w:tabs>
        <w:ind w:left="0" w:firstLine="0"/>
      </w:pPr>
    </w:lvl>
  </w:abstractNum>
  <w:abstractNum w:abstractNumId="3">
    <w:nsid w:val="35831F3B"/>
    <w:multiLevelType w:val="singleLevel"/>
    <w:tmpl w:val="35831F3B"/>
    <w:lvl w:ilvl="0" w:tentative="0">
      <w:start w:val="5"/>
      <w:numFmt w:val="chineseCounting"/>
      <w:suff w:val="nothing"/>
      <w:lvlText w:val="%1、"/>
      <w:lvlJc w:val="left"/>
      <w:pPr>
        <w:tabs>
          <w:tab w:val="left" w:pos="0"/>
        </w:tabs>
        <w:ind w:left="0" w:firstLine="0"/>
      </w:pPr>
    </w:lvl>
  </w:abstractNum>
  <w:abstractNum w:abstractNumId="4">
    <w:nsid w:val="3AB87522"/>
    <w:multiLevelType w:val="singleLevel"/>
    <w:tmpl w:val="3AB87522"/>
    <w:lvl w:ilvl="0" w:tentative="0">
      <w:start w:val="1"/>
      <w:numFmt w:val="chineseCounting"/>
      <w:suff w:val="nothing"/>
      <w:lvlText w:val="%1、"/>
      <w:lvlJc w:val="left"/>
      <w:pPr>
        <w:tabs>
          <w:tab w:val="left" w:pos="0"/>
        </w:tabs>
        <w:ind w:left="0" w:firstLine="0"/>
      </w:pPr>
    </w:lvl>
  </w:abstractNum>
  <w:abstractNum w:abstractNumId="5">
    <w:nsid w:val="60753AC6"/>
    <w:multiLevelType w:val="multilevel"/>
    <w:tmpl w:val="60753AC6"/>
    <w:lvl w:ilvl="0" w:tentative="0">
      <w:start w:val="1"/>
      <w:numFmt w:val="none"/>
      <w:lvlText w:val="一、"/>
      <w:lvlJc w:val="left"/>
      <w:pPr>
        <w:tabs>
          <w:tab w:val="left" w:pos="0"/>
        </w:tabs>
        <w:ind w:left="720" w:hanging="72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6">
    <w:nsid w:val="6460799C"/>
    <w:multiLevelType w:val="singleLevel"/>
    <w:tmpl w:val="6460799C"/>
    <w:lvl w:ilvl="0" w:tentative="0">
      <w:start w:val="8"/>
      <w:numFmt w:val="chineseCounting"/>
      <w:suff w:val="nothing"/>
      <w:lvlText w:val="%1、"/>
      <w:lvlJc w:val="left"/>
      <w:pPr>
        <w:tabs>
          <w:tab w:val="left" w:pos="0"/>
        </w:tabs>
        <w:ind w:left="0" w:firstLine="0"/>
      </w:pPr>
    </w:lvl>
  </w:abstractNum>
  <w:abstractNum w:abstractNumId="7">
    <w:nsid w:val="689E37BB"/>
    <w:multiLevelType w:val="singleLevel"/>
    <w:tmpl w:val="689E37BB"/>
    <w:lvl w:ilvl="0" w:tentative="0">
      <w:start w:val="3"/>
      <w:numFmt w:val="chineseCounting"/>
      <w:suff w:val="nothing"/>
      <w:lvlText w:val="%1、"/>
      <w:lvlJc w:val="left"/>
      <w:pPr>
        <w:tabs>
          <w:tab w:val="left" w:pos="0"/>
        </w:tabs>
        <w:ind w:left="0" w:firstLine="0"/>
      </w:pPr>
    </w:lvl>
  </w:abstractNum>
  <w:num w:numId="1">
    <w:abstractNumId w:val="5"/>
  </w:num>
  <w:num w:numId="2">
    <w:abstractNumId w:val="4"/>
  </w:num>
  <w:num w:numId="3">
    <w:abstractNumId w:val="0"/>
  </w:num>
  <w:num w:numId="4">
    <w:abstractNumId w:val="7"/>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noPunctuationKerning w:val="1"/>
  <w:characterSpacingControl w:val="compressPunctuation"/>
  <w:compat>
    <w:spaceForUL/>
    <w:balanceSingleByteDoubleByteWidth/>
    <w:ulTrailSpace/>
    <w:doNotExpandShiftReturn/>
    <w:adjustLineHeightInTable/>
    <w:growAutofit/>
    <w:useFELayout/>
    <w:doNotUseIndentAsNumberingTabStop/>
    <w:compatSetting w:name="compatibilityMode" w:uri="http://schemas.microsoft.com/office/word" w:val="12"/>
  </w:compat>
  <w:docVars>
    <w:docVar w:name="commondata" w:val="eyJoZGlkIjoiNWE3YTE2NWIwYjFhMDQ0MmViZDRlYjYwZmFmMjQ1ZmYifQ=="/>
  </w:docVars>
  <w:rsids>
    <w:rsidRoot w:val="00775655"/>
    <w:rsid w:val="00101BD1"/>
    <w:rsid w:val="001E5ECA"/>
    <w:rsid w:val="006F4010"/>
    <w:rsid w:val="00775655"/>
    <w:rsid w:val="008B3F1D"/>
    <w:rsid w:val="00EC0E54"/>
    <w:rsid w:val="074937CA"/>
    <w:rsid w:val="14A11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1">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41</Pages>
  <Words>3135</Words>
  <Characters>17870</Characters>
  <Lines>148</Lines>
  <Paragraphs>41</Paragraphs>
  <TotalTime>0</TotalTime>
  <ScaleCrop>false</ScaleCrop>
  <LinksUpToDate>false</LinksUpToDate>
  <CharactersWithSpaces>20964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2023-09-28T05:02:03Z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FAAA2BD8B41444A0BD3C9754D85328BF</vt:lpwstr>
  </property>
</Properties>
</file>