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年度政法委整体支出绩效评价报告</w:t>
      </w:r>
      <w:bookmarkStart w:id="0" w:name="_GoBack"/>
      <w:bookmarkEnd w:id="0"/>
    </w:p>
    <w:p>
      <w:pPr>
        <w:spacing w:line="580" w:lineRule="exact"/>
        <w:ind w:firstLine="600" w:firstLineChars="200"/>
        <w:textAlignment w:val="baseline"/>
        <w:rPr>
          <w:rFonts w:ascii="华文仿宋" w:hAnsi="华文仿宋" w:eastAsia="华文仿宋" w:cs="华文仿宋"/>
          <w:sz w:val="30"/>
          <w:szCs w:val="30"/>
        </w:rPr>
      </w:pPr>
    </w:p>
    <w:p>
      <w:pPr>
        <w:spacing w:line="58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一、部门概况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Style w:val="7"/>
          <w:rFonts w:ascii="华文仿宋" w:hAnsi="华文仿宋" w:eastAsia="华文仿宋" w:cs="华文仿宋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部门基本情况：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财政全额拨款行政单位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/>
          <w:b/>
          <w:bCs/>
          <w:color w:val="000000" w:themeColor="text1"/>
          <w:sz w:val="32"/>
          <w:szCs w:val="32"/>
        </w:rPr>
        <w:t>核定行政编制10人，机关后勤服务编制1人。2021年本单位年末实有人数21人，比上年减少3人，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人员变化的主要原因是机构改革人员变动所致。直属管理机构道县政法信息中心，为正股级事业单位，核定编制4人；道县社会治安综合治理中心，为副科级事业单位，核定编制10人。公车改革后，我委无公务车辆。</w:t>
      </w:r>
    </w:p>
    <w:p>
      <w:pPr>
        <w:spacing w:line="580" w:lineRule="exact"/>
        <w:ind w:firstLine="640" w:firstLineChars="200"/>
        <w:textAlignment w:val="baseline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（二）主要职能如下：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贯彻习近平新时代中国特色社会主义思想，坚持党对政法工作的绝对领导，坚决执行党的路线方针政策和党中央重大决策部署，推动完善和落实政治轮训和政治督察制度。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贯彻党中央决定以及县委决策，对全县政法工作研究提出全局性部署，推进平安道州、法治道州建设。研究协调政法单位之间、政法单位与有关部门、地方之间有关重大事项，统一政法单位的思想和行动。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加强对政法领域重大实践和理论问题调查研究，提出重大决策部署和改革措施的意见和建议，协助党委决策和统筹推进政法改革等各项工作。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了解掌握和分析研判社会稳定形势、政法工作情况动态，创新完善多部门参与的平安建设工作协调机制，协调推动预防、化解影响稳定的社会矛盾和风险，协调应对和妥善处置重大事件，协调指导政法单位和有关部门做好反邪教、反暴恐工作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加强对政法工作的督查，统筹协调社会治安综合治理、维护社会稳定、反邪教、反暴恐等有关国家法律法规和政策的实施工作。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支持和监督政法单位依法行使职权，检查政法单位执行党的路线方针政策、党中央重大决策部署和国家法律法规的情况，指导和协调政法单位密切配合，完善与纪检监察机关衔接和协作配合机制，推进严格执法、公正司法。代管县法学会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 指导和推动政法单位党的建设和政法队伍建设，协助县委和县委组织部加强政法单位领导班子和干部队伍建设，协助县委及县委组织部考察政法单位领导干部，办理管理权限内的政法干部任免。协助党委和纪检监察机关做好监督检查、审查调查工作，派员列席政法单位党组（党委）民主生活会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 落实中央和省委、市委、县委国家安全领导机构、全面依法治国领导机构的决策部署，支持配合其办事机构工作；指导政法单位加强国家政治安全战略研究、法治中国建设重大问题研究，提出建议和工作意见，指导协调政法单位维护政治安全工作和执法司法相关工作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 掌握分析政法舆情动态，指导和协调政法单位和有关部门做好依法办理、宣传报道和舆情引导相关工作。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 完成县委和上级党委政法委交办的其他任务。</w:t>
      </w:r>
    </w:p>
    <w:p>
      <w:pPr>
        <w:spacing w:line="58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二、部门整体支出使用情况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年政法委共支出1064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4555万元。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（一）基本支出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</w:rPr>
        <w:t>417.2625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，其中：①工资福利支出290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5877万元(基本工资90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1271万元，津补贴87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9646万元，奖金35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4564万元，伙食补助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万元，机关事业保险28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2096万元，医疗保险14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1万元，住房公积金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27.13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②公用支出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98.89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万元（办公费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万元，印刷费3万元，水费1万元，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物业管理费1.5万元，维护费2万元，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万元，邮电费3万元，差旅费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万元，会议费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万元，培训费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万元，公务接待12.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万元，劳务费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万元，工会经费1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万元，福利费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万元，其他交通费用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万元，其他商品服务支出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17.59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 ③对个人和家庭的补助抚恤金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27.7848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（二）项目支出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</w:rPr>
        <w:t>647.1930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</w:rPr>
        <w:t>网格员工资及保险、平安建设奖励、应急处突及精神病人管控等554.66万元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</w:rPr>
        <w:t xml:space="preserve"> 政法队伍教育整治62万元,国家司法救助支出30.533万元。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（三）2020年三公经费使用情况：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公务接待202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年末公务接待支出12.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8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三、部门整体支出管理情况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1.完善制度，规范管理。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善了政法委财务管理制度、会计核算制度、报账审批制度。严格按照国家财经法规、财务管理制度规定以及有关专项资金管理办法的规定进行资金管理，资金拨付有完整的审批程序和手续，对行政运行、内部控制、会议、差旅、培训等按新政策进行修订和细化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2.严格执行预算，控制各项支出。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严格控制公务接待费。坚持“先审批、后接待”的程序，根据派出单位发出的公务活动公函开展公务接待，如有特殊情况，对方没有公函，接待单位可以用通话记录代替。公务接待严格按接待标准执行，严禁超标准和使用烟酒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（2）加强培训费及差旅费的管理。严格控制培训参会次数、人数，实行出差审批制度，控制出差次数、人数。严禁在培训费中列支公务接待费、会议费、套取培训费用设立“小金库”。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（3）严格执行政府采购制度和程序。单位购置物品按采购规定实施，耗材、办公用品实行定点采购。合理确定采购需求，进行价格测算，确保采购目录、限额标准真正落到实处，不得超出办公需要采购服务。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（4）加强用电管理。履行节约用电义务，提倡节约用电，下班后办公室进行统一关闭电源。</w:t>
      </w:r>
    </w:p>
    <w:p>
      <w:pPr>
        <w:spacing w:line="580" w:lineRule="exact"/>
        <w:ind w:firstLine="640" w:firstLineChars="200"/>
        <w:textAlignment w:val="baseline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四、部门整体支出绩效情况</w:t>
      </w:r>
    </w:p>
    <w:p>
      <w:pPr>
        <w:shd w:val="clear" w:color="auto" w:fill="FFFFFF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是全县政法工作极不平凡、极有成效的一年，面对常态化疫情冲击和艰巨繁重的政法工作任务，全县政法系统和广大政法干警，在县委、县政府的坚强领导下，围绕中心、忠诚履职，保平安、护发展、强治理、锻铁军，坚决打赢了一场又一场战役，有效化解了一个又一个风险，全力攻克了一道又一道难题，为“十四五”开好局起好步、全县经济社会高质量发展提供优质服务和坚强保障。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我县公众安全感民意调查排全省第4位、全市第2位，创历史最好成绩。陈树湘派出所获评全国平安建设先进集体。我县“雪亮工程”建设入选全国社会治理创新案例。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政治风险精准防。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调整充实国家安全人民防线领导小组，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健全国家安全协调机制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捣毁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全能神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”邪教</w:t>
      </w:r>
      <w:r>
        <w:rPr>
          <w:rFonts w:hint="eastAsia" w:ascii="仿宋_GB2312" w:hAnsi="仿宋_GB2312" w:eastAsia="仿宋_GB2312" w:cs="仿宋_GB2312"/>
          <w:sz w:val="32"/>
          <w:szCs w:val="32"/>
        </w:rPr>
        <w:t>窝点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处，查获教徒8人。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安保风险精准控。圆满完成重大安保活动35次，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100周年、十九届六中全会等重大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安保维稳万无一失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矛盾风险精准管。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化解涉稳风险隐患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核查涉稳情报指令189条。调处各类矛盾纠纷2126起，其中化解重大纠纷99起。处置群体性苗头事件49起。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对“两河三岛四岸”生态旅游综合开发等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41个重点项目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开展稳定风险评估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查处各类交通违法行为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10万</w:t>
      </w:r>
      <w:r>
        <w:rPr>
          <w:rFonts w:hint="eastAsia" w:ascii="仿宋_GB2312" w:hAnsi="仿宋_GB2312" w:eastAsia="仿宋_GB2312" w:cs="仿宋_GB2312"/>
          <w:sz w:val="32"/>
          <w:szCs w:val="32"/>
        </w:rPr>
        <w:t>余起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未发生死亡3人较大及以上事故，道路交通安全风险从“一类风险县”下调为“二类风险县”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铁路护路联防考核连续两年排全市第一。信访风险精准治。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国家信访局交办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重复访积案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139件，办结121件，排全市第三。全县赴省访同比下降26.2%，进京访同比下降43.5%，赴省进京非访继续保持零登记零挂号，无重点人社会面清理。严格依法治访，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依法查处违法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访案件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起，刑事拘留12人，判刑1人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行政拘留27人。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获评2021年全国“两会”和建党100周年期间全市信访维稳工作先进县。升级雪亮工程。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创新开展雪亮工程“户户通”建设，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共安装乡村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监控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14000</w:t>
      </w:r>
      <w:r>
        <w:rPr>
          <w:rFonts w:hint="eastAsia" w:ascii="仿宋_GB2312" w:hAnsi="仿宋_GB2312" w:eastAsia="仿宋_GB2312" w:cs="仿宋_GB2312"/>
          <w:sz w:val="32"/>
          <w:szCs w:val="32"/>
        </w:rPr>
        <w:t>余户，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建成村级监控平台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270个、乡镇监控平台22个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开展“五老”调解。在县级成立政法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“五老”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调解工作室，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乡镇（街道）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成立政法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”流动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调解工作室，村成立“好邻居”（新乡贤）+政法“五老”矛盾纠纷调解工作室，社区成立“好邻居”（志愿者）+政法“五老”矛盾纠纷调解工作室，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打造矛盾纠纷一站式化解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延伸片区警务。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快反</w:t>
      </w:r>
      <w:r>
        <w:rPr>
          <w:rFonts w:hint="eastAsia" w:ascii="仿宋_GB2312" w:hAnsi="仿宋_GB2312" w:eastAsia="仿宋_GB2312" w:cs="仿宋_GB2312"/>
          <w:sz w:val="32"/>
          <w:szCs w:val="32"/>
        </w:rPr>
        <w:t>135”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机制向乡镇农村延伸，</w:t>
      </w:r>
      <w:r>
        <w:rPr>
          <w:rFonts w:hint="eastAsia" w:ascii="仿宋_GB2312" w:hAnsi="仿宋_GB2312" w:eastAsia="仿宋_GB2312" w:cs="仿宋_GB2312"/>
          <w:sz w:val="32"/>
          <w:szCs w:val="32"/>
        </w:rPr>
        <w:t>建成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实体化运行的片区警务站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、片区警务分站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13个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做实诉源治理。在矛盾多发易发的乡镇（街道）设立19个诉源治理工作站和工作点，由员额法官与乡镇（街道）、司法所提前介入</w:t>
      </w:r>
      <w:r>
        <w:rPr>
          <w:rFonts w:hint="eastAsia" w:ascii="仿宋_GB2312" w:hAnsi="仿宋_GB2312" w:eastAsia="仿宋_GB2312" w:cs="仿宋_GB2312"/>
          <w:sz w:val="32"/>
          <w:szCs w:val="32"/>
        </w:rPr>
        <w:t>矛盾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纠纷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调处，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有效分流诉讼案件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调解案件781件。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</w:p>
    <w:p>
      <w:pPr>
        <w:spacing w:line="58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五、评价结果</w:t>
      </w:r>
    </w:p>
    <w:p>
      <w:pPr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结合《部门整体支出绩效评价指标表》（见附件）的评价结果：9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分,财政支出绩效为“优”。</w:t>
      </w:r>
    </w:p>
    <w:p>
      <w:pPr>
        <w:spacing w:line="58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六、存在的主要问题</w:t>
      </w:r>
    </w:p>
    <w:p>
      <w:pPr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预算编制具体项目的细化程度和精准度不够高，合理性有待进一步加强。资金使用效益有待进一步提高，绩效目标设立不够明确、细化和量化。</w:t>
      </w:r>
    </w:p>
    <w:p>
      <w:pPr>
        <w:spacing w:line="580" w:lineRule="exact"/>
        <w:ind w:firstLine="640" w:firstLineChars="200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七、改进措施和有关建议</w:t>
      </w:r>
    </w:p>
    <w:p>
      <w:pPr>
        <w:pStyle w:val="4"/>
        <w:widowControl/>
        <w:spacing w:beforeAutospacing="0" w:after="105" w:afterAutospacing="0"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（一）严格制度执行。要严格执行预算管理、支出开支、审批、报销等各项制度和程序，强化开支的计划性，最大限度的提高各项预算资金的使用效率。</w:t>
      </w:r>
    </w:p>
    <w:p>
      <w:pPr>
        <w:pStyle w:val="4"/>
        <w:widowControl/>
        <w:spacing w:beforeAutospacing="0" w:after="105" w:afterAutospacing="0"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（二）财务人员应加强学习财务知识，多进行调查研究，钻研学习，因时制宜，更好地结合单位实际情况编制部门预算，提高预算编制的细化程度、精准度和合理性，从而提高资金的使用效率，减少年中追加。</w:t>
      </w:r>
    </w:p>
    <w:p>
      <w:pPr>
        <w:pStyle w:val="4"/>
        <w:widowControl/>
        <w:spacing w:beforeAutospacing="0" w:after="105" w:afterAutospacing="0"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</w:rPr>
        <w:t>（三）单位要加强绩效目标设立、细化和量化工作的力度，进一步提高资金使用效率。</w:t>
      </w:r>
    </w:p>
    <w:p>
      <w:pPr>
        <w:spacing w:line="560" w:lineRule="exact"/>
        <w:ind w:firstLine="640" w:firstLineChars="200"/>
        <w:textAlignment w:val="baseline"/>
        <w:rPr>
          <w:rFonts w:ascii="华文仿宋" w:hAnsi="华文仿宋" w:eastAsia="华文仿宋" w:cs="华文仿宋"/>
          <w:sz w:val="32"/>
          <w:szCs w:val="32"/>
        </w:rPr>
      </w:pPr>
    </w:p>
    <w:p>
      <w:pPr>
        <w:ind w:firstLine="640" w:firstLineChars="200"/>
        <w:jc w:val="center"/>
        <w:textAlignment w:val="baseline"/>
        <w:rPr>
          <w:rFonts w:cs="黑体"/>
          <w:color w:val="000000"/>
          <w:sz w:val="32"/>
          <w:szCs w:val="32"/>
        </w:rPr>
      </w:pPr>
    </w:p>
    <w:p>
      <w:pPr>
        <w:spacing w:line="220" w:lineRule="atLeast"/>
      </w:pPr>
    </w:p>
    <w:sectPr>
      <w:pgSz w:w="11906" w:h="16838"/>
      <w:pgMar w:top="1531" w:right="1757" w:bottom="1531" w:left="175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60F73"/>
    <w:rsid w:val="00201185"/>
    <w:rsid w:val="00323B43"/>
    <w:rsid w:val="003D37D8"/>
    <w:rsid w:val="00426133"/>
    <w:rsid w:val="004358AB"/>
    <w:rsid w:val="00457BDE"/>
    <w:rsid w:val="0051439A"/>
    <w:rsid w:val="007A167C"/>
    <w:rsid w:val="00827119"/>
    <w:rsid w:val="008B7726"/>
    <w:rsid w:val="009E7321"/>
    <w:rsid w:val="00D31D50"/>
    <w:rsid w:val="00D77842"/>
    <w:rsid w:val="00E430DA"/>
    <w:rsid w:val="027F7B76"/>
    <w:rsid w:val="08161AF5"/>
    <w:rsid w:val="20DF05C6"/>
    <w:rsid w:val="21D90547"/>
    <w:rsid w:val="7CF5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ascii="Times New Roman" w:hAnsi="Times New Roman" w:eastAsia="宋体" w:cs="Times New Roman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481</Words>
  <Characters>2747</Characters>
  <Lines>22</Lines>
  <Paragraphs>6</Paragraphs>
  <TotalTime>0</TotalTime>
  <ScaleCrop>false</ScaleCrop>
  <LinksUpToDate>false</LinksUpToDate>
  <CharactersWithSpaces>3222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2022-06-01T09:04:48Z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