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道县文学艺术界联合会</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both"/>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道县文学艺术界联合会概况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b/>
          <w:sz w:val="28"/>
          <w:szCs w:val="28"/>
        </w:rPr>
        <w:t>道县文学艺术界联合会</w:t>
      </w:r>
      <w:r>
        <w:rPr>
          <w:rFonts w:hint="eastAsia" w:hAnsi="仿宋_GB2312"/>
          <w:b/>
          <w:sz w:val="28"/>
          <w:szCs w:val="28"/>
        </w:rPr>
        <w:t>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w:t>
      </w:r>
      <w:r>
        <w:rPr>
          <w:rFonts w:hint="eastAsia"/>
          <w:b/>
          <w:sz w:val="28"/>
          <w:szCs w:val="28"/>
        </w:rPr>
        <w:t>道县文学艺术界联合会</w:t>
      </w:r>
      <w:r>
        <w:rPr>
          <w:rFonts w:hint="eastAsia" w:hAnsi="仿宋_GB2312"/>
          <w:b/>
          <w:sz w:val="28"/>
          <w:szCs w:val="28"/>
        </w:rPr>
        <w:t>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道县文学艺术界联合会单位概况</w:t>
      </w:r>
    </w:p>
    <w:p>
      <w:pPr>
        <w:jc w:val="center"/>
        <w:rPr>
          <w:sz w:val="84"/>
          <w:szCs w:val="84"/>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仿宋" w:hAnsi="仿宋" w:eastAsia="仿宋" w:cs="仿宋"/>
          <w:color w:val="auto"/>
          <w:sz w:val="32"/>
          <w:szCs w:val="32"/>
        </w:rPr>
      </w:pPr>
      <w:r>
        <w:rPr>
          <w:rFonts w:hint="eastAsia" w:cs="宋体" w:asciiTheme="minorEastAsia" w:hAnsiTheme="minorEastAsia" w:eastAsiaTheme="minorEastAsia"/>
          <w:bCs/>
          <w:kern w:val="0"/>
          <w:sz w:val="32"/>
          <w:szCs w:val="32"/>
          <w:lang w:val="en-US" w:eastAsia="zh-CN" w:bidi="ar-SA"/>
        </w:rPr>
        <w:t>加强党对文艺工作的领导，加强全县文艺队伍思想政治建设。制定出台道县文艺工作者采风创作制度，组织文艺工作者开展主题文艺实践活动。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2"/>
        <w:snapToGrid w:val="0"/>
        <w:spacing w:line="600" w:lineRule="atLeast"/>
        <w:ind w:firstLine="640" w:firstLineChars="200"/>
        <w:jc w:val="left"/>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仿宋" w:hAnsi="仿宋" w:eastAsia="仿宋" w:cs="仿宋"/>
          <w:color w:val="auto"/>
          <w:sz w:val="32"/>
          <w:szCs w:val="32"/>
        </w:rPr>
        <w:t>文联</w:t>
      </w:r>
      <w:r>
        <w:rPr>
          <w:rFonts w:hint="eastAsia" w:asciiTheme="minorEastAsia" w:hAnsiTheme="minorEastAsia"/>
          <w:bCs/>
          <w:kern w:val="0"/>
          <w:sz w:val="32"/>
          <w:szCs w:val="32"/>
        </w:rPr>
        <w:t>内设机构包括：办公室、组织联络室、权益保护与行业建设室。</w:t>
      </w:r>
      <w:r>
        <w:rPr>
          <w:rStyle w:val="14"/>
          <w:rFonts w:hint="eastAsia" w:asciiTheme="minorEastAsia" w:hAnsiTheme="minorEastAsia"/>
          <w:sz w:val="28"/>
          <w:szCs w:val="28"/>
          <w:lang w:val="en-US" w:eastAsia="zh-CN"/>
        </w:rPr>
        <w:t>现有工作人员5</w:t>
      </w:r>
      <w:r>
        <w:rPr>
          <w:rStyle w:val="14"/>
          <w:rFonts w:asciiTheme="minorEastAsia" w:hAnsiTheme="minorEastAsia" w:eastAsiaTheme="minorEastAsia"/>
          <w:sz w:val="28"/>
          <w:szCs w:val="28"/>
        </w:rPr>
        <w:t>人</w:t>
      </w:r>
      <w:r>
        <w:rPr>
          <w:rStyle w:val="14"/>
          <w:rFonts w:hint="eastAsia" w:asciiTheme="minorEastAsia" w:hAnsiTheme="minorEastAsia"/>
          <w:sz w:val="28"/>
          <w:szCs w:val="28"/>
          <w:lang w:eastAsia="zh-CN"/>
        </w:rPr>
        <w:t>。</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（二）决算单位构成。文联只有本级，没有其他二级预算单位，因此，纳入202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年部门预算编制范围的只有单位本级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18.77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53.70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53.70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1025"/>
        <w:gridCol w:w="36"/>
        <w:gridCol w:w="2021"/>
        <w:gridCol w:w="1663"/>
        <w:gridCol w:w="1663"/>
        <w:gridCol w:w="1663"/>
        <w:gridCol w:w="1663"/>
        <w:gridCol w:w="1663"/>
        <w:gridCol w:w="1664"/>
        <w:gridCol w:w="2367"/>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6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68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hint="eastAsia" w:ascii="宋体" w:hAnsi="宋体" w:eastAsia="宋体" w:cs="宋体"/>
                <w:color w:val="000000"/>
                <w:kern w:val="0"/>
                <w:sz w:val="20"/>
                <w:szCs w:val="20"/>
              </w:rPr>
            </w:pPr>
          </w:p>
          <w:p>
            <w:pPr>
              <w:jc w:val="both"/>
              <w:rPr>
                <w:rFonts w:ascii="宋体" w:hAnsi="宋体" w:eastAsia="宋体" w:cs="宋体"/>
                <w:sz w:val="24"/>
                <w:szCs w:val="24"/>
              </w:rPr>
            </w:pPr>
            <w:r>
              <w:rPr>
                <w:rFonts w:hint="eastAsia" w:ascii="宋体" w:hAnsi="宋体" w:eastAsia="宋体" w:cs="宋体"/>
                <w:color w:val="000000"/>
                <w:kern w:val="0"/>
                <w:sz w:val="20"/>
                <w:szCs w:val="20"/>
              </w:rPr>
              <w:t>道县文学艺术界联合会</w:t>
            </w:r>
            <w:r>
              <w:rPr>
                <w:rFonts w:hint="eastAsia"/>
              </w:rPr>
              <w:t>　</w:t>
            </w:r>
          </w:p>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08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6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6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6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02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6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2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8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08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53.70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53.70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2010350</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群众团体事务</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2012901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20133</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宣传事务</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2013399</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15.79</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31.83</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31.83</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文化和旅游</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31.83</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31.83</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27.18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27.18</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4.65</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4.65</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205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w:t>
            </w: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53.70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46.70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2010350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群众团体事务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宣传事务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18.77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18.77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5"/>
        <w:gridCol w:w="3305"/>
        <w:gridCol w:w="2823"/>
        <w:gridCol w:w="3276"/>
        <w:gridCol w:w="2814"/>
      </w:tblGrid>
      <w:tr>
        <w:tblPrEx>
          <w:tblCellMar>
            <w:top w:w="0" w:type="dxa"/>
            <w:left w:w="108" w:type="dxa"/>
            <w:bottom w:w="0" w:type="dxa"/>
            <w:right w:w="108" w:type="dxa"/>
          </w:tblCellMar>
        </w:tblPrEx>
        <w:trPr>
          <w:trHeight w:val="405" w:hRule="atLeast"/>
          <w:jc w:val="center"/>
        </w:trPr>
        <w:tc>
          <w:tcPr>
            <w:tcW w:w="530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1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53.70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46.70</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18.77</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11.77</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2010350</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宣传事务</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8.79</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2013399</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8.79</w:t>
            </w:r>
          </w:p>
        </w:tc>
        <w:tc>
          <w:tcPr>
            <w:tcW w:w="281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27.18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27.18</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557" w:type="dxa"/>
        <w:tblInd w:w="0" w:type="dxa"/>
        <w:tblLayout w:type="fixed"/>
        <w:tblCellMar>
          <w:top w:w="0" w:type="dxa"/>
          <w:left w:w="108" w:type="dxa"/>
          <w:bottom w:w="0" w:type="dxa"/>
          <w:right w:w="108" w:type="dxa"/>
        </w:tblCellMar>
      </w:tblPr>
      <w:tblGrid>
        <w:gridCol w:w="1327"/>
        <w:gridCol w:w="3335"/>
        <w:gridCol w:w="895"/>
        <w:gridCol w:w="1082"/>
        <w:gridCol w:w="2295"/>
        <w:gridCol w:w="1060"/>
        <w:gridCol w:w="1053"/>
        <w:gridCol w:w="3160"/>
        <w:gridCol w:w="1350"/>
      </w:tblGrid>
      <w:tr>
        <w:tblPrEx>
          <w:tblCellMar>
            <w:top w:w="0" w:type="dxa"/>
            <w:left w:w="108" w:type="dxa"/>
            <w:bottom w:w="0" w:type="dxa"/>
            <w:right w:w="108" w:type="dxa"/>
          </w:tblCellMar>
        </w:tblPrEx>
        <w:trPr>
          <w:trHeight w:val="783" w:hRule="atLeast"/>
        </w:trPr>
        <w:tc>
          <w:tcPr>
            <w:tcW w:w="15557"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40.22</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6.48</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9.37</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3.44</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0.25</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0.18</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0.72</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w:t>
            </w: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w:t>
            </w:r>
          </w:p>
        </w:tc>
        <w:tc>
          <w:tcPr>
            <w:tcW w:w="105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5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3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0.30</w:t>
            </w:r>
          </w:p>
        </w:tc>
        <w:tc>
          <w:tcPr>
            <w:tcW w:w="105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3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6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40.22</w:t>
            </w:r>
          </w:p>
        </w:tc>
        <w:tc>
          <w:tcPr>
            <w:tcW w:w="8650"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18"/>
                <w:lang w:val="en-US"/>
              </w:rPr>
            </w:pPr>
            <w:r>
              <w:rPr>
                <w:rFonts w:hint="eastAsia" w:ascii="宋体" w:hAnsi="宋体" w:eastAsia="宋体" w:cs="宋体"/>
                <w:i w:val="0"/>
                <w:iCs w:val="0"/>
                <w:color w:val="000000"/>
                <w:kern w:val="0"/>
                <w:sz w:val="22"/>
                <w:szCs w:val="22"/>
                <w:u w:val="none"/>
                <w:lang w:val="en-US" w:eastAsia="zh-CN" w:bidi="ar"/>
              </w:rPr>
              <w:t>6.48</w:t>
            </w:r>
          </w:p>
        </w:tc>
      </w:tr>
      <w:tr>
        <w:tblPrEx>
          <w:tblCellMar>
            <w:top w:w="0" w:type="dxa"/>
            <w:left w:w="108" w:type="dxa"/>
            <w:bottom w:w="0" w:type="dxa"/>
            <w:right w:w="108" w:type="dxa"/>
          </w:tblCellMar>
        </w:tblPrEx>
        <w:trPr>
          <w:trHeight w:val="284" w:hRule="exact"/>
        </w:trPr>
        <w:tc>
          <w:tcPr>
            <w:tcW w:w="15557"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道县文联无政府性基金预算财政拨款收入，也没有安排政府性基金预算财政拨款支</w:t>
      </w:r>
      <w:r>
        <w:rPr>
          <w:rFonts w:hint="eastAsia" w:ascii="Times New Roman" w:hAnsi="Times New Roman" w:eastAsia="仿宋_GB2312" w:cs="Times New Roman"/>
          <w:kern w:val="0"/>
          <w:szCs w:val="21"/>
        </w:rPr>
        <w:t>出</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故本表格无数据）。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道县文学艺术界联合会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（道县文联无</w:t>
            </w:r>
            <w:r>
              <w:rPr>
                <w:rFonts w:hint="eastAsia" w:ascii="宋体" w:hAnsi="宋体" w:eastAsia="宋体" w:cs="宋体"/>
                <w:kern w:val="0"/>
                <w:sz w:val="24"/>
                <w:szCs w:val="24"/>
              </w:rPr>
              <w:t>国有资本经营预算财政拨款</w:t>
            </w:r>
            <w:r>
              <w:rPr>
                <w:rFonts w:hint="eastAsia" w:ascii="宋体" w:hAnsi="宋体" w:eastAsia="宋体" w:cs="宋体"/>
                <w:kern w:val="0"/>
                <w:sz w:val="24"/>
                <w:szCs w:val="24"/>
                <w:lang w:val="en-US" w:eastAsia="zh-CN"/>
              </w:rPr>
              <w:t>收入，也没有安排</w:t>
            </w:r>
            <w:r>
              <w:rPr>
                <w:rFonts w:hint="eastAsia" w:ascii="宋体" w:hAnsi="宋体" w:eastAsia="宋体" w:cs="宋体"/>
                <w:kern w:val="0"/>
                <w:sz w:val="24"/>
                <w:szCs w:val="24"/>
              </w:rPr>
              <w:t>国有资本经营预算财政拨款支出</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12.47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30.24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其他收入。</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46.70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86.96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13.04</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12.47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30.24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12.47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30.24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56.03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53.70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95.84</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1、一般公共服务支出</w:t>
      </w:r>
      <w:r>
        <w:rPr>
          <w:rFonts w:hint="eastAsia" w:asciiTheme="minorEastAsia" w:hAnsiTheme="minorEastAsia" w:eastAsiaTheme="minorEastAsia"/>
          <w:sz w:val="32"/>
          <w:szCs w:val="32"/>
          <w:highlight w:val="none"/>
          <w:lang w:val="en-US" w:eastAsia="zh-CN"/>
        </w:rPr>
        <w:t>一般公共服务支出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政府办公厅（室）及相关机构事务</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事业运行</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1.48</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98.67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比年初预算减少0.02万元，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highlight w:val="none"/>
          <w:lang w:val="en-US" w:eastAsia="zh-CN"/>
        </w:rPr>
        <w:t>工资福利预算欠精准。</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2、一般公共服务支出</w:t>
      </w:r>
      <w:r>
        <w:rPr>
          <w:rFonts w:hint="eastAsia" w:asciiTheme="minorEastAsia" w:hAnsiTheme="minorEastAsia" w:eastAsiaTheme="minorEastAsia"/>
          <w:sz w:val="32"/>
          <w:szCs w:val="32"/>
          <w:highlight w:val="none"/>
          <w:lang w:val="en-US" w:eastAsia="zh-CN"/>
        </w:rPr>
        <w:t>一般公共服务支出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群众团体事务</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行政运行</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1.68</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1.5</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val="en-US" w:eastAsia="zh-CN"/>
        </w:rPr>
        <w:t>比年初预算减少0.18万元，</w:t>
      </w:r>
      <w:r>
        <w:rPr>
          <w:rFonts w:hint="eastAsia" w:asciiTheme="minorEastAsia" w:hAnsiTheme="minorEastAsia" w:eastAsiaTheme="minorEastAsia"/>
          <w:sz w:val="32"/>
          <w:szCs w:val="32"/>
          <w:highlight w:val="none"/>
        </w:rPr>
        <w:t>完成年初预算的</w:t>
      </w:r>
      <w:r>
        <w:rPr>
          <w:rFonts w:hint="eastAsia" w:asciiTheme="minorEastAsia" w:hAnsiTheme="minorEastAsia" w:eastAsiaTheme="minorEastAsia"/>
          <w:sz w:val="32"/>
          <w:szCs w:val="32"/>
          <w:highlight w:val="none"/>
          <w:lang w:val="en-US" w:eastAsia="zh-CN"/>
        </w:rPr>
        <w:t>89.29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highlight w:val="none"/>
          <w:lang w:val="en-US" w:eastAsia="zh-CN"/>
        </w:rPr>
        <w:t>工资福利预算欠精准。</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、一般公共服务支出</w:t>
      </w:r>
      <w:r>
        <w:rPr>
          <w:rFonts w:hint="eastAsia" w:asciiTheme="minorEastAsia" w:hAnsiTheme="minorEastAsia" w:eastAsiaTheme="minorEastAsia"/>
          <w:sz w:val="32"/>
          <w:szCs w:val="32"/>
          <w:highlight w:val="none"/>
          <w:lang w:val="en-US" w:eastAsia="zh-CN"/>
        </w:rPr>
        <w:t>一般公共服务支出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宣传事务</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其他宣传事务支出</w:t>
      </w:r>
      <w:r>
        <w:rPr>
          <w:rFonts w:hint="eastAsia" w:asciiTheme="minorEastAsia" w:hAnsiTheme="minorEastAsia" w:eastAsiaTheme="minorEastAsia"/>
          <w:sz w:val="32"/>
          <w:szCs w:val="32"/>
          <w:highlight w:val="none"/>
        </w:rPr>
        <w:t>（项）。</w:t>
      </w:r>
    </w:p>
    <w:p>
      <w:pPr>
        <w:pStyle w:val="9"/>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16.53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15.79</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95.52</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比年初预算减少0.74万元，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highlight w:val="none"/>
          <w:lang w:val="en-US" w:eastAsia="zh-CN"/>
        </w:rPr>
        <w:t>公用经费减少。</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、一般公共服务支出</w:t>
      </w:r>
      <w:r>
        <w:rPr>
          <w:rFonts w:hint="eastAsia" w:asciiTheme="minorEastAsia" w:hAnsiTheme="minorEastAsia" w:eastAsiaTheme="minorEastAsia"/>
          <w:sz w:val="32"/>
          <w:szCs w:val="32"/>
          <w:highlight w:val="none"/>
          <w:lang w:val="en-US" w:eastAsia="zh-CN"/>
        </w:rPr>
        <w:t>文化旅游体育与传媒支出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文化和旅游</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行政运行</w:t>
      </w:r>
      <w:r>
        <w:rPr>
          <w:rFonts w:hint="eastAsia" w:asciiTheme="minorEastAsia" w:hAnsiTheme="minorEastAsia" w:eastAsiaTheme="minorEastAsia"/>
          <w:sz w:val="32"/>
          <w:szCs w:val="32"/>
          <w:highlight w:val="none"/>
        </w:rPr>
        <w:t>（项）。</w:t>
      </w:r>
    </w:p>
    <w:p>
      <w:pPr>
        <w:pStyle w:val="9"/>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27.87</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27.18</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val="en-US" w:eastAsia="zh-CN"/>
        </w:rPr>
        <w:t>比年初预算减少0.69万元，</w:t>
      </w:r>
      <w:r>
        <w:rPr>
          <w:rFonts w:hint="eastAsia" w:asciiTheme="minorEastAsia" w:hAnsiTheme="minorEastAsia" w:eastAsiaTheme="minorEastAsia"/>
          <w:sz w:val="32"/>
          <w:szCs w:val="32"/>
          <w:highlight w:val="none"/>
        </w:rPr>
        <w:t>完成年初预算的</w:t>
      </w:r>
      <w:r>
        <w:rPr>
          <w:rFonts w:hint="eastAsia" w:asciiTheme="minorEastAsia" w:hAnsiTheme="minorEastAsia" w:eastAsiaTheme="minorEastAsia"/>
          <w:sz w:val="32"/>
          <w:szCs w:val="32"/>
          <w:highlight w:val="none"/>
          <w:lang w:val="en-US" w:eastAsia="zh-CN"/>
        </w:rPr>
        <w:t>97.52</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highlight w:val="none"/>
          <w:lang w:val="en-US" w:eastAsia="zh-CN"/>
        </w:rPr>
        <w:t>工资福利预算欠精准。</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rPr>
        <w:t>、一般公共服务支出</w:t>
      </w:r>
      <w:r>
        <w:rPr>
          <w:rFonts w:hint="eastAsia" w:asciiTheme="minorEastAsia" w:hAnsiTheme="minorEastAsia" w:eastAsiaTheme="minorEastAsia"/>
          <w:sz w:val="32"/>
          <w:szCs w:val="32"/>
          <w:highlight w:val="none"/>
          <w:lang w:val="en-US" w:eastAsia="zh-CN"/>
        </w:rPr>
        <w:t>文化旅游体育与传媒支出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文化和旅游</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其他文化和旅游支出</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4.65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4.65</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highlight w:val="none"/>
        </w:rPr>
        <w:t>、一般公共服务支出</w:t>
      </w:r>
      <w:r>
        <w:rPr>
          <w:rFonts w:hint="eastAsia" w:asciiTheme="minorEastAsia" w:hAnsiTheme="minorEastAsia" w:eastAsiaTheme="minorEastAsia"/>
          <w:sz w:val="32"/>
          <w:szCs w:val="32"/>
          <w:highlight w:val="none"/>
          <w:lang w:val="en-US" w:eastAsia="zh-CN"/>
        </w:rPr>
        <w:t>221</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住房改革支出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 xml:space="preserve"> 住房公积金</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3.0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3.1</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103.33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比年初预算增加0.1万元，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highlight w:val="none"/>
          <w:lang w:val="en-US" w:eastAsia="zh-CN"/>
        </w:rPr>
        <w:t>住房公积金基数提高。</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46.70</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40.22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86.12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16.20万元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9.37万元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绩效工资3.44万元，养老保险4万元、职业年金1.1万元、医疗保险2万元、住房公积金3.1万元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6.48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13.88</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0.5万元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0.6万元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水费0.1万元、电费0.25万元、邮电费0.05万元、差旅费0.5万元、会议费0.18万元、培训费0.2万元、公务接待费0.3万元、劳务费0.72万元、工会经费1.3万元、其他交通费1.48万元、其他商品与服务支出0.3万元</w:t>
      </w:r>
      <w:r>
        <w:rPr>
          <w:rFonts w:hint="eastAsia" w:asciiTheme="minorEastAsia" w:hAnsiTheme="minorEastAsia" w:eastAsiaTheme="minorEastAsia"/>
          <w:sz w:val="32"/>
          <w:szCs w:val="32"/>
        </w:rPr>
        <w:t>。</w:t>
      </w:r>
    </w:p>
    <w:p>
      <w:pPr>
        <w:pStyle w:val="9"/>
        <w:numPr>
          <w:ilvl w:val="0"/>
          <w:numId w:val="2"/>
        </w:numPr>
        <w:rPr>
          <w:rFonts w:hint="eastAsia" w:hAnsi="黑体"/>
          <w:b/>
          <w:sz w:val="32"/>
          <w:szCs w:val="32"/>
        </w:rPr>
      </w:pPr>
      <w:r>
        <w:rPr>
          <w:rFonts w:hint="eastAsia" w:hAnsi="黑体"/>
          <w:b/>
          <w:sz w:val="32"/>
          <w:szCs w:val="32"/>
        </w:rPr>
        <w:t>一般公共预算财政拨款“三公”经费支出决算情况说明</w:t>
      </w: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2021年度“三公”经费财政拨款支出预算为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80.00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80.00</w:t>
      </w:r>
      <w:r>
        <w:rPr>
          <w:rFonts w:hint="eastAsia" w:asciiTheme="minorEastAsia" w:hAnsiTheme="minorEastAsia" w:eastAsiaTheme="minorEastAsia"/>
          <w:sz w:val="32"/>
          <w:szCs w:val="32"/>
        </w:rPr>
        <w:t>%，决算数小于预算数的主要原因是厉行节约，控制接待规模，要求接待用餐一律从简安排，反对铺张浪费，严格控制开支项目，与上年相比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9"/>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受疫情影响，2021年度我单位未开展因公出国（出境）活动。</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0.4</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32</w:t>
      </w:r>
      <w:r>
        <w:rPr>
          <w:rFonts w:hint="eastAsia" w:asciiTheme="minorEastAsia" w:hAnsiTheme="minorEastAsia" w:eastAsiaTheme="minorEastAsia"/>
          <w:color w:val="auto"/>
          <w:sz w:val="32"/>
          <w:szCs w:val="32"/>
        </w:rPr>
        <w:t>人次，主要是</w:t>
      </w:r>
      <w:r>
        <w:rPr>
          <w:rFonts w:hint="eastAsia" w:asciiTheme="minorEastAsia" w:hAnsiTheme="minorEastAsia" w:eastAsiaTheme="minorEastAsia"/>
          <w:color w:val="auto"/>
          <w:sz w:val="32"/>
          <w:szCs w:val="32"/>
          <w:lang w:val="en-US" w:eastAsia="zh-CN"/>
        </w:rPr>
        <w:t>市文联和各县文联等单位来我单位进行业务交流、开展业务活动</w:t>
      </w:r>
      <w:r>
        <w:rPr>
          <w:rFonts w:hint="eastAsia" w:asciiTheme="minorEastAsia" w:hAnsiTheme="minorEastAsia" w:eastAsiaTheme="minorEastAsia"/>
          <w:color w:val="auto"/>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6.40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0.18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干部职工</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安排各项日常及临时性工作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参加上级部门举办的业务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业务培训</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int="eastAsia"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jc w:val="center"/>
        <w:rPr>
          <w:rFonts w:hint="eastAsia" w:eastAsia="黑体"/>
          <w:bCs/>
          <w:kern w:val="0"/>
          <w:sz w:val="36"/>
          <w:szCs w:val="36"/>
        </w:rPr>
      </w:pPr>
      <w:r>
        <w:rPr>
          <w:rFonts w:hint="eastAsia" w:eastAsia="黑体"/>
          <w:bCs/>
          <w:kern w:val="0"/>
          <w:sz w:val="36"/>
          <w:szCs w:val="36"/>
        </w:rPr>
        <w:t>第四部分 名词解释</w:t>
      </w:r>
    </w:p>
    <w:p>
      <w:pPr>
        <w:widowControl/>
        <w:jc w:val="left"/>
        <w:rPr>
          <w:rFonts w:hint="eastAsia" w:ascii="Cambria Math" w:hAnsi="Cambria Math" w:cs="等线"/>
          <w:color w:val="000000"/>
          <w:kern w:val="0"/>
          <w:sz w:val="32"/>
          <w:szCs w:val="32"/>
        </w:rPr>
      </w:pPr>
    </w:p>
    <w:p>
      <w:pPr>
        <w:tabs>
          <w:tab w:val="left" w:pos="246"/>
        </w:tabs>
        <w:spacing w:line="50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一</w:t>
      </w:r>
      <w:r>
        <w:rPr>
          <w:rFonts w:hint="eastAsia" w:ascii="Times New Roman" w:hAnsi="Times New Roman" w:eastAsia="仿宋_GB2312" w:cs="Times New Roman"/>
          <w:kern w:val="0"/>
          <w:sz w:val="32"/>
          <w:szCs w:val="32"/>
        </w:rPr>
        <w:t>、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tabs>
          <w:tab w:val="left" w:pos="246"/>
        </w:tabs>
        <w:spacing w:line="500" w:lineRule="atLeas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二</w:t>
      </w:r>
      <w:r>
        <w:rPr>
          <w:rFonts w:hint="eastAsia" w:ascii="Times New Roman" w:hAnsi="Times New Roman" w:eastAsia="仿宋_GB2312" w:cs="Times New Roman"/>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tabs>
          <w:tab w:val="left" w:pos="246"/>
        </w:tabs>
        <w:spacing w:line="500" w:lineRule="atLeast"/>
        <w:ind w:firstLine="640" w:firstLineChars="200"/>
        <w:jc w:val="left"/>
        <w:rPr>
          <w:rFonts w:hint="eastAsia" w:ascii="Times New Roman" w:hAnsi="Times New Roman" w:eastAsia="仿宋_GB2312" w:cs="Times New Roman"/>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ascii="等线" w:cs="等线"/>
          <w:color w:val="000000"/>
          <w:kern w:val="0"/>
          <w:sz w:val="70"/>
          <w:szCs w:val="70"/>
        </w:rPr>
      </w:pPr>
      <w:r>
        <w:rPr>
          <w:rFonts w:ascii="黑体" w:eastAsia="黑体" w:cs="黑体"/>
          <w:color w:val="000000"/>
          <w:kern w:val="0"/>
          <w:sz w:val="70"/>
          <w:szCs w:val="70"/>
        </w:rPr>
        <w:br w:type="page"/>
      </w:r>
    </w:p>
    <w:p>
      <w:pPr>
        <w:ind w:firstLine="880" w:firstLineChars="200"/>
        <w:jc w:val="center"/>
        <w:rPr>
          <w:rFonts w:hint="eastAsia" w:cs="黑体" w:asciiTheme="minorEastAsia" w:hAnsiTheme="minorEastAsia"/>
          <w:b/>
          <w:color w:val="000000"/>
          <w:kern w:val="0"/>
          <w:sz w:val="44"/>
          <w:szCs w:val="44"/>
        </w:rPr>
      </w:pPr>
    </w:p>
    <w:p>
      <w:pPr>
        <w:ind w:firstLine="880" w:firstLineChars="200"/>
        <w:jc w:val="center"/>
        <w:rPr>
          <w:rFonts w:hint="eastAsia" w:cs="黑体" w:asciiTheme="minorEastAsia" w:hAnsiTheme="minorEastAsia"/>
          <w:b/>
          <w:color w:val="000000"/>
          <w:kern w:val="0"/>
          <w:sz w:val="44"/>
          <w:szCs w:val="44"/>
        </w:rPr>
      </w:pPr>
    </w:p>
    <w:p>
      <w:pPr>
        <w:ind w:firstLine="880" w:firstLineChars="200"/>
        <w:jc w:val="center"/>
        <w:rPr>
          <w:rFonts w:hint="eastAsia" w:cs="黑体" w:asciiTheme="minorEastAsia" w:hAnsiTheme="minorEastAsia"/>
          <w:b/>
          <w:color w:val="000000"/>
          <w:kern w:val="0"/>
          <w:sz w:val="44"/>
          <w:szCs w:val="44"/>
        </w:rPr>
      </w:pPr>
    </w:p>
    <w:p>
      <w:pPr>
        <w:ind w:firstLine="880" w:firstLineChars="200"/>
        <w:jc w:val="center"/>
        <w:rPr>
          <w:rFonts w:hint="eastAsia" w:ascii="等线" w:hAnsi="等线" w:cs="等线"/>
          <w:color w:val="000000"/>
          <w:kern w:val="0"/>
          <w:sz w:val="44"/>
          <w:szCs w:val="44"/>
        </w:rPr>
      </w:pPr>
      <w:r>
        <w:rPr>
          <w:rFonts w:hint="eastAsia" w:cs="黑体" w:asciiTheme="minorEastAsia" w:hAnsiTheme="minorEastAsia"/>
          <w:b/>
          <w:color w:val="000000"/>
          <w:kern w:val="0"/>
          <w:sz w:val="44"/>
          <w:szCs w:val="44"/>
        </w:rPr>
        <w:t>2021年度</w:t>
      </w:r>
      <w:r>
        <w:rPr>
          <w:rFonts w:hint="eastAsia" w:cs="黑体" w:asciiTheme="minorEastAsia" w:hAnsiTheme="minorEastAsia"/>
          <w:b/>
          <w:color w:val="000000"/>
          <w:kern w:val="0"/>
          <w:sz w:val="44"/>
          <w:szCs w:val="44"/>
          <w:lang w:val="en-US" w:eastAsia="zh-CN"/>
        </w:rPr>
        <w:t>文联</w:t>
      </w:r>
      <w:r>
        <w:rPr>
          <w:rFonts w:hint="eastAsia" w:cs="黑体" w:asciiTheme="minorEastAsia" w:hAnsiTheme="minorEastAsia"/>
          <w:b/>
          <w:color w:val="000000"/>
          <w:kern w:val="0"/>
          <w:sz w:val="44"/>
          <w:szCs w:val="44"/>
        </w:rPr>
        <w:t>部门整体支出绩效评价报告</w:t>
      </w:r>
    </w:p>
    <w:p>
      <w:pPr>
        <w:adjustRightInd w:val="0"/>
        <w:spacing w:line="600" w:lineRule="exact"/>
        <w:rPr>
          <w:rFonts w:ascii="Cambria Math" w:hAnsi="Cambria Math" w:cs="Cambria Math"/>
          <w:bCs/>
          <w:sz w:val="30"/>
          <w:szCs w:val="30"/>
        </w:rPr>
      </w:pPr>
    </w:p>
    <w:p>
      <w:pPr>
        <w:adjustRightInd w:val="0"/>
        <w:spacing w:line="600" w:lineRule="exact"/>
        <w:rPr>
          <w:rFonts w:ascii="Cambria Math" w:hAnsi="Cambria Math" w:cs="Cambria Math"/>
          <w:bCs/>
          <w:sz w:val="30"/>
          <w:szCs w:val="30"/>
        </w:rPr>
      </w:pP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一、部门概况</w:t>
      </w: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（一）部门基本情况</w:t>
      </w:r>
    </w:p>
    <w:p>
      <w:pPr>
        <w:pStyle w:val="12"/>
        <w:snapToGrid w:val="0"/>
        <w:spacing w:line="600" w:lineRule="atLeast"/>
        <w:ind w:firstLine="600" w:firstLineChars="200"/>
        <w:jc w:val="left"/>
        <w:rPr>
          <w:rFonts w:ascii="Cambria Math" w:hAnsi="Cambria Math" w:cs="Cambria Math"/>
          <w:bCs/>
          <w:sz w:val="30"/>
          <w:szCs w:val="30"/>
        </w:rPr>
      </w:pPr>
      <w:r>
        <w:rPr>
          <w:rFonts w:hint="eastAsia" w:ascii="Cambria Math" w:hAnsi="Cambria Math" w:cs="Cambria Math"/>
          <w:bCs/>
          <w:sz w:val="30"/>
          <w:szCs w:val="30"/>
        </w:rPr>
        <w:t>1.</w:t>
      </w:r>
      <w:r>
        <w:rPr>
          <w:rFonts w:hint="eastAsia" w:asciiTheme="minorEastAsia" w:hAnsiTheme="minorEastAsia"/>
          <w:bCs/>
          <w:kern w:val="0"/>
          <w:sz w:val="32"/>
          <w:szCs w:val="32"/>
        </w:rPr>
        <w:t>内设机构</w:t>
      </w:r>
      <w:r>
        <w:rPr>
          <w:rFonts w:hint="eastAsia" w:asciiTheme="minorEastAsia" w:hAnsiTheme="minorEastAsia"/>
          <w:bCs/>
          <w:kern w:val="0"/>
          <w:sz w:val="32"/>
          <w:szCs w:val="32"/>
          <w:lang w:val="en-US" w:eastAsia="zh-CN"/>
        </w:rPr>
        <w:t>设置：</w:t>
      </w:r>
      <w:r>
        <w:rPr>
          <w:rFonts w:hint="eastAsia" w:asciiTheme="minorEastAsia" w:hAnsiTheme="minorEastAsia"/>
          <w:bCs/>
          <w:kern w:val="0"/>
          <w:sz w:val="32"/>
          <w:szCs w:val="32"/>
        </w:rPr>
        <w:t>包括办公室、组织联络室、权益保护与行业建设室。</w:t>
      </w:r>
    </w:p>
    <w:p>
      <w:pPr>
        <w:widowControl/>
        <w:spacing w:line="600" w:lineRule="exact"/>
        <w:jc w:val="left"/>
        <w:rPr>
          <w:rFonts w:ascii="Cambria Math" w:hAnsi="Cambria Math" w:cs="Cambria Math"/>
          <w:bCs/>
          <w:sz w:val="30"/>
          <w:szCs w:val="30"/>
        </w:rPr>
      </w:pPr>
      <w:r>
        <w:rPr>
          <w:rFonts w:hint="eastAsia" w:ascii="Cambria Math" w:hAnsi="Cambria Math" w:cs="Cambria Math"/>
          <w:bCs/>
          <w:kern w:val="0"/>
          <w:sz w:val="30"/>
          <w:szCs w:val="30"/>
        </w:rPr>
        <w:t>　　2.</w:t>
      </w:r>
      <w:r>
        <w:rPr>
          <w:rFonts w:hint="eastAsia" w:ascii="Cambria Math" w:hAnsi="Cambria Math" w:cs="Cambria Math"/>
          <w:bCs/>
          <w:sz w:val="30"/>
          <w:szCs w:val="30"/>
        </w:rPr>
        <w:t>职能职责</w:t>
      </w:r>
    </w:p>
    <w:p>
      <w:pPr>
        <w:widowControl/>
        <w:spacing w:line="600" w:lineRule="exact"/>
        <w:ind w:firstLine="640" w:firstLineChars="200"/>
        <w:rPr>
          <w:rFonts w:ascii="宋体" w:hAnsi="宋体" w:eastAsia="宋体" w:cs="宋体"/>
          <w:sz w:val="32"/>
          <w:szCs w:val="32"/>
        </w:rPr>
      </w:pPr>
      <w:r>
        <w:rPr>
          <w:rFonts w:hint="eastAsia" w:cs="宋体" w:asciiTheme="minorEastAsia" w:hAnsiTheme="minorEastAsia" w:eastAsiaTheme="minorEastAsia"/>
          <w:bCs/>
          <w:kern w:val="0"/>
          <w:sz w:val="32"/>
          <w:szCs w:val="32"/>
          <w:lang w:val="en-US" w:eastAsia="zh-CN" w:bidi="ar-SA"/>
        </w:rPr>
        <w:t>加强党对文艺工作的领导，加强全县文艺队伍思想政治建设。制定出台道县文艺工作者采风创作制度，组织文艺工作者开展主题文艺实践活动。</w:t>
      </w:r>
    </w:p>
    <w:p>
      <w:pPr>
        <w:widowControl/>
        <w:spacing w:line="600" w:lineRule="atLeast"/>
        <w:rPr>
          <w:rFonts w:ascii="Cambria Math" w:hAnsi="Cambria Math" w:cs="Cambria Math"/>
          <w:bCs/>
          <w:sz w:val="30"/>
          <w:szCs w:val="30"/>
        </w:rPr>
      </w:pPr>
      <w:r>
        <w:rPr>
          <w:rFonts w:hint="eastAsia" w:ascii="Cambria Math" w:hAnsi="Cambria Math" w:cs="Cambria Math"/>
          <w:bCs/>
          <w:kern w:val="0"/>
          <w:sz w:val="30"/>
          <w:szCs w:val="30"/>
        </w:rPr>
        <w:t>　　3.</w:t>
      </w:r>
      <w:r>
        <w:rPr>
          <w:rFonts w:hint="eastAsia" w:ascii="Cambria Math" w:hAnsi="Cambria Math" w:cs="Cambria Math"/>
          <w:bCs/>
          <w:sz w:val="30"/>
          <w:szCs w:val="30"/>
        </w:rPr>
        <w:t>人员编制：我单位为正科级全额拨款行政单位，现实有在编人数行政</w:t>
      </w:r>
      <w:r>
        <w:rPr>
          <w:rFonts w:hint="eastAsia" w:ascii="Cambria Math" w:hAnsi="Cambria Math" w:cs="Cambria Math"/>
          <w:bCs/>
          <w:sz w:val="30"/>
          <w:szCs w:val="30"/>
          <w:lang w:val="en-US" w:eastAsia="zh-CN"/>
        </w:rPr>
        <w:t>6</w:t>
      </w:r>
      <w:r>
        <w:rPr>
          <w:rFonts w:hint="eastAsia" w:ascii="Cambria Math" w:hAnsi="Cambria Math" w:cs="Cambria Math"/>
          <w:bCs/>
          <w:sz w:val="30"/>
          <w:szCs w:val="30"/>
        </w:rPr>
        <w:t>人。</w:t>
      </w:r>
    </w:p>
    <w:p>
      <w:pPr>
        <w:widowControl/>
        <w:spacing w:line="600" w:lineRule="atLeast"/>
        <w:ind w:firstLine="600" w:firstLineChars="200"/>
        <w:rPr>
          <w:rFonts w:hint="eastAsia" w:ascii="Cambria Math" w:hAnsi="Cambria Math" w:cs="Cambria Math"/>
          <w:bCs/>
          <w:sz w:val="30"/>
          <w:szCs w:val="30"/>
        </w:rPr>
      </w:pPr>
      <w:r>
        <w:rPr>
          <w:rFonts w:hint="eastAsia" w:ascii="Cambria Math" w:hAnsi="Cambria Math" w:cs="Cambria Math"/>
          <w:bCs/>
          <w:sz w:val="30"/>
          <w:szCs w:val="30"/>
        </w:rPr>
        <w:t>4.收支管理办法。严格执行上级制定的财务收支管理办法，加强整体部门支出和固定资产管理，提高资金和资产的使用效率和财务的精细化管理水平。</w:t>
      </w:r>
    </w:p>
    <w:p>
      <w:pPr>
        <w:widowControl/>
        <w:spacing w:line="600" w:lineRule="atLeast"/>
        <w:ind w:firstLine="600" w:firstLineChars="200"/>
        <w:rPr>
          <w:rFonts w:hint="eastAsia" w:ascii="Cambria Math" w:hAnsi="Cambria Math" w:cs="Cambria Math"/>
          <w:bCs/>
          <w:sz w:val="30"/>
          <w:szCs w:val="30"/>
        </w:rPr>
      </w:pP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二、部门整体收支情况</w:t>
      </w:r>
    </w:p>
    <w:p>
      <w:pPr>
        <w:ind w:firstLine="600" w:firstLineChars="200"/>
        <w:rPr>
          <w:rFonts w:ascii="Cambria Math" w:hAnsi="Cambria Math" w:cs="Cambria Math"/>
          <w:bCs/>
          <w:sz w:val="30"/>
          <w:szCs w:val="30"/>
        </w:rPr>
      </w:pPr>
      <w:r>
        <w:rPr>
          <w:rFonts w:hint="eastAsia" w:ascii="Cambria Math" w:hAnsi="Cambria Math" w:cs="Cambria Math"/>
          <w:bCs/>
          <w:sz w:val="30"/>
          <w:szCs w:val="30"/>
        </w:rPr>
        <w:t>1.收入决算:20</w:t>
      </w:r>
      <w:r>
        <w:rPr>
          <w:rFonts w:hint="eastAsia" w:ascii="Cambria Math" w:hAnsi="Cambria Math" w:cs="Cambria Math"/>
          <w:bCs/>
          <w:sz w:val="30"/>
          <w:szCs w:val="30"/>
          <w:lang w:val="en-US" w:eastAsia="zh-CN"/>
        </w:rPr>
        <w:t>21</w:t>
      </w:r>
      <w:r>
        <w:rPr>
          <w:rFonts w:hint="eastAsia" w:ascii="Cambria Math" w:hAnsi="Cambria Math" w:cs="Cambria Math"/>
          <w:bCs/>
          <w:sz w:val="30"/>
          <w:szCs w:val="30"/>
        </w:rPr>
        <w:t>年本单位决算收入</w:t>
      </w:r>
      <w:r>
        <w:rPr>
          <w:rFonts w:hint="eastAsia" w:ascii="Cambria Math" w:hAnsi="Cambria Math" w:cs="Cambria Math"/>
          <w:bCs/>
          <w:sz w:val="30"/>
          <w:szCs w:val="30"/>
          <w:lang w:val="en-US" w:eastAsia="zh-CN"/>
        </w:rPr>
        <w:t>53.70</w:t>
      </w:r>
      <w:r>
        <w:rPr>
          <w:rFonts w:hint="eastAsia" w:ascii="Cambria Math" w:hAnsi="Cambria Math" w:cs="Cambria Math"/>
          <w:bCs/>
          <w:sz w:val="30"/>
          <w:szCs w:val="30"/>
        </w:rPr>
        <w:t>万元，其中：财政拨款收入</w:t>
      </w:r>
      <w:r>
        <w:rPr>
          <w:rFonts w:hint="eastAsia" w:ascii="Cambria Math" w:hAnsi="Cambria Math" w:cs="Cambria Math"/>
          <w:bCs/>
          <w:sz w:val="30"/>
          <w:szCs w:val="30"/>
          <w:lang w:val="en-US" w:eastAsia="zh-CN"/>
        </w:rPr>
        <w:t>53.70</w:t>
      </w:r>
      <w:r>
        <w:rPr>
          <w:rFonts w:hint="eastAsia" w:ascii="Cambria Math" w:hAnsi="Cambria Math" w:cs="Cambria Math"/>
          <w:bCs/>
          <w:sz w:val="30"/>
          <w:szCs w:val="30"/>
        </w:rPr>
        <w:t>万元。</w:t>
      </w:r>
    </w:p>
    <w:p>
      <w:pPr>
        <w:ind w:firstLine="600" w:firstLineChars="200"/>
        <w:rPr>
          <w:rFonts w:hint="eastAsia" w:ascii="Cambria Math" w:hAnsi="Cambria Math" w:cs="Cambria Math"/>
          <w:bCs/>
          <w:color w:val="auto"/>
          <w:sz w:val="30"/>
          <w:szCs w:val="30"/>
        </w:rPr>
      </w:pPr>
      <w:r>
        <w:rPr>
          <w:rFonts w:hint="eastAsia" w:ascii="Cambria Math" w:hAnsi="Cambria Math" w:cs="Cambria Math"/>
          <w:bCs/>
          <w:sz w:val="30"/>
          <w:szCs w:val="30"/>
        </w:rPr>
        <w:t>2.支出决算：20</w:t>
      </w:r>
      <w:r>
        <w:rPr>
          <w:rFonts w:hint="eastAsia" w:ascii="Cambria Math" w:hAnsi="Cambria Math" w:cs="Cambria Math"/>
          <w:bCs/>
          <w:sz w:val="30"/>
          <w:szCs w:val="30"/>
          <w:lang w:val="en-US" w:eastAsia="zh-CN"/>
        </w:rPr>
        <w:t>21</w:t>
      </w:r>
      <w:r>
        <w:rPr>
          <w:rFonts w:hint="eastAsia" w:ascii="Cambria Math" w:hAnsi="Cambria Math" w:cs="Cambria Math"/>
          <w:bCs/>
          <w:sz w:val="30"/>
          <w:szCs w:val="30"/>
        </w:rPr>
        <w:t>年支出决算数</w:t>
      </w:r>
      <w:r>
        <w:rPr>
          <w:rFonts w:hint="eastAsia" w:ascii="Cambria Math" w:hAnsi="Cambria Math" w:cs="Cambria Math"/>
          <w:bCs/>
          <w:sz w:val="30"/>
          <w:szCs w:val="30"/>
          <w:lang w:val="en-US" w:eastAsia="zh-CN"/>
        </w:rPr>
        <w:t>53.70</w:t>
      </w:r>
      <w:r>
        <w:rPr>
          <w:rFonts w:hint="eastAsia" w:ascii="Cambria Math" w:hAnsi="Cambria Math" w:cs="Cambria Math"/>
          <w:bCs/>
          <w:sz w:val="30"/>
          <w:szCs w:val="30"/>
        </w:rPr>
        <w:t>万元；其中：</w:t>
      </w:r>
      <w:r>
        <w:rPr>
          <w:rFonts w:hint="eastAsia" w:ascii="Cambria Math" w:hAnsi="Cambria Math" w:cs="Cambria Math"/>
          <w:bCs/>
          <w:color w:val="auto"/>
          <w:sz w:val="30"/>
          <w:szCs w:val="30"/>
        </w:rPr>
        <w:t>基本支出</w:t>
      </w:r>
      <w:r>
        <w:rPr>
          <w:rFonts w:hint="eastAsia" w:ascii="Cambria Math" w:hAnsi="Cambria Math" w:cs="Cambria Math"/>
          <w:bCs/>
          <w:color w:val="auto"/>
          <w:sz w:val="30"/>
          <w:szCs w:val="30"/>
          <w:lang w:val="en-US" w:eastAsia="zh-CN"/>
        </w:rPr>
        <w:t>46.70</w:t>
      </w:r>
      <w:r>
        <w:rPr>
          <w:rFonts w:hint="eastAsia" w:ascii="Cambria Math" w:hAnsi="Cambria Math" w:cs="Cambria Math"/>
          <w:bCs/>
          <w:color w:val="auto"/>
          <w:sz w:val="30"/>
          <w:szCs w:val="30"/>
        </w:rPr>
        <w:t>万元，项目支出</w:t>
      </w:r>
      <w:r>
        <w:rPr>
          <w:rFonts w:hint="eastAsia" w:ascii="Cambria Math" w:hAnsi="Cambria Math" w:cs="Cambria Math"/>
          <w:bCs/>
          <w:color w:val="auto"/>
          <w:sz w:val="30"/>
          <w:szCs w:val="30"/>
          <w:lang w:val="en-US" w:eastAsia="zh-CN"/>
        </w:rPr>
        <w:t>7</w:t>
      </w:r>
      <w:r>
        <w:rPr>
          <w:rFonts w:hint="eastAsia" w:ascii="Cambria Math" w:hAnsi="Cambria Math" w:cs="Cambria Math"/>
          <w:bCs/>
          <w:color w:val="auto"/>
          <w:sz w:val="30"/>
          <w:szCs w:val="30"/>
        </w:rPr>
        <w:t>万元。</w:t>
      </w:r>
    </w:p>
    <w:p>
      <w:pPr>
        <w:ind w:firstLine="600" w:firstLineChars="200"/>
        <w:rPr>
          <w:rFonts w:hint="eastAsia" w:ascii="Cambria Math" w:hAnsi="Cambria Math" w:cs="Cambria Math"/>
          <w:bCs/>
          <w:color w:val="auto"/>
          <w:sz w:val="30"/>
          <w:szCs w:val="30"/>
        </w:rPr>
      </w:pPr>
    </w:p>
    <w:p>
      <w:p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三、一般公共预算拨款支出决算</w:t>
      </w:r>
    </w:p>
    <w:p>
      <w:p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20</w:t>
      </w:r>
      <w:r>
        <w:rPr>
          <w:rFonts w:hint="eastAsia" w:ascii="Cambria Math" w:hAnsi="Cambria Math" w:cs="Cambria Math"/>
          <w:bCs/>
          <w:color w:val="auto"/>
          <w:sz w:val="30"/>
          <w:szCs w:val="30"/>
          <w:lang w:val="en-US" w:eastAsia="zh-CN"/>
        </w:rPr>
        <w:t>21</w:t>
      </w:r>
      <w:r>
        <w:rPr>
          <w:rFonts w:hint="eastAsia" w:ascii="Cambria Math" w:hAnsi="Cambria Math" w:cs="Cambria Math"/>
          <w:bCs/>
          <w:color w:val="auto"/>
          <w:sz w:val="30"/>
          <w:szCs w:val="30"/>
        </w:rPr>
        <w:t>年一般公共预算拨款支出</w:t>
      </w:r>
      <w:r>
        <w:rPr>
          <w:rFonts w:hint="eastAsia" w:ascii="Cambria Math" w:hAnsi="Cambria Math" w:cs="Cambria Math"/>
          <w:bCs/>
          <w:color w:val="auto"/>
          <w:sz w:val="30"/>
          <w:szCs w:val="30"/>
          <w:lang w:val="en-US" w:eastAsia="zh-CN"/>
        </w:rPr>
        <w:t>53.70</w:t>
      </w:r>
      <w:r>
        <w:rPr>
          <w:rFonts w:hint="eastAsia" w:ascii="Cambria Math" w:hAnsi="Cambria Math" w:cs="Cambria Math"/>
          <w:bCs/>
          <w:color w:val="auto"/>
          <w:sz w:val="30"/>
          <w:szCs w:val="30"/>
        </w:rPr>
        <w:t>万元，具体安排情况如下：</w:t>
      </w:r>
    </w:p>
    <w:p>
      <w:pPr>
        <w:numPr>
          <w:ilvl w:val="0"/>
          <w:numId w:val="3"/>
        </w:num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基本支出：</w:t>
      </w:r>
      <w:r>
        <w:rPr>
          <w:rFonts w:hint="eastAsia" w:ascii="Cambria Math" w:hAnsi="Cambria Math" w:cs="Cambria Math"/>
          <w:bCs/>
          <w:color w:val="auto"/>
          <w:sz w:val="30"/>
          <w:szCs w:val="30"/>
          <w:lang w:val="en-US" w:eastAsia="zh-CN"/>
        </w:rPr>
        <w:t>46.70</w:t>
      </w:r>
      <w:r>
        <w:rPr>
          <w:rFonts w:hint="eastAsia" w:ascii="Cambria Math" w:hAnsi="Cambria Math" w:cs="Cambria Math"/>
          <w:bCs/>
          <w:color w:val="auto"/>
          <w:sz w:val="30"/>
          <w:szCs w:val="30"/>
        </w:rPr>
        <w:t>万元。其中</w:t>
      </w:r>
    </w:p>
    <w:p>
      <w:pPr>
        <w:pStyle w:val="9"/>
        <w:numPr>
          <w:ilvl w:val="0"/>
          <w:numId w:val="4"/>
        </w:numPr>
        <w:ind w:firstLine="600" w:firstLineChars="200"/>
        <w:rPr>
          <w:rFonts w:hint="eastAsia" w:asciiTheme="minorEastAsia" w:hAnsiTheme="minorEastAsia" w:eastAsiaTheme="minorEastAsia"/>
          <w:sz w:val="32"/>
          <w:szCs w:val="32"/>
        </w:rPr>
      </w:pPr>
      <w:r>
        <w:rPr>
          <w:rFonts w:hint="eastAsia" w:ascii="Cambria Math" w:hAnsi="Cambria Math" w:cs="Cambria Math"/>
          <w:bCs/>
          <w:sz w:val="30"/>
          <w:szCs w:val="30"/>
        </w:rPr>
        <w:t>工资福利支出</w:t>
      </w:r>
      <w:r>
        <w:rPr>
          <w:rFonts w:hint="eastAsia" w:ascii="Cambria Math" w:hAnsi="Cambria Math" w:cs="Cambria Math"/>
          <w:bCs/>
          <w:sz w:val="30"/>
          <w:szCs w:val="30"/>
          <w:lang w:val="en-US" w:eastAsia="zh-CN"/>
        </w:rPr>
        <w:t>40.22</w:t>
      </w:r>
      <w:r>
        <w:rPr>
          <w:rFonts w:hint="eastAsia" w:ascii="Cambria Math" w:hAnsi="Cambria Math" w:cs="Cambria Math"/>
          <w:bCs/>
          <w:sz w:val="30"/>
          <w:szCs w:val="30"/>
        </w:rPr>
        <w:t>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86.12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16.20万元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9.37万元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绩效工资3.44万元，养老保险4万元、职业年金1.1万元、医疗保险2万元、住房公积金3.1万元</w:t>
      </w:r>
      <w:r>
        <w:rPr>
          <w:rFonts w:hint="eastAsia" w:asciiTheme="minorEastAsia" w:hAnsiTheme="minorEastAsia" w:eastAsiaTheme="minorEastAsia"/>
          <w:sz w:val="32"/>
          <w:szCs w:val="32"/>
        </w:rPr>
        <w:t>；</w:t>
      </w:r>
    </w:p>
    <w:p>
      <w:pPr>
        <w:pStyle w:val="9"/>
        <w:numPr>
          <w:ilvl w:val="0"/>
          <w:numId w:val="0"/>
        </w:numPr>
        <w:ind w:firstLine="600" w:firstLineChars="200"/>
        <w:rPr>
          <w:rFonts w:ascii="Cambria Math" w:hAnsi="Cambria Math" w:cs="Cambria Math"/>
          <w:bCs/>
          <w:sz w:val="30"/>
          <w:szCs w:val="30"/>
        </w:rPr>
      </w:pPr>
      <w:r>
        <w:rPr>
          <w:rFonts w:hint="eastAsia" w:ascii="Cambria Math" w:hAnsi="Cambria Math" w:cs="Cambria Math"/>
          <w:bCs/>
          <w:sz w:val="30"/>
          <w:szCs w:val="30"/>
        </w:rPr>
        <w:t>（2）机关运行经费</w:t>
      </w:r>
      <w:r>
        <w:rPr>
          <w:rFonts w:hint="eastAsia" w:ascii="Cambria Math" w:hAnsi="Cambria Math" w:cs="Cambria Math"/>
          <w:bCs/>
          <w:sz w:val="30"/>
          <w:szCs w:val="30"/>
          <w:lang w:val="en-US" w:eastAsia="zh-CN"/>
        </w:rPr>
        <w:t>6.48</w:t>
      </w:r>
      <w:r>
        <w:rPr>
          <w:rFonts w:hint="eastAsia" w:ascii="Cambria Math" w:hAnsi="Cambria Math" w:cs="Cambria Math"/>
          <w:bCs/>
          <w:sz w:val="30"/>
          <w:szCs w:val="30"/>
        </w:rPr>
        <w:t>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13.88</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0.5万元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0.6万元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水费0.1万元、电费0.25万元、邮电费0.05万元、差旅费0.5万元、会议费0.18万元、培训费0.2万元、公务接待费0.3万元、劳务费0.72万元、工会经费1.3万元、其他交通费1.48万元、其他商品与服务支出0.3万元</w:t>
      </w:r>
      <w:r>
        <w:rPr>
          <w:rFonts w:hint="eastAsia" w:asciiTheme="minorEastAsia" w:hAnsiTheme="minorEastAsia" w:eastAsiaTheme="minorEastAsia"/>
          <w:sz w:val="32"/>
          <w:szCs w:val="32"/>
        </w:rPr>
        <w:t>。</w:t>
      </w:r>
    </w:p>
    <w:p>
      <w:pPr>
        <w:pStyle w:val="13"/>
        <w:ind w:firstLine="300" w:firstLineChars="100"/>
        <w:rPr>
          <w:rFonts w:hint="eastAsia" w:cs="黑体" w:asciiTheme="minorEastAsia" w:hAnsiTheme="minorEastAsia" w:eastAsiaTheme="minorEastAsia"/>
          <w:color w:val="000000"/>
          <w:kern w:val="0"/>
          <w:sz w:val="32"/>
          <w:szCs w:val="32"/>
          <w:lang w:val="en-US" w:eastAsia="zh-CN" w:bidi="ar-SA"/>
        </w:rPr>
      </w:pPr>
      <w:r>
        <w:rPr>
          <w:rFonts w:hint="eastAsia" w:ascii="Cambria Math" w:hAnsi="Cambria Math" w:cs="Cambria Math"/>
          <w:bCs/>
          <w:color w:val="auto"/>
          <w:kern w:val="2"/>
          <w:sz w:val="30"/>
          <w:szCs w:val="30"/>
          <w:lang w:val="en-US" w:eastAsia="zh-CN" w:bidi="ar-SA"/>
        </w:rPr>
        <w:t>2、</w:t>
      </w:r>
      <w:r>
        <w:rPr>
          <w:rFonts w:hint="eastAsia" w:cs="黑体" w:asciiTheme="minorEastAsia" w:hAnsiTheme="minorEastAsia" w:eastAsiaTheme="minorEastAsia"/>
          <w:color w:val="000000"/>
          <w:kern w:val="0"/>
          <w:sz w:val="32"/>
          <w:szCs w:val="32"/>
          <w:lang w:val="en-US" w:eastAsia="zh-CN" w:bidi="ar-SA"/>
        </w:rPr>
        <w:t>三公经费使用情况：2021年度本单位“三公”经费总额为0.4万元，其中：公务接待费0.4万元，与上年相比减少0.1万元。国内公务接待6批次，接待人数32人。主要是业务交流、开展业务活动发生的接待支出</w:t>
      </w:r>
      <w:r>
        <w:rPr>
          <w:rFonts w:hint="eastAsia" w:cs="黑体" w:asciiTheme="minorEastAsia" w:hAnsiTheme="minorEastAsia"/>
          <w:color w:val="000000"/>
          <w:kern w:val="0"/>
          <w:sz w:val="32"/>
          <w:szCs w:val="32"/>
          <w:lang w:val="en-US" w:eastAsia="zh-CN" w:bidi="ar-SA"/>
        </w:rPr>
        <w:t>。</w:t>
      </w:r>
    </w:p>
    <w:p>
      <w:pPr>
        <w:widowControl/>
        <w:spacing w:line="600" w:lineRule="atLeast"/>
        <w:ind w:firstLine="640" w:firstLineChars="200"/>
        <w:rPr>
          <w:rFonts w:hint="eastAsia" w:cs="黑体" w:asciiTheme="minorEastAsia" w:hAnsiTheme="minorEastAsia" w:eastAsiaTheme="minorEastAsia"/>
          <w:color w:val="000000"/>
          <w:kern w:val="0"/>
          <w:sz w:val="32"/>
          <w:szCs w:val="32"/>
          <w:lang w:val="en-US" w:eastAsia="zh-CN" w:bidi="ar-SA"/>
        </w:rPr>
      </w:pPr>
    </w:p>
    <w:p>
      <w:pPr>
        <w:widowControl/>
        <w:spacing w:line="600" w:lineRule="atLeas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四、部门整体支出管理情况</w:t>
      </w:r>
    </w:p>
    <w:p>
      <w:pPr>
        <w:widowControl/>
        <w:shd w:val="clear" w:color="auto" w:fill="FFFFFF"/>
        <w:ind w:firstLine="57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领导高度重视，遵守中央八项规定，厉行节约，减少了公务接待活动，“三公”经费实现了有效压缩。</w:t>
      </w:r>
    </w:p>
    <w:p>
      <w:pPr>
        <w:widowControl/>
        <w:spacing w:line="600" w:lineRule="atLeast"/>
        <w:ind w:firstLine="480" w:firstLineChars="150"/>
        <w:rPr>
          <w:rFonts w:hint="eastAsia" w:cs="黑体" w:asciiTheme="minorEastAsia" w:hAnsiTheme="minorEastAsia" w:eastAsiaTheme="minorEastAsia"/>
          <w:color w:val="000000"/>
          <w:kern w:val="0"/>
          <w:sz w:val="32"/>
          <w:szCs w:val="32"/>
          <w:lang w:val="en-US" w:eastAsia="zh-CN" w:bidi="ar-SA"/>
        </w:rPr>
      </w:pPr>
    </w:p>
    <w:p>
      <w:pPr>
        <w:widowControl/>
        <w:spacing w:line="600" w:lineRule="atLeast"/>
        <w:ind w:firstLine="480" w:firstLineChars="1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五、部门整体支出绩效情况</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1、确保了干部职工工资正常发放和机关的正常运转，有利于社会稳定和单位团结。</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2、保障社会保障就业支出，职工的医疗保险和养老保险支出得到保障。</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3、项目经费7万元全部用于2021年度《濂溪》杂志和“欢乐潇湘”活动，保障工作的顺利完成。</w:t>
      </w:r>
    </w:p>
    <w:p>
      <w:pPr>
        <w:widowControl/>
        <w:spacing w:line="600" w:lineRule="atLeast"/>
        <w:rPr>
          <w:rFonts w:hint="eastAsia" w:ascii="Cambria Math" w:hAnsi="Cambria Math" w:cs="Cambria Math"/>
          <w:bCs/>
          <w:sz w:val="30"/>
          <w:szCs w:val="30"/>
        </w:rPr>
      </w:pPr>
    </w:p>
    <w:p>
      <w:pPr>
        <w:widowControl/>
        <w:spacing w:line="600" w:lineRule="atLeast"/>
        <w:rPr>
          <w:rFonts w:hint="eastAsia" w:ascii="Cambria Math" w:hAnsi="Cambria Math" w:cs="Cambria Math"/>
          <w:bCs/>
          <w:sz w:val="30"/>
          <w:szCs w:val="30"/>
        </w:rPr>
      </w:pPr>
    </w:p>
    <w:p>
      <w:pPr>
        <w:widowControl/>
        <w:spacing w:line="600" w:lineRule="atLeast"/>
        <w:rPr>
          <w:rFonts w:ascii="Cambria Math" w:hAnsi="Cambria Math" w:cs="Cambria Math"/>
          <w:bCs/>
          <w:sz w:val="30"/>
          <w:szCs w:val="30"/>
        </w:rPr>
      </w:pPr>
      <w:r>
        <w:rPr>
          <w:rFonts w:hint="eastAsia" w:ascii="Cambria Math" w:hAnsi="Cambria Math" w:cs="Cambria Math"/>
          <w:bCs/>
          <w:sz w:val="30"/>
          <w:szCs w:val="30"/>
        </w:rPr>
        <w:t>六、结合《部门整体支出绩效评价指标表》评价得分8</w:t>
      </w:r>
      <w:r>
        <w:rPr>
          <w:rFonts w:ascii="Cambria Math" w:hAnsi="Cambria Math" w:cs="Cambria Math"/>
          <w:bCs/>
          <w:sz w:val="30"/>
          <w:szCs w:val="30"/>
        </w:rPr>
        <w:t>6.4</w:t>
      </w:r>
      <w:r>
        <w:rPr>
          <w:rFonts w:hint="eastAsia" w:ascii="Cambria Math" w:hAnsi="Cambria Math" w:cs="Cambria Math"/>
          <w:bCs/>
          <w:sz w:val="30"/>
          <w:szCs w:val="30"/>
        </w:rPr>
        <w:t>分（见附件）。</w:t>
      </w:r>
    </w:p>
    <w:p>
      <w:pPr>
        <w:spacing w:line="360" w:lineRule="auto"/>
        <w:ind w:right="480" w:firstLine="640" w:firstLineChars="200"/>
        <w:jc w:val="center"/>
        <w:rPr>
          <w:rFonts w:hint="eastAsia" w:ascii="宋体" w:hAnsi="宋体" w:eastAsia="宋体" w:cs="Times New Roman"/>
          <w:b/>
          <w:bCs/>
          <w:sz w:val="32"/>
          <w:szCs w:val="32"/>
        </w:rPr>
      </w:pPr>
      <w:r>
        <w:rPr>
          <w:rFonts w:hint="eastAsia" w:ascii="宋体" w:hAnsi="宋体" w:eastAsia="宋体" w:cs="Times New Roman"/>
          <w:b/>
          <w:bCs/>
          <w:sz w:val="32"/>
          <w:szCs w:val="32"/>
        </w:rPr>
        <w:t>20</w:t>
      </w:r>
      <w:r>
        <w:rPr>
          <w:rFonts w:hint="eastAsia" w:ascii="宋体" w:hAnsi="宋体" w:eastAsia="宋体" w:cs="Times New Roman"/>
          <w:b/>
          <w:bCs/>
          <w:sz w:val="32"/>
          <w:szCs w:val="32"/>
          <w:lang w:val="en-US" w:eastAsia="zh-CN"/>
        </w:rPr>
        <w:t>21</w:t>
      </w:r>
      <w:r>
        <w:rPr>
          <w:rFonts w:hint="eastAsia" w:ascii="宋体" w:hAnsi="宋体" w:eastAsia="宋体" w:cs="Times New Roman"/>
          <w:b/>
          <w:bCs/>
          <w:sz w:val="32"/>
          <w:szCs w:val="32"/>
        </w:rPr>
        <w:t>年</w:t>
      </w:r>
      <w:r>
        <w:rPr>
          <w:rFonts w:hint="eastAsia" w:ascii="宋体" w:hAnsi="宋体" w:eastAsia="宋体" w:cs="Times New Roman"/>
          <w:b/>
          <w:bCs/>
          <w:sz w:val="32"/>
          <w:szCs w:val="32"/>
          <w:lang w:val="en-US" w:eastAsia="zh-CN"/>
        </w:rPr>
        <w:t>文联</w:t>
      </w:r>
      <w:r>
        <w:rPr>
          <w:rFonts w:hint="eastAsia" w:ascii="宋体" w:hAnsi="宋体" w:eastAsia="宋体" w:cs="Times New Roman"/>
          <w:b/>
          <w:bCs/>
          <w:sz w:val="32"/>
          <w:szCs w:val="32"/>
        </w:rPr>
        <w:t>部门整体支出绩效评价指标表</w:t>
      </w:r>
    </w:p>
    <w:p>
      <w:pPr>
        <w:spacing w:line="360" w:lineRule="auto"/>
        <w:ind w:right="480" w:firstLine="480" w:firstLineChars="200"/>
        <w:jc w:val="center"/>
        <w:rPr>
          <w:rFonts w:ascii="黑体" w:hAnsi="黑体" w:eastAsia="黑体" w:cs="Arial"/>
          <w:sz w:val="24"/>
        </w:rPr>
      </w:pPr>
    </w:p>
    <w:tbl>
      <w:tblPr>
        <w:tblStyle w:val="5"/>
        <w:tblW w:w="0" w:type="auto"/>
        <w:tblInd w:w="0" w:type="dxa"/>
        <w:tblLayout w:type="fixed"/>
        <w:tblCellMar>
          <w:top w:w="0" w:type="dxa"/>
          <w:left w:w="108" w:type="dxa"/>
          <w:bottom w:w="0" w:type="dxa"/>
          <w:right w:w="108" w:type="dxa"/>
        </w:tblCellMar>
      </w:tblPr>
      <w:tblGrid>
        <w:gridCol w:w="660"/>
        <w:gridCol w:w="725"/>
        <w:gridCol w:w="712"/>
        <w:gridCol w:w="3682"/>
        <w:gridCol w:w="2888"/>
        <w:gridCol w:w="654"/>
      </w:tblGrid>
      <w:tr>
        <w:tblPrEx>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一级指标</w:t>
            </w:r>
          </w:p>
        </w:tc>
        <w:tc>
          <w:tcPr>
            <w:tcW w:w="72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二级指标</w:t>
            </w: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三级指标</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评价标准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备注</w:t>
            </w: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得分</w:t>
            </w:r>
          </w:p>
        </w:tc>
      </w:tr>
      <w:tr>
        <w:tblPrEx>
          <w:tblCellMar>
            <w:top w:w="0" w:type="dxa"/>
            <w:left w:w="108" w:type="dxa"/>
            <w:bottom w:w="0" w:type="dxa"/>
            <w:right w:w="108" w:type="dxa"/>
          </w:tblCellMar>
        </w:tblPrEx>
        <w:trPr>
          <w:trHeight w:val="1520" w:hRule="atLeast"/>
        </w:trPr>
        <w:tc>
          <w:tcPr>
            <w:tcW w:w="660" w:type="dxa"/>
            <w:vMerge w:val="restart"/>
            <w:tcBorders>
              <w:top w:val="nil"/>
              <w:left w:val="single" w:color="auto" w:sz="4" w:space="0"/>
              <w:right w:val="single" w:color="auto" w:sz="4" w:space="0"/>
            </w:tcBorders>
            <w:noWrap w:val="0"/>
            <w:textDirection w:val="tbRlV"/>
            <w:vAlign w:val="center"/>
          </w:tcPr>
          <w:p>
            <w:pPr>
              <w:spacing w:line="400" w:lineRule="exact"/>
              <w:jc w:val="center"/>
              <w:rPr>
                <w:rFonts w:ascii="黑体" w:hAnsi="黑体" w:eastAsia="黑体" w:cs="宋体"/>
                <w:kern w:val="0"/>
                <w:szCs w:val="21"/>
              </w:rPr>
            </w:pPr>
            <w:r>
              <w:rPr>
                <w:rFonts w:hint="eastAsia" w:ascii="黑体" w:hAnsi="黑体" w:eastAsia="黑体" w:cs="宋体"/>
                <w:kern w:val="0"/>
                <w:szCs w:val="21"/>
              </w:rPr>
              <w:t>投    入</w:t>
            </w:r>
          </w:p>
        </w:tc>
        <w:tc>
          <w:tcPr>
            <w:tcW w:w="725" w:type="dxa"/>
            <w:tcBorders>
              <w:top w:val="nil"/>
              <w:left w:val="single" w:color="auto" w:sz="4" w:space="0"/>
              <w:bottom w:val="single" w:color="auto" w:sz="4" w:space="0"/>
              <w:right w:val="single" w:color="auto" w:sz="4" w:space="0"/>
            </w:tcBorders>
            <w:noWrap w:val="0"/>
            <w:vAlign w:val="center"/>
          </w:tcPr>
          <w:p>
            <w:pPr>
              <w:widowControl/>
              <w:spacing w:line="400" w:lineRule="exact"/>
              <w:rPr>
                <w:rFonts w:ascii="黑体" w:hAnsi="黑体" w:eastAsia="黑体" w:cs="宋体"/>
                <w:kern w:val="0"/>
                <w:szCs w:val="21"/>
              </w:rPr>
            </w:pPr>
            <w:r>
              <w:rPr>
                <w:rFonts w:hint="eastAsia" w:ascii="黑体" w:hAnsi="黑体" w:eastAsia="黑体" w:cs="宋体"/>
                <w:kern w:val="0"/>
                <w:szCs w:val="21"/>
              </w:rPr>
              <w:t>目标设定（8分）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绩效目标设定（8分）</w:t>
            </w:r>
          </w:p>
        </w:tc>
        <w:tc>
          <w:tcPr>
            <w:tcW w:w="3682" w:type="dxa"/>
            <w:tcBorders>
              <w:top w:val="nil"/>
              <w:left w:val="nil"/>
              <w:bottom w:val="single" w:color="auto" w:sz="4" w:space="0"/>
              <w:right w:val="single" w:color="auto" w:sz="4" w:space="0"/>
            </w:tcBorders>
            <w:noWrap w:val="0"/>
            <w:vAlign w:val="center"/>
          </w:tcPr>
          <w:p>
            <w:pPr>
              <w:widowControl/>
              <w:spacing w:line="400" w:lineRule="exact"/>
              <w:ind w:left="-531" w:leftChars="-253" w:firstLine="558" w:firstLineChars="266"/>
              <w:jc w:val="center"/>
              <w:rPr>
                <w:rFonts w:ascii="黑体" w:hAnsi="黑体" w:eastAsia="黑体" w:cs="宋体"/>
                <w:kern w:val="0"/>
                <w:szCs w:val="21"/>
              </w:rPr>
            </w:pPr>
            <w:r>
              <w:rPr>
                <w:rFonts w:hint="eastAsia" w:ascii="黑体" w:hAnsi="黑体" w:eastAsia="黑体" w:cs="宋体"/>
                <w:kern w:val="0"/>
                <w:szCs w:val="21"/>
              </w:rPr>
              <w:t>整体支出绩效目标设立是否符合国家法律法规和社会发展总的规划计4分；与部门“三定方案”和中远期发展相符计4分。</w:t>
            </w:r>
          </w:p>
        </w:tc>
        <w:tc>
          <w:tcPr>
            <w:tcW w:w="2888" w:type="dxa"/>
            <w:tcBorders>
              <w:top w:val="nil"/>
              <w:left w:val="nil"/>
              <w:bottom w:val="single" w:color="auto" w:sz="4" w:space="0"/>
              <w:right w:val="single" w:color="auto" w:sz="4" w:space="0"/>
            </w:tcBorders>
            <w:noWrap w:val="0"/>
            <w:vAlign w:val="center"/>
          </w:tcPr>
          <w:p>
            <w:pPr>
              <w:widowControl/>
              <w:numPr>
                <w:ilvl w:val="0"/>
                <w:numId w:val="5"/>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按要求进行了绩效目标编制；</w:t>
            </w:r>
          </w:p>
          <w:p>
            <w:pPr>
              <w:widowControl/>
              <w:numPr>
                <w:ilvl w:val="0"/>
                <w:numId w:val="5"/>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按“三定”方案确定职责；</w:t>
            </w:r>
          </w:p>
          <w:p>
            <w:pPr>
              <w:widowControl/>
              <w:numPr>
                <w:ilvl w:val="0"/>
                <w:numId w:val="5"/>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制定了部门中远期发展规划。</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7</w:t>
            </w:r>
          </w:p>
        </w:tc>
      </w:tr>
      <w:tr>
        <w:tblPrEx>
          <w:tblCellMar>
            <w:top w:w="0" w:type="dxa"/>
            <w:left w:w="108" w:type="dxa"/>
            <w:bottom w:w="0" w:type="dxa"/>
            <w:right w:w="108" w:type="dxa"/>
          </w:tblCellMar>
        </w:tblPrEx>
        <w:trPr>
          <w:trHeight w:val="1520" w:hRule="atLeast"/>
        </w:trPr>
        <w:tc>
          <w:tcPr>
            <w:tcW w:w="660" w:type="dxa"/>
            <w:vMerge w:val="continue"/>
            <w:tcBorders>
              <w:left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预算配置(12分)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财政供养人员控制率（3分）</w:t>
            </w:r>
          </w:p>
        </w:tc>
        <w:tc>
          <w:tcPr>
            <w:tcW w:w="3682" w:type="dxa"/>
            <w:tcBorders>
              <w:top w:val="nil"/>
              <w:left w:val="nil"/>
              <w:bottom w:val="single" w:color="auto" w:sz="4" w:space="0"/>
              <w:right w:val="single" w:color="auto" w:sz="4" w:space="0"/>
            </w:tcBorders>
            <w:noWrap w:val="0"/>
            <w:vAlign w:val="center"/>
          </w:tcPr>
          <w:p>
            <w:pPr>
              <w:widowControl/>
              <w:spacing w:line="400" w:lineRule="exact"/>
              <w:ind w:left="-531" w:leftChars="-253" w:firstLine="558" w:firstLineChars="266"/>
              <w:rPr>
                <w:rFonts w:ascii="黑体" w:hAnsi="黑体" w:eastAsia="黑体" w:cs="宋体"/>
                <w:kern w:val="0"/>
                <w:szCs w:val="21"/>
              </w:rPr>
            </w:pPr>
            <w:r>
              <w:rPr>
                <w:rFonts w:hint="eastAsia" w:ascii="黑体" w:hAnsi="黑体" w:eastAsia="黑体" w:cs="宋体"/>
                <w:kern w:val="0"/>
                <w:szCs w:val="21"/>
              </w:rPr>
              <w:t>以100%为标准。</w:t>
            </w:r>
          </w:p>
          <w:p>
            <w:pPr>
              <w:widowControl/>
              <w:spacing w:line="400" w:lineRule="exact"/>
              <w:ind w:left="-531" w:leftChars="-253" w:firstLine="558" w:firstLineChars="266"/>
              <w:rPr>
                <w:rFonts w:ascii="黑体" w:hAnsi="黑体" w:eastAsia="黑体" w:cs="宋体"/>
                <w:kern w:val="0"/>
                <w:szCs w:val="21"/>
              </w:rPr>
            </w:pPr>
            <w:r>
              <w:rPr>
                <w:rFonts w:hint="eastAsia" w:ascii="黑体" w:hAnsi="黑体" w:eastAsia="黑体" w:cs="宋体"/>
                <w:kern w:val="0"/>
                <w:szCs w:val="21"/>
              </w:rPr>
              <w:t>在职人员控制率≦  100%，计3分；</w:t>
            </w:r>
          </w:p>
          <w:p>
            <w:pPr>
              <w:widowControl/>
              <w:spacing w:line="400" w:lineRule="exact"/>
              <w:ind w:left="-531" w:leftChars="-253" w:firstLine="558" w:firstLineChars="266"/>
              <w:jc w:val="center"/>
              <w:rPr>
                <w:rFonts w:ascii="黑体" w:hAnsi="黑体" w:eastAsia="黑体" w:cs="宋体"/>
                <w:kern w:val="0"/>
                <w:szCs w:val="21"/>
              </w:rPr>
            </w:pPr>
            <w:r>
              <w:rPr>
                <w:rFonts w:hint="eastAsia" w:ascii="黑体" w:hAnsi="黑体" w:eastAsia="黑体" w:cs="宋体"/>
                <w:kern w:val="0"/>
                <w:szCs w:val="21"/>
              </w:rPr>
              <w:t>每超过一个百分点扣0.5分，扣完为止。</w:t>
            </w:r>
          </w:p>
        </w:tc>
        <w:tc>
          <w:tcPr>
            <w:tcW w:w="2888" w:type="dxa"/>
            <w:tcBorders>
              <w:top w:val="nil"/>
              <w:left w:val="nil"/>
              <w:bottom w:val="single" w:color="auto" w:sz="4" w:space="0"/>
              <w:right w:val="single" w:color="auto" w:sz="4" w:space="0"/>
            </w:tcBorders>
            <w:noWrap w:val="0"/>
            <w:vAlign w:val="center"/>
          </w:tcPr>
          <w:p>
            <w:pPr>
              <w:widowControl/>
              <w:spacing w:line="400" w:lineRule="exact"/>
              <w:ind w:left="210" w:right="-107" w:rightChars="-51" w:hanging="210" w:hangingChars="100"/>
              <w:jc w:val="left"/>
              <w:rPr>
                <w:rFonts w:ascii="黑体" w:hAnsi="黑体" w:eastAsia="黑体" w:cs="宋体"/>
                <w:kern w:val="0"/>
                <w:szCs w:val="21"/>
              </w:rPr>
            </w:pPr>
            <w:r>
              <w:rPr>
                <w:rFonts w:hint="eastAsia" w:ascii="黑体" w:hAnsi="黑体" w:eastAsia="黑体" w:cs="宋体"/>
                <w:kern w:val="0"/>
                <w:szCs w:val="21"/>
              </w:rPr>
              <w:t>财政预算</w:t>
            </w:r>
            <w:r>
              <w:rPr>
                <w:rFonts w:hint="eastAsia" w:ascii="黑体" w:hAnsi="黑体" w:eastAsia="黑体" w:cs="宋体"/>
                <w:kern w:val="0"/>
                <w:szCs w:val="21"/>
                <w:lang w:val="en-US" w:eastAsia="zh-CN"/>
              </w:rPr>
              <w:t>6</w:t>
            </w:r>
            <w:r>
              <w:rPr>
                <w:rFonts w:hint="eastAsia" w:ascii="黑体" w:hAnsi="黑体" w:eastAsia="黑体" w:cs="宋体"/>
                <w:kern w:val="0"/>
                <w:szCs w:val="21"/>
              </w:rPr>
              <w:t>人，实际在职人</w:t>
            </w:r>
            <w:r>
              <w:rPr>
                <w:rFonts w:hint="eastAsia" w:ascii="黑体" w:hAnsi="黑体" w:eastAsia="黑体" w:cs="宋体"/>
                <w:kern w:val="0"/>
                <w:szCs w:val="21"/>
                <w:lang w:val="en-US" w:eastAsia="zh-CN"/>
              </w:rPr>
              <w:t>6</w:t>
            </w:r>
            <w:r>
              <w:rPr>
                <w:rFonts w:hint="eastAsia" w:ascii="黑体" w:hAnsi="黑体" w:eastAsia="黑体" w:cs="宋体"/>
                <w:kern w:val="0"/>
                <w:szCs w:val="21"/>
              </w:rPr>
              <w:t xml:space="preserve">，在职控制率= </w:t>
            </w:r>
            <w:r>
              <w:rPr>
                <w:rFonts w:hint="eastAsia" w:ascii="黑体" w:hAnsi="黑体" w:eastAsia="黑体" w:cs="宋体"/>
                <w:kern w:val="0"/>
                <w:szCs w:val="21"/>
                <w:lang w:val="en-US" w:eastAsia="zh-CN"/>
              </w:rPr>
              <w:t>6</w:t>
            </w:r>
            <w:r>
              <w:rPr>
                <w:rFonts w:hint="eastAsia" w:ascii="黑体" w:hAnsi="黑体" w:eastAsia="黑体" w:cs="宋体"/>
                <w:kern w:val="0"/>
                <w:szCs w:val="21"/>
              </w:rPr>
              <w:t xml:space="preserve"> /</w:t>
            </w:r>
            <w:r>
              <w:rPr>
                <w:rFonts w:hint="eastAsia" w:ascii="黑体" w:hAnsi="黑体" w:eastAsia="黑体" w:cs="宋体"/>
                <w:kern w:val="0"/>
                <w:szCs w:val="21"/>
                <w:lang w:val="en-US" w:eastAsia="zh-CN"/>
              </w:rPr>
              <w:t>6</w:t>
            </w:r>
            <w:r>
              <w:rPr>
                <w:rFonts w:hint="eastAsia" w:ascii="黑体" w:hAnsi="黑体" w:eastAsia="黑体" w:cs="宋体"/>
                <w:kern w:val="0"/>
                <w:szCs w:val="21"/>
              </w:rPr>
              <w:t xml:space="preserve">   *100%=100 %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960" w:hRule="atLeast"/>
        </w:trPr>
        <w:tc>
          <w:tcPr>
            <w:tcW w:w="660" w:type="dxa"/>
            <w:vMerge w:val="continue"/>
            <w:tcBorders>
              <w:left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“三公经费”变动率（4分）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“三公经费”变动率≦0，计6分；“三公经费”＞0，每超过一个百分点扣0.6分，扣完为止。</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上年度三公经费支出公务用车运行维护费 0元，接待费   </w:t>
            </w:r>
            <w:r>
              <w:rPr>
                <w:rFonts w:hint="eastAsia" w:ascii="黑体" w:hAnsi="黑体" w:eastAsia="黑体" w:cs="宋体"/>
                <w:kern w:val="0"/>
                <w:szCs w:val="21"/>
                <w:lang w:val="en-US" w:eastAsia="zh-CN"/>
              </w:rPr>
              <w:t>0</w:t>
            </w:r>
            <w:r>
              <w:rPr>
                <w:rFonts w:hint="eastAsia" w:ascii="黑体" w:hAnsi="黑体" w:eastAsia="黑体" w:cs="宋体"/>
                <w:kern w:val="0"/>
                <w:szCs w:val="21"/>
              </w:rPr>
              <w:t>.</w:t>
            </w:r>
            <w:r>
              <w:rPr>
                <w:rFonts w:hint="eastAsia" w:ascii="黑体" w:hAnsi="黑体" w:eastAsia="黑体" w:cs="宋体"/>
                <w:kern w:val="0"/>
                <w:szCs w:val="21"/>
                <w:lang w:val="en-US" w:eastAsia="zh-CN"/>
              </w:rPr>
              <w:t>5</w:t>
            </w:r>
            <w:r>
              <w:rPr>
                <w:rFonts w:hint="eastAsia" w:ascii="黑体" w:hAnsi="黑体" w:eastAsia="黑体" w:cs="宋体"/>
                <w:kern w:val="0"/>
                <w:szCs w:val="21"/>
              </w:rPr>
              <w:t>元，出国出境费，共计</w:t>
            </w:r>
            <w:r>
              <w:rPr>
                <w:rFonts w:hint="eastAsia" w:ascii="黑体" w:hAnsi="黑体" w:eastAsia="黑体" w:cs="宋体"/>
                <w:kern w:val="0"/>
                <w:szCs w:val="21"/>
                <w:lang w:val="en-US" w:eastAsia="zh-CN"/>
              </w:rPr>
              <w:t>0.5</w:t>
            </w:r>
            <w:r>
              <w:rPr>
                <w:rFonts w:hint="eastAsia" w:ascii="黑体" w:hAnsi="黑体" w:eastAsia="黑体" w:cs="宋体"/>
                <w:kern w:val="0"/>
                <w:szCs w:val="21"/>
              </w:rPr>
              <w:t xml:space="preserve">万元。本年公车运行维护费  </w:t>
            </w:r>
            <w:r>
              <w:rPr>
                <w:rFonts w:hint="eastAsia" w:ascii="黑体" w:hAnsi="黑体" w:eastAsia="黑体" w:cs="宋体"/>
                <w:kern w:val="0"/>
                <w:szCs w:val="21"/>
                <w:lang w:val="en-US" w:eastAsia="zh-CN"/>
              </w:rPr>
              <w:t>0</w:t>
            </w:r>
            <w:r>
              <w:rPr>
                <w:rFonts w:hint="eastAsia" w:ascii="黑体" w:hAnsi="黑体" w:eastAsia="黑体" w:cs="宋体"/>
                <w:kern w:val="0"/>
                <w:szCs w:val="21"/>
              </w:rPr>
              <w:t xml:space="preserve">万元，招待费 </w:t>
            </w:r>
            <w:r>
              <w:rPr>
                <w:rFonts w:hint="eastAsia" w:ascii="黑体" w:hAnsi="黑体" w:eastAsia="黑体" w:cs="宋体"/>
                <w:kern w:val="0"/>
                <w:szCs w:val="21"/>
                <w:lang w:val="en-US" w:eastAsia="zh-CN"/>
              </w:rPr>
              <w:t>0.4</w:t>
            </w:r>
            <w:r>
              <w:rPr>
                <w:rFonts w:hint="eastAsia" w:ascii="黑体" w:hAnsi="黑体" w:eastAsia="黑体" w:cs="宋体"/>
                <w:kern w:val="0"/>
                <w:szCs w:val="21"/>
              </w:rPr>
              <w:t>万元，共计</w:t>
            </w:r>
            <w:r>
              <w:rPr>
                <w:rFonts w:hint="eastAsia" w:ascii="黑体" w:hAnsi="黑体" w:eastAsia="黑体" w:cs="宋体"/>
                <w:kern w:val="0"/>
                <w:szCs w:val="21"/>
                <w:lang w:val="en-US" w:eastAsia="zh-CN"/>
              </w:rPr>
              <w:t>0.4</w:t>
            </w:r>
            <w:r>
              <w:rPr>
                <w:rFonts w:hint="eastAsia" w:ascii="黑体" w:hAnsi="黑体" w:eastAsia="黑体" w:cs="宋体"/>
                <w:kern w:val="0"/>
                <w:szCs w:val="21"/>
              </w:rPr>
              <w:t>万元。三公经费变动率=（本年</w:t>
            </w:r>
            <w:r>
              <w:rPr>
                <w:rFonts w:hint="eastAsia" w:ascii="黑体" w:hAnsi="黑体" w:eastAsia="黑体" w:cs="宋体"/>
                <w:kern w:val="0"/>
                <w:szCs w:val="21"/>
                <w:lang w:val="en-US" w:eastAsia="zh-CN"/>
              </w:rPr>
              <w:t>0</w:t>
            </w:r>
            <w:r>
              <w:rPr>
                <w:rFonts w:hint="eastAsia" w:ascii="黑体" w:hAnsi="黑体" w:eastAsia="黑体" w:cs="宋体"/>
                <w:kern w:val="0"/>
                <w:szCs w:val="21"/>
              </w:rPr>
              <w:t>.4-</w:t>
            </w:r>
            <w:r>
              <w:rPr>
                <w:rFonts w:hint="eastAsia" w:ascii="黑体" w:hAnsi="黑体" w:eastAsia="黑体" w:cs="宋体"/>
                <w:kern w:val="0"/>
                <w:szCs w:val="21"/>
                <w:lang w:val="en-US" w:eastAsia="zh-CN"/>
              </w:rPr>
              <w:t>0</w:t>
            </w:r>
            <w:r>
              <w:rPr>
                <w:rFonts w:hint="eastAsia" w:ascii="黑体" w:hAnsi="黑体" w:eastAsia="黑体" w:cs="宋体"/>
                <w:kern w:val="0"/>
                <w:szCs w:val="21"/>
              </w:rPr>
              <w:t>.5上年度）/上年度= －2</w:t>
            </w:r>
            <w:r>
              <w:rPr>
                <w:rFonts w:hint="eastAsia" w:ascii="黑体" w:hAnsi="黑体" w:eastAsia="黑体" w:cs="宋体"/>
                <w:kern w:val="0"/>
                <w:szCs w:val="21"/>
                <w:lang w:val="en-US" w:eastAsia="zh-CN"/>
              </w:rPr>
              <w:t>0</w:t>
            </w:r>
            <w:r>
              <w:rPr>
                <w:rFonts w:hint="eastAsia" w:ascii="黑体" w:hAnsi="黑体" w:eastAsia="黑体" w:cs="宋体"/>
                <w:kern w:val="0"/>
                <w:szCs w:val="21"/>
              </w:rPr>
              <w:t xml:space="preserve">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2160" w:hRule="atLeast"/>
        </w:trPr>
        <w:tc>
          <w:tcPr>
            <w:tcW w:w="66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重点支出安排率（5分）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重点支出安排率≥90%，计5分；</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80%（含）-90%，计4分；                           70%（含）-80%，计3分；                           60%（含）-70%，计2分；                            低于60%不得分。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841"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过    程</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预算执行（20分）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预算调整率（5分）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预算调整率=0，计5分；                       0-10%（含），计4分；                          10-20%（含），计3分；                                     20-30%（含），计2分；                             大于30%不得分。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预算调整率为=调整数/2015年预算执行数*100%=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168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支出进度（4分）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每年春节前下达全部专项资金的50%；9月底前所有专项资金指标全部下达完。 每出现一个专项未按进度完成资金下达扣0.5分，扣完为止。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2</w:t>
            </w:r>
          </w:p>
        </w:tc>
      </w:tr>
      <w:tr>
        <w:tblPrEx>
          <w:tblCellMar>
            <w:top w:w="0" w:type="dxa"/>
            <w:left w:w="108" w:type="dxa"/>
            <w:bottom w:w="0" w:type="dxa"/>
            <w:right w:w="108" w:type="dxa"/>
          </w:tblCellMar>
        </w:tblPrEx>
        <w:trPr>
          <w:trHeight w:val="416"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资金结余（5分）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无结余，5分；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有结余，但不超过上年结转，4分；                       结余超过上年结转，不得分。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5</w:t>
            </w:r>
          </w:p>
        </w:tc>
      </w:tr>
      <w:tr>
        <w:tblPrEx>
          <w:tblCellMar>
            <w:top w:w="0" w:type="dxa"/>
            <w:left w:w="108" w:type="dxa"/>
            <w:bottom w:w="0" w:type="dxa"/>
            <w:right w:w="108" w:type="dxa"/>
          </w:tblCellMar>
        </w:tblPrEx>
        <w:trPr>
          <w:trHeight w:val="96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“三公经费”控制率（6分）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以100%为标准。三公经费控制率≦100%，计6分；每超过一个百分点扣1分，扣完为止。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5</w:t>
            </w:r>
          </w:p>
        </w:tc>
      </w:tr>
      <w:tr>
        <w:tblPrEx>
          <w:tblCellMar>
            <w:top w:w="0" w:type="dxa"/>
            <w:left w:w="108" w:type="dxa"/>
            <w:bottom w:w="0" w:type="dxa"/>
            <w:right w:w="108" w:type="dxa"/>
          </w:tblCellMar>
        </w:tblPrEx>
        <w:trPr>
          <w:trHeight w:val="1920"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过      程</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预算管理（21分）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管理制度健全性（6分）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1、制定或具有预算资金管理办法，内部财务管理制度、会计核算制度等管理制度，2分； 2、相关管理制度合法、合规、完整，2分； 3、相关管理制度得到有效执行，2分。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6</w:t>
            </w:r>
          </w:p>
        </w:tc>
      </w:tr>
      <w:tr>
        <w:tblPrEx>
          <w:tblCellMar>
            <w:top w:w="0" w:type="dxa"/>
            <w:left w:w="108" w:type="dxa"/>
            <w:bottom w:w="0" w:type="dxa"/>
            <w:right w:w="108" w:type="dxa"/>
          </w:tblCellMar>
        </w:tblPrEx>
        <w:trPr>
          <w:trHeight w:val="416"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资金使用合规性（10分）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1、支出符合国家财经法规和财务管理制度规定以及有关专项资金管理办法的规定；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2、资金拨付有完整的审批程序和手续；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3、项目支出按规定经过评估论证；                      4、支出按照部门预算批复的用途使用；                      5、资金使用无截留、挤占、挪用、虚列支出等情况。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6、按《采购法》实行政府采购；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7、按照《湖南省非税收入管理条例》规范收费的。 以上情况每出现一例不符合要求的扣1分，扣完为止。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9</w:t>
            </w:r>
          </w:p>
        </w:tc>
      </w:tr>
      <w:tr>
        <w:tblPrEx>
          <w:tblCellMar>
            <w:top w:w="0" w:type="dxa"/>
            <w:left w:w="108" w:type="dxa"/>
            <w:bottom w:w="0" w:type="dxa"/>
            <w:right w:w="108" w:type="dxa"/>
          </w:tblCellMar>
        </w:tblPrEx>
        <w:trPr>
          <w:trHeight w:val="240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预决算信息公开性和完善性（5分）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1、按规定内容公开预决算信息，1分； 2、按规定时限公开预决算信息，1分；3、基础数据信息和会计信息资料真实，1分；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4、基础数据信息和会计信息资料完整，1分；                            5、基础数据信息和汇集信息资料准确，1分。      </w:t>
            </w:r>
          </w:p>
          <w:p>
            <w:pPr>
              <w:widowControl/>
              <w:spacing w:line="400" w:lineRule="exact"/>
              <w:jc w:val="left"/>
              <w:rPr>
                <w:rFonts w:ascii="黑体" w:hAnsi="黑体" w:eastAsia="黑体" w:cs="宋体"/>
                <w:kern w:val="0"/>
                <w:szCs w:val="21"/>
              </w:rPr>
            </w:pP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4</w:t>
            </w:r>
          </w:p>
        </w:tc>
      </w:tr>
      <w:tr>
        <w:tblPrEx>
          <w:tblCellMar>
            <w:top w:w="0" w:type="dxa"/>
            <w:left w:w="108" w:type="dxa"/>
            <w:bottom w:w="0" w:type="dxa"/>
            <w:right w:w="108" w:type="dxa"/>
          </w:tblCellMar>
        </w:tblPrEx>
        <w:trPr>
          <w:trHeight w:val="1905"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资产管理（10分）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管理制度健全性（3分）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1、已制定资产管理制度1分；</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 2、相关资产管理制度合法、合规、完整，2分；                        3、相关资产管理制度得到有效执行，1分。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2.5</w:t>
            </w:r>
          </w:p>
        </w:tc>
      </w:tr>
      <w:tr>
        <w:tblPrEx>
          <w:tblCellMar>
            <w:top w:w="0" w:type="dxa"/>
            <w:left w:w="108" w:type="dxa"/>
            <w:bottom w:w="0" w:type="dxa"/>
            <w:right w:w="108" w:type="dxa"/>
          </w:tblCellMar>
        </w:tblPrEx>
        <w:trPr>
          <w:trHeight w:val="1833"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资产管理安全性（5分）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1、资产保存完整和资产信息系统建立、运用；</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2、资产配置合理；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3、资产处置规范；</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4、资产账务管理合规，帐实相符；                      5、国有资产有偿使用收入和处置收入及时足额上缴；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以上情况每出现一例不符合有关要求的扣1分，扣完为止。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1395"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固定资产利用率（2分）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每低于100%一个百分点扣0.2分，扣完为止。</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1</w:t>
            </w:r>
          </w:p>
        </w:tc>
      </w:tr>
      <w:tr>
        <w:tblPrEx>
          <w:tblCellMar>
            <w:top w:w="0" w:type="dxa"/>
            <w:left w:w="108" w:type="dxa"/>
            <w:bottom w:w="0" w:type="dxa"/>
            <w:right w:w="108" w:type="dxa"/>
          </w:tblCellMar>
        </w:tblPrEx>
        <w:trPr>
          <w:trHeight w:val="416"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产   出</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职责履行（12分）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工作实际完成率（6分）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根据评价部门制定的计划工作任务及内容考核实际完成情况及质量。该项得分=（实际完成情况/计划工作内容）*6</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5</w:t>
            </w:r>
          </w:p>
        </w:tc>
      </w:tr>
      <w:tr>
        <w:tblPrEx>
          <w:tblCellMar>
            <w:top w:w="0" w:type="dxa"/>
            <w:left w:w="108" w:type="dxa"/>
            <w:bottom w:w="0" w:type="dxa"/>
            <w:right w:w="108" w:type="dxa"/>
          </w:tblCellMar>
        </w:tblPrEx>
        <w:trPr>
          <w:trHeight w:val="168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重点工作质量达标率（6分）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质量达标率达到100%，计6分；每低于100%一个百分点扣0.5分，扣完为止。</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4</w:t>
            </w:r>
          </w:p>
        </w:tc>
      </w:tr>
      <w:tr>
        <w:tblPrEx>
          <w:tblCellMar>
            <w:top w:w="0" w:type="dxa"/>
            <w:left w:w="108" w:type="dxa"/>
            <w:bottom w:w="0" w:type="dxa"/>
            <w:right w:w="108" w:type="dxa"/>
          </w:tblCellMar>
        </w:tblPrEx>
        <w:trPr>
          <w:trHeight w:val="1191"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效  果</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履职效益（17分）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经济效益（4分）</w:t>
            </w:r>
          </w:p>
        </w:tc>
        <w:tc>
          <w:tcPr>
            <w:tcW w:w="3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360"/>
              <w:jc w:val="left"/>
              <w:rPr>
                <w:rFonts w:ascii="黑体" w:hAnsi="黑体" w:eastAsia="黑体" w:cs="宋体"/>
                <w:kern w:val="0"/>
                <w:szCs w:val="21"/>
              </w:rPr>
            </w:pPr>
            <w:r>
              <w:rPr>
                <w:rFonts w:hint="eastAsia" w:ascii="黑体" w:hAnsi="黑体" w:eastAsia="黑体" w:cs="宋体"/>
                <w:kern w:val="0"/>
                <w:szCs w:val="21"/>
              </w:rPr>
              <w:t>此条单位若没产生“经济效益”和“生态效益” ,社会效益从以下5个方面评价:1.在中央、省、政府考核中评为良以上；2.在部门考核中被评良以上；3.在市政府绩效评估中考核为优秀的；4.全年无违反党的“八项规定”的；5.无违反财政法规等行为的；</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1407"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社会效益（4分)</w:t>
            </w:r>
          </w:p>
        </w:tc>
        <w:tc>
          <w:tcPr>
            <w:tcW w:w="3682" w:type="dxa"/>
            <w:vMerge w:val="continue"/>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84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生态效益(4分)</w:t>
            </w:r>
          </w:p>
        </w:tc>
        <w:tc>
          <w:tcPr>
            <w:tcW w:w="3682" w:type="dxa"/>
            <w:vMerge w:val="continue"/>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120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社会公众或服务对象满意度（5分）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90%（含）以上计5分；80%（含）-90%，计3分；70%（含）-80%，计1分；低于70%计0分。</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7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合计</w:t>
            </w: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100</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ascii="黑体" w:hAnsi="黑体" w:eastAsia="黑体" w:cs="宋体"/>
                <w:kern w:val="0"/>
                <w:szCs w:val="21"/>
              </w:rPr>
              <w:t>82</w:t>
            </w:r>
          </w:p>
        </w:tc>
      </w:tr>
    </w:tbl>
    <w:p>
      <w:pPr>
        <w:spacing w:line="360" w:lineRule="auto"/>
        <w:ind w:right="480" w:firstLine="640" w:firstLineChars="200"/>
        <w:jc w:val="center"/>
        <w:rPr>
          <w:rFonts w:hint="eastAsia" w:ascii="宋体" w:hAnsi="宋体" w:eastAsia="宋体" w:cs="Times New Roman"/>
          <w:b/>
          <w:bCs/>
          <w:sz w:val="32"/>
          <w:szCs w:val="32"/>
        </w:rPr>
      </w:pPr>
    </w:p>
    <w:p>
      <w:pPr>
        <w:adjustRightInd w:val="0"/>
        <w:snapToGrid w:val="0"/>
        <w:rPr>
          <w:rFonts w:hint="eastAsia" w:ascii="Cambria Math" w:hAnsi="Cambria Math" w:cs="Cambria Math"/>
          <w:bCs/>
          <w:sz w:val="30"/>
          <w:szCs w:val="30"/>
        </w:rPr>
      </w:pPr>
    </w:p>
    <w:p>
      <w:pPr>
        <w:adjustRightInd w:val="0"/>
        <w:snapToGrid w:val="0"/>
        <w:rPr>
          <w:rFonts w:ascii="Cambria Math" w:hAnsi="Cambria Math" w:cs="Cambria Math"/>
          <w:bCs/>
          <w:sz w:val="30"/>
          <w:szCs w:val="30"/>
        </w:rPr>
      </w:pPr>
      <w:r>
        <w:rPr>
          <w:rFonts w:hint="eastAsia" w:ascii="Cambria Math" w:hAnsi="Cambria Math" w:cs="Cambria Math"/>
          <w:bCs/>
          <w:sz w:val="30"/>
          <w:szCs w:val="30"/>
        </w:rPr>
        <w:t>七、改进措施和有关建议</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一）</w:t>
      </w:r>
      <w:r>
        <w:rPr>
          <w:rFonts w:hint="eastAsia" w:ascii="Cambria Math" w:hAnsi="Cambria Math" w:cs="Cambria Math"/>
          <w:bCs/>
          <w:kern w:val="0"/>
          <w:sz w:val="30"/>
          <w:szCs w:val="30"/>
        </w:rPr>
        <w:t>规范账务处理，提高财务信息质量。</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二）</w:t>
      </w:r>
      <w:r>
        <w:rPr>
          <w:rFonts w:hint="eastAsia" w:ascii="Cambria Math" w:hAnsi="Cambria Math" w:cs="Cambria Math"/>
          <w:bCs/>
          <w:kern w:val="0"/>
          <w:sz w:val="30"/>
          <w:szCs w:val="30"/>
        </w:rPr>
        <w:t>落实财务管理制度，进一步加强财务管理。</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三）</w:t>
      </w:r>
      <w:r>
        <w:rPr>
          <w:rFonts w:hint="eastAsia" w:ascii="Cambria Math" w:hAnsi="Cambria Math" w:cs="Cambria Math"/>
          <w:bCs/>
          <w:kern w:val="0"/>
          <w:sz w:val="30"/>
          <w:szCs w:val="30"/>
        </w:rPr>
        <w:t>做好财务人员培训，加强会计队伍建设。</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四）</w:t>
      </w:r>
      <w:r>
        <w:rPr>
          <w:rFonts w:hint="eastAsia" w:ascii="Cambria Math" w:hAnsi="Cambria Math" w:cs="Cambria Math"/>
          <w:bCs/>
          <w:kern w:val="0"/>
          <w:sz w:val="30"/>
          <w:szCs w:val="30"/>
        </w:rPr>
        <w:t>进一步建章立制，确保会计核算规范化，明确财务管理的责任和权力。</w:t>
      </w:r>
    </w:p>
    <w:p>
      <w:pPr>
        <w:widowControl/>
        <w:rPr>
          <w:rFonts w:ascii="Cambria Math" w:hAnsi="Cambria Math" w:cs="Cambria Math"/>
          <w:bCs/>
          <w:kern w:val="0"/>
          <w:sz w:val="30"/>
          <w:szCs w:val="30"/>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8ED92"/>
    <w:multiLevelType w:val="singleLevel"/>
    <w:tmpl w:val="1698ED92"/>
    <w:lvl w:ilvl="0" w:tentative="0">
      <w:start w:val="1"/>
      <w:numFmt w:val="decimal"/>
      <w:suff w:val="nothing"/>
      <w:lvlText w:val="（%1）"/>
      <w:lvlJc w:val="left"/>
    </w:lvl>
  </w:abstractNum>
  <w:abstractNum w:abstractNumId="1">
    <w:nsid w:val="1E1599A4"/>
    <w:multiLevelType w:val="singleLevel"/>
    <w:tmpl w:val="1E1599A4"/>
    <w:lvl w:ilvl="0" w:tentative="0">
      <w:start w:val="7"/>
      <w:numFmt w:val="chineseCounting"/>
      <w:suff w:val="nothing"/>
      <w:lvlText w:val="%1、"/>
      <w:lvlJc w:val="left"/>
      <w:rPr>
        <w:rFonts w:hint="eastAsia"/>
      </w:rPr>
    </w:lvl>
  </w:abstractNum>
  <w:abstractNum w:abstractNumId="2">
    <w:nsid w:val="286B5710"/>
    <w:multiLevelType w:val="multilevel"/>
    <w:tmpl w:val="286B57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CCEC62"/>
    <w:multiLevelType w:val="singleLevel"/>
    <w:tmpl w:val="57CCEC62"/>
    <w:lvl w:ilvl="0" w:tentative="0">
      <w:start w:val="1"/>
      <w:numFmt w:val="decimal"/>
      <w:suff w:val="nothing"/>
      <w:lvlText w:val="%1、"/>
      <w:lvlJc w:val="left"/>
      <w:rPr>
        <w:rFonts w:cs="Tahom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09E77FE"/>
    <w:rsid w:val="1FB57927"/>
    <w:rsid w:val="26004C31"/>
    <w:rsid w:val="266F22D2"/>
    <w:rsid w:val="270D18C6"/>
    <w:rsid w:val="279872D4"/>
    <w:rsid w:val="2C3F712F"/>
    <w:rsid w:val="2C6B22D3"/>
    <w:rsid w:val="35FE5AFB"/>
    <w:rsid w:val="3D412D8B"/>
    <w:rsid w:val="47E97AD6"/>
    <w:rsid w:val="493C0826"/>
    <w:rsid w:val="4C6A7977"/>
    <w:rsid w:val="53C8685D"/>
    <w:rsid w:val="59987F3E"/>
    <w:rsid w:val="60E54856"/>
    <w:rsid w:val="611F7673"/>
    <w:rsid w:val="61D9582E"/>
    <w:rsid w:val="64B46C20"/>
    <w:rsid w:val="65046244"/>
    <w:rsid w:val="6B3E2EEB"/>
    <w:rsid w:val="6C7748D6"/>
    <w:rsid w:val="6C930316"/>
    <w:rsid w:val="70962F27"/>
    <w:rsid w:val="74FC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Calibri" w:hAnsi="Calibri" w:cs="宋体"/>
      <w:kern w:val="0"/>
      <w:szCs w:val="21"/>
    </w:rPr>
  </w:style>
  <w:style w:type="paragraph" w:customStyle="1" w:styleId="13">
    <w:name w:val="列表段落1"/>
    <w:basedOn w:val="1"/>
    <w:qFormat/>
    <w:uiPriority w:val="99"/>
    <w:pPr>
      <w:ind w:firstLine="420" w:firstLineChars="200"/>
    </w:p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9178</Words>
  <Characters>10927</Characters>
  <Lines>69</Lines>
  <Paragraphs>19</Paragraphs>
  <TotalTime>0</TotalTime>
  <ScaleCrop>false</ScaleCrop>
  <LinksUpToDate>false</LinksUpToDate>
  <CharactersWithSpaces>12380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2023-09-28T05:31:40Z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E374C2E728734CD3B740F654D8EEAA66_13</vt:lpwstr>
  </property>
</Properties>
</file>