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center"/>
        <w:rPr>
          <w:rFonts w:hint="eastAsia"/>
          <w:sz w:val="56"/>
          <w:szCs w:val="56"/>
        </w:rPr>
      </w:pPr>
    </w:p>
    <w:p>
      <w:pPr>
        <w:pStyle w:val="11"/>
        <w:jc w:val="center"/>
        <w:rPr>
          <w:sz w:val="56"/>
          <w:szCs w:val="56"/>
        </w:rPr>
      </w:pPr>
    </w:p>
    <w:p>
      <w:pPr>
        <w:pStyle w:val="11"/>
        <w:jc w:val="center"/>
        <w:rPr>
          <w:sz w:val="84"/>
          <w:szCs w:val="84"/>
        </w:rPr>
      </w:pPr>
    </w:p>
    <w:p>
      <w:pPr>
        <w:pStyle w:val="11"/>
        <w:jc w:val="center"/>
        <w:rPr>
          <w:sz w:val="84"/>
          <w:szCs w:val="84"/>
        </w:rPr>
      </w:pPr>
    </w:p>
    <w:p>
      <w:pPr>
        <w:pStyle w:val="11"/>
        <w:jc w:val="center"/>
        <w:rPr>
          <w:sz w:val="84"/>
          <w:szCs w:val="84"/>
        </w:rPr>
      </w:pPr>
      <w:r>
        <w:rPr>
          <w:rFonts w:hint="eastAsia"/>
          <w:sz w:val="84"/>
          <w:szCs w:val="84"/>
        </w:rPr>
        <w:t>2021年度</w:t>
      </w:r>
    </w:p>
    <w:p>
      <w:pPr>
        <w:pStyle w:val="11"/>
        <w:jc w:val="center"/>
        <w:rPr>
          <w:sz w:val="84"/>
          <w:szCs w:val="84"/>
        </w:rPr>
      </w:pPr>
      <w:r>
        <w:rPr>
          <w:rFonts w:hint="eastAsia"/>
          <w:sz w:val="84"/>
          <w:szCs w:val="84"/>
        </w:rPr>
        <w:t>道县民政局部门决算</w:t>
      </w:r>
    </w:p>
    <w:p>
      <w:pPr>
        <w:pStyle w:val="11"/>
        <w:jc w:val="center"/>
        <w:rPr>
          <w:sz w:val="56"/>
          <w:szCs w:val="56"/>
        </w:rPr>
      </w:pPr>
    </w:p>
    <w:p>
      <w:pPr>
        <w:pStyle w:val="11"/>
        <w:jc w:val="center"/>
        <w:rPr>
          <w:sz w:val="56"/>
          <w:szCs w:val="56"/>
        </w:rPr>
      </w:pPr>
    </w:p>
    <w:p>
      <w:pPr>
        <w:pStyle w:val="11"/>
        <w:jc w:val="center"/>
        <w:rPr>
          <w:sz w:val="56"/>
          <w:szCs w:val="56"/>
        </w:rPr>
      </w:pPr>
    </w:p>
    <w:p>
      <w:pPr>
        <w:pStyle w:val="11"/>
        <w:jc w:val="center"/>
        <w:rPr>
          <w:sz w:val="56"/>
          <w:szCs w:val="56"/>
        </w:rPr>
      </w:pPr>
    </w:p>
    <w:p>
      <w:pPr>
        <w:pStyle w:val="11"/>
        <w:jc w:val="center"/>
        <w:rPr>
          <w:sz w:val="32"/>
          <w:szCs w:val="32"/>
        </w:rPr>
      </w:pPr>
    </w:p>
    <w:p>
      <w:pPr>
        <w:pStyle w:val="11"/>
        <w:jc w:val="center"/>
        <w:rPr>
          <w:sz w:val="32"/>
          <w:szCs w:val="32"/>
        </w:rPr>
      </w:pPr>
    </w:p>
    <w:p>
      <w:pPr>
        <w:pStyle w:val="11"/>
        <w:jc w:val="center"/>
        <w:rPr>
          <w:sz w:val="32"/>
          <w:szCs w:val="32"/>
        </w:rPr>
      </w:pPr>
    </w:p>
    <w:p>
      <w:pPr>
        <w:pStyle w:val="11"/>
        <w:jc w:val="center"/>
        <w:rPr>
          <w:sz w:val="32"/>
          <w:szCs w:val="32"/>
        </w:rPr>
      </w:pPr>
    </w:p>
    <w:p>
      <w:pPr>
        <w:pStyle w:val="11"/>
        <w:jc w:val="center"/>
        <w:rPr>
          <w:sz w:val="32"/>
          <w:szCs w:val="32"/>
        </w:rPr>
      </w:pPr>
    </w:p>
    <w:p>
      <w:pPr>
        <w:pStyle w:val="11"/>
        <w:spacing w:line="540" w:lineRule="exact"/>
        <w:jc w:val="center"/>
        <w:rPr>
          <w:sz w:val="56"/>
          <w:szCs w:val="56"/>
        </w:rPr>
      </w:pPr>
    </w:p>
    <w:p>
      <w:pPr>
        <w:pStyle w:val="11"/>
        <w:spacing w:line="500" w:lineRule="exact"/>
        <w:jc w:val="center"/>
        <w:rPr>
          <w:b/>
          <w:sz w:val="36"/>
          <w:szCs w:val="28"/>
        </w:rPr>
      </w:pPr>
    </w:p>
    <w:p>
      <w:pPr>
        <w:pStyle w:val="11"/>
        <w:spacing w:line="500" w:lineRule="exact"/>
        <w:jc w:val="center"/>
        <w:rPr>
          <w:b/>
          <w:sz w:val="36"/>
          <w:szCs w:val="28"/>
        </w:rPr>
      </w:pPr>
    </w:p>
    <w:p>
      <w:pPr>
        <w:pStyle w:val="11"/>
        <w:spacing w:line="500" w:lineRule="exact"/>
        <w:jc w:val="center"/>
        <w:rPr>
          <w:b/>
          <w:sz w:val="36"/>
          <w:szCs w:val="28"/>
        </w:rPr>
      </w:pPr>
      <w:r>
        <w:rPr>
          <w:rFonts w:hint="eastAsia"/>
          <w:b/>
          <w:sz w:val="36"/>
          <w:szCs w:val="28"/>
        </w:rPr>
        <w:t>目录</w:t>
      </w:r>
    </w:p>
    <w:p>
      <w:pPr>
        <w:pStyle w:val="11"/>
        <w:spacing w:line="500" w:lineRule="exact"/>
        <w:rPr>
          <w:rFonts w:ascii="仿宋_GB2312" w:hAnsi="仿宋_GB2312" w:cs="仿宋_GB2312"/>
          <w:b/>
          <w:sz w:val="28"/>
          <w:szCs w:val="28"/>
        </w:rPr>
      </w:pPr>
      <w:r>
        <w:rPr>
          <w:rFonts w:hint="eastAsia"/>
          <w:b/>
          <w:sz w:val="28"/>
          <w:szCs w:val="28"/>
        </w:rPr>
        <w:t>第一部分道县民政局单位概况</w:t>
      </w:r>
    </w:p>
    <w:p>
      <w:pPr>
        <w:pStyle w:val="11"/>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一、部门职责</w:t>
      </w:r>
    </w:p>
    <w:p>
      <w:pPr>
        <w:pStyle w:val="11"/>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二、机构设置</w:t>
      </w:r>
    </w:p>
    <w:p>
      <w:pPr>
        <w:pStyle w:val="11"/>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21年度部门决算表</w:t>
      </w:r>
    </w:p>
    <w:p>
      <w:pPr>
        <w:pStyle w:val="11"/>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一、收入支出决算总表</w:t>
      </w:r>
    </w:p>
    <w:p>
      <w:pPr>
        <w:pStyle w:val="11"/>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二、收入决算表</w:t>
      </w:r>
    </w:p>
    <w:p>
      <w:pPr>
        <w:pStyle w:val="11"/>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三、支出决算表</w:t>
      </w:r>
    </w:p>
    <w:p>
      <w:pPr>
        <w:pStyle w:val="11"/>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四、财政拨款收入支出决算总表</w:t>
      </w:r>
    </w:p>
    <w:p>
      <w:pPr>
        <w:pStyle w:val="11"/>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五、一般公共预算财政拨款支出决算表</w:t>
      </w:r>
    </w:p>
    <w:p>
      <w:pPr>
        <w:pStyle w:val="11"/>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六、一般公共预算财政拨款基本支出决算</w:t>
      </w:r>
      <w:r>
        <w:rPr>
          <w:rFonts w:hint="eastAsia" w:ascii="宋体" w:hAnsi="宋体" w:eastAsia="宋体" w:cs="仿宋_GB2312"/>
          <w:sz w:val="28"/>
          <w:szCs w:val="28"/>
        </w:rPr>
        <w:t>明细</w:t>
      </w:r>
      <w:r>
        <w:rPr>
          <w:rFonts w:ascii="宋体" w:hAnsi="宋体" w:eastAsia="宋体" w:cs="仿宋_GB2312"/>
          <w:sz w:val="28"/>
          <w:szCs w:val="28"/>
        </w:rPr>
        <w:t>表</w:t>
      </w:r>
    </w:p>
    <w:p>
      <w:pPr>
        <w:pStyle w:val="11"/>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七、一般公共预算财政拨款“三公”经费支出决算表</w:t>
      </w:r>
    </w:p>
    <w:p>
      <w:pPr>
        <w:pStyle w:val="11"/>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八、政府性基金预算财政拨款收入支出决算表</w:t>
      </w:r>
    </w:p>
    <w:p>
      <w:pPr>
        <w:pStyle w:val="11"/>
        <w:spacing w:line="50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九、国有资本经营预算财政拨款支出决算表</w:t>
      </w:r>
    </w:p>
    <w:p>
      <w:pPr>
        <w:pStyle w:val="11"/>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21年度部门决算情况说明</w:t>
      </w:r>
    </w:p>
    <w:p>
      <w:pPr>
        <w:pStyle w:val="11"/>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十一、政府采购支出说明</w:t>
      </w:r>
    </w:p>
    <w:p>
      <w:pPr>
        <w:pStyle w:val="11"/>
        <w:spacing w:line="500" w:lineRule="exact"/>
        <w:ind w:firstLine="700" w:firstLineChars="250"/>
        <w:rPr>
          <w:rFonts w:ascii="仿宋_GB2312" w:hAnsi="仿宋_GB2312" w:eastAsia="宋体" w:cs="仿宋_GB2312"/>
          <w:sz w:val="28"/>
          <w:szCs w:val="28"/>
        </w:rPr>
      </w:pPr>
      <w:r>
        <w:rPr>
          <w:rFonts w:hint="eastAsia" w:ascii="仿宋_GB2312" w:hAnsi="仿宋_GB2312" w:eastAsia="宋体" w:cs="仿宋_GB2312"/>
          <w:sz w:val="28"/>
          <w:szCs w:val="28"/>
        </w:rPr>
        <w:t>十二、国有资产占用情况说明</w:t>
      </w:r>
    </w:p>
    <w:p>
      <w:pPr>
        <w:pStyle w:val="11"/>
        <w:spacing w:line="500" w:lineRule="exact"/>
        <w:ind w:firstLine="700" w:firstLineChars="250"/>
        <w:rPr>
          <w:rFonts w:ascii="仿宋_GB2312" w:hAnsi="仿宋_GB2312" w:eastAsia="宋体" w:cs="仿宋_GB2312"/>
          <w:sz w:val="28"/>
          <w:szCs w:val="28"/>
        </w:rPr>
      </w:pPr>
      <w:r>
        <w:rPr>
          <w:rFonts w:hint="eastAsia" w:ascii="仿宋_GB2312" w:hAnsi="仿宋_GB2312" w:eastAsia="宋体" w:cs="仿宋_GB2312"/>
          <w:sz w:val="28"/>
          <w:szCs w:val="28"/>
        </w:rPr>
        <w:t>十三、</w:t>
      </w:r>
      <w:r>
        <w:rPr>
          <w:rFonts w:hint="eastAsia" w:ascii="宋体" w:hAnsi="宋体" w:eastAsia="宋体" w:cs="仿宋_GB2312"/>
          <w:sz w:val="28"/>
          <w:szCs w:val="28"/>
        </w:rPr>
        <w:t>2021年</w:t>
      </w:r>
      <w:r>
        <w:rPr>
          <w:rFonts w:hint="eastAsia" w:ascii="仿宋_GB2312" w:hAnsi="仿宋_GB2312" w:eastAsia="宋体" w:cs="仿宋_GB2312"/>
          <w:sz w:val="28"/>
          <w:szCs w:val="28"/>
        </w:rPr>
        <w:t>度预算绩效情况说明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1"/>
        <w:jc w:val="center"/>
        <w:rPr>
          <w:sz w:val="84"/>
          <w:szCs w:val="84"/>
        </w:rPr>
      </w:pPr>
      <w:r>
        <w:rPr>
          <w:rFonts w:hint="eastAsia"/>
          <w:sz w:val="84"/>
          <w:szCs w:val="84"/>
        </w:rPr>
        <w:t>第一部分</w:t>
      </w:r>
      <w:r>
        <w:rPr>
          <w:sz w:val="84"/>
          <w:szCs w:val="84"/>
        </w:rPr>
        <w:t xml:space="preserve"> </w:t>
      </w:r>
    </w:p>
    <w:p>
      <w:pPr>
        <w:pStyle w:val="11"/>
        <w:jc w:val="center"/>
        <w:rPr>
          <w:sz w:val="84"/>
          <w:szCs w:val="84"/>
        </w:rPr>
      </w:pPr>
    </w:p>
    <w:p>
      <w:pPr>
        <w:pStyle w:val="11"/>
        <w:jc w:val="center"/>
        <w:rPr>
          <w:sz w:val="84"/>
          <w:szCs w:val="84"/>
        </w:rPr>
      </w:pPr>
      <w:r>
        <w:rPr>
          <w:rFonts w:hint="eastAsia"/>
          <w:sz w:val="84"/>
          <w:szCs w:val="84"/>
        </w:rPr>
        <w:t>道县民政局单位概况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2"/>
        <w:ind w:left="720" w:firstLine="0" w:firstLineChars="0"/>
        <w:jc w:val="left"/>
        <w:rPr>
          <w:rFonts w:ascii="黑体" w:hAnsi="黑体" w:eastAsia="黑体"/>
          <w:sz w:val="32"/>
          <w:szCs w:val="32"/>
        </w:rPr>
      </w:pPr>
    </w:p>
    <w:p>
      <w:pPr>
        <w:pStyle w:val="12"/>
        <w:ind w:left="720" w:firstLine="0" w:firstLineChars="0"/>
        <w:jc w:val="left"/>
        <w:rPr>
          <w:rFonts w:ascii="黑体" w:hAnsi="黑体" w:eastAsia="黑体"/>
          <w:sz w:val="32"/>
          <w:szCs w:val="32"/>
        </w:rPr>
      </w:pPr>
    </w:p>
    <w:p>
      <w:pPr>
        <w:pStyle w:val="12"/>
        <w:ind w:left="720" w:firstLine="0" w:firstLineChars="0"/>
        <w:jc w:val="left"/>
        <w:rPr>
          <w:rFonts w:ascii="黑体" w:hAnsi="黑体" w:eastAsia="黑体"/>
          <w:sz w:val="32"/>
          <w:szCs w:val="32"/>
        </w:rPr>
      </w:pPr>
    </w:p>
    <w:p>
      <w:pPr>
        <w:pStyle w:val="12"/>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widowControl/>
        <w:spacing w:line="600" w:lineRule="exact"/>
        <w:ind w:firstLine="640" w:firstLineChars="200"/>
        <w:rPr>
          <w:rFonts w:hint="eastAsia" w:ascii="宋体" w:hAnsi="宋体"/>
          <w:sz w:val="32"/>
          <w:szCs w:val="32"/>
        </w:rPr>
      </w:pPr>
      <w:r>
        <w:rPr>
          <w:rFonts w:hint="eastAsia" w:ascii="宋体" w:hAnsi="宋体"/>
          <w:sz w:val="32"/>
          <w:szCs w:val="32"/>
        </w:rPr>
        <w:t>根据规定，本单位主要工作职责是：困难群众生活救助、基层政权和社区建设、社会事务管理工作，健全城乡社会救助体系，负责城乡居民最低生活保障、特困供养、临时救助、生活无着人员救助工作。</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ind w:firstLine="640" w:firstLineChars="200"/>
        <w:rPr>
          <w:rFonts w:hint="eastAsia" w:ascii="宋体" w:hAnsi="宋体"/>
          <w:bCs/>
          <w:kern w:val="0"/>
          <w:sz w:val="32"/>
          <w:szCs w:val="32"/>
        </w:rPr>
      </w:pPr>
      <w:r>
        <w:rPr>
          <w:rFonts w:hint="eastAsia" w:ascii="宋体" w:hAnsi="宋体"/>
          <w:bCs/>
          <w:kern w:val="0"/>
          <w:sz w:val="32"/>
          <w:szCs w:val="32"/>
        </w:rPr>
        <w:t>（一）内设机构设置。本单位为正科级单位，局机关内设办公室、政工人事股、行政审批股、规划财务股、社会组织管理股、社会救助股、养老服务股等11个股室，下设社会事务管理中心、社会福利院、救助站等机构。现有在职在编人员74人，其中行政编制23人，全额拨款事业编制37人，差额拨款事业编制14人；离退休人员51人。公务用车1辆。</w:t>
      </w:r>
    </w:p>
    <w:p>
      <w:pPr>
        <w:widowControl/>
        <w:spacing w:line="600" w:lineRule="exact"/>
        <w:ind w:firstLine="640" w:firstLineChars="200"/>
        <w:rPr>
          <w:rFonts w:ascii="宋体" w:hAnsi="宋体"/>
          <w:bCs/>
          <w:kern w:val="0"/>
          <w:sz w:val="32"/>
          <w:szCs w:val="32"/>
        </w:rPr>
      </w:pPr>
      <w:r>
        <w:rPr>
          <w:rFonts w:hint="eastAsia" w:ascii="宋体" w:hAnsi="宋体"/>
          <w:bCs/>
          <w:kern w:val="0"/>
          <w:sz w:val="32"/>
          <w:szCs w:val="32"/>
        </w:rPr>
        <w:t>（二）决算单位构成。道县民政局只有本级，没有其他二级预算单位，因此，纳入202</w:t>
      </w:r>
      <w:r>
        <w:rPr>
          <w:rFonts w:hint="eastAsia" w:ascii="宋体" w:hAnsi="宋体"/>
          <w:bCs/>
          <w:kern w:val="0"/>
          <w:sz w:val="32"/>
          <w:szCs w:val="32"/>
          <w:lang w:val="en-US" w:eastAsia="zh-CN"/>
        </w:rPr>
        <w:t>1</w:t>
      </w:r>
      <w:r>
        <w:rPr>
          <w:rFonts w:hint="eastAsia" w:ascii="宋体" w:hAnsi="宋体"/>
          <w:bCs/>
          <w:kern w:val="0"/>
          <w:sz w:val="32"/>
          <w:szCs w:val="32"/>
        </w:rPr>
        <w:t>年部门</w:t>
      </w:r>
      <w:r>
        <w:rPr>
          <w:rFonts w:hint="eastAsia" w:ascii="宋体" w:hAnsi="宋体"/>
          <w:bCs/>
          <w:kern w:val="0"/>
          <w:sz w:val="32"/>
          <w:szCs w:val="32"/>
          <w:lang w:val="en-US" w:eastAsia="zh-CN"/>
        </w:rPr>
        <w:t>决</w:t>
      </w:r>
      <w:r>
        <w:rPr>
          <w:rFonts w:hint="eastAsia" w:ascii="宋体" w:hAnsi="宋体"/>
          <w:bCs/>
          <w:kern w:val="0"/>
          <w:sz w:val="32"/>
          <w:szCs w:val="32"/>
        </w:rPr>
        <w:t>算编制范围的只有道县民政局本级。</w:t>
      </w:r>
    </w:p>
    <w:p>
      <w:pPr>
        <w:jc w:val="left"/>
        <w:rPr>
          <w:rFonts w:ascii="仿宋_GB2312" w:hAnsi="宋体" w:eastAsia="仿宋_GB2312"/>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宋体" w:hAnsi="宋体"/>
          <w:sz w:val="32"/>
          <w:szCs w:val="32"/>
        </w:rPr>
        <w:sectPr>
          <w:pgSz w:w="11906" w:h="16838"/>
          <w:pgMar w:top="720" w:right="720" w:bottom="720" w:left="720" w:header="851" w:footer="992" w:gutter="0"/>
          <w:cols w:space="720" w:num="1"/>
          <w:docGrid w:type="lines" w:linePitch="312" w:charSpace="0"/>
        </w:sectPr>
      </w:pPr>
    </w:p>
    <w:tbl>
      <w:tblPr>
        <w:tblStyle w:val="6"/>
        <w:tblW w:w="14081" w:type="dxa"/>
        <w:tblInd w:w="93"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val="en-US" w:eastAsia="zh-CN"/>
              </w:rPr>
              <w:t>道县民政局</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449"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1230"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845"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3633"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14,041.74</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3633" w:type="dxa"/>
            <w:gridSpan w:val="3"/>
            <w:tcBorders>
              <w:top w:val="nil"/>
              <w:left w:val="nil"/>
              <w:bottom w:val="single" w:color="auto" w:sz="4" w:space="0"/>
              <w:right w:val="single" w:color="auto" w:sz="4" w:space="0"/>
            </w:tcBorders>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212.68</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3633" w:type="dxa"/>
            <w:gridSpan w:val="3"/>
            <w:tcBorders>
              <w:top w:val="nil"/>
              <w:left w:val="nil"/>
              <w:bottom w:val="single" w:color="auto" w:sz="4" w:space="0"/>
              <w:right w:val="single" w:color="auto" w:sz="4" w:space="0"/>
            </w:tcBorders>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3633" w:type="dxa"/>
            <w:gridSpan w:val="3"/>
            <w:tcBorders>
              <w:top w:val="nil"/>
              <w:left w:val="nil"/>
              <w:bottom w:val="single" w:color="auto" w:sz="4" w:space="0"/>
              <w:right w:val="single" w:color="auto" w:sz="4" w:space="0"/>
            </w:tcBorders>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3633" w:type="dxa"/>
            <w:gridSpan w:val="3"/>
            <w:tcBorders>
              <w:top w:val="nil"/>
              <w:left w:val="nil"/>
              <w:bottom w:val="single" w:color="auto" w:sz="4" w:space="0"/>
              <w:right w:val="single" w:color="auto" w:sz="4" w:space="0"/>
            </w:tcBorders>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3633" w:type="dxa"/>
            <w:gridSpan w:val="3"/>
            <w:tcBorders>
              <w:top w:val="nil"/>
              <w:left w:val="nil"/>
              <w:bottom w:val="single" w:color="auto" w:sz="4" w:space="0"/>
              <w:right w:val="single" w:color="auto" w:sz="4" w:space="0"/>
            </w:tcBorders>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3633" w:type="dxa"/>
            <w:gridSpan w:val="3"/>
            <w:tcBorders>
              <w:top w:val="nil"/>
              <w:left w:val="nil"/>
              <w:bottom w:val="single" w:color="auto" w:sz="4" w:space="0"/>
              <w:right w:val="single" w:color="auto" w:sz="4" w:space="0"/>
            </w:tcBorders>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3633" w:type="dxa"/>
            <w:gridSpan w:val="3"/>
            <w:tcBorders>
              <w:top w:val="nil"/>
              <w:left w:val="nil"/>
              <w:bottom w:val="single" w:color="auto" w:sz="4" w:space="0"/>
              <w:right w:val="single" w:color="auto" w:sz="4" w:space="0"/>
            </w:tcBorders>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3633" w:type="dxa"/>
            <w:gridSpan w:val="3"/>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14,010.26</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九、卫生健康支出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3633" w:type="dxa"/>
            <w:gridSpan w:val="3"/>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31.48</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十、节能环保支出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3633" w:type="dxa"/>
            <w:gridSpan w:val="3"/>
            <w:tcBorders>
              <w:top w:val="nil"/>
              <w:left w:val="nil"/>
              <w:bottom w:val="single" w:color="auto" w:sz="4" w:space="0"/>
              <w:right w:val="single" w:color="auto" w:sz="4" w:space="0"/>
            </w:tcBorders>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十一、城乡社区支出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3633" w:type="dxa"/>
            <w:gridSpan w:val="3"/>
            <w:tcBorders>
              <w:top w:val="nil"/>
              <w:left w:val="nil"/>
              <w:bottom w:val="single" w:color="auto" w:sz="4" w:space="0"/>
              <w:right w:val="single" w:color="auto" w:sz="4" w:space="0"/>
            </w:tcBorders>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十二、农林水支出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3633" w:type="dxa"/>
            <w:gridSpan w:val="3"/>
            <w:tcBorders>
              <w:top w:val="nil"/>
              <w:left w:val="nil"/>
              <w:bottom w:val="single" w:color="auto" w:sz="4" w:space="0"/>
              <w:right w:val="single" w:color="auto" w:sz="4" w:space="0"/>
            </w:tcBorders>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十三、交通运输支出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3633" w:type="dxa"/>
            <w:gridSpan w:val="3"/>
            <w:tcBorders>
              <w:top w:val="nil"/>
              <w:left w:val="nil"/>
              <w:bottom w:val="single" w:color="auto" w:sz="4" w:space="0"/>
              <w:right w:val="single" w:color="auto" w:sz="4" w:space="0"/>
            </w:tcBorders>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3633" w:type="dxa"/>
            <w:gridSpan w:val="3"/>
            <w:tcBorders>
              <w:top w:val="nil"/>
              <w:left w:val="nil"/>
              <w:bottom w:val="single" w:color="auto" w:sz="4" w:space="0"/>
              <w:right w:val="single" w:color="auto" w:sz="4" w:space="0"/>
            </w:tcBorders>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3633" w:type="dxa"/>
            <w:gridSpan w:val="3"/>
            <w:tcBorders>
              <w:top w:val="nil"/>
              <w:left w:val="nil"/>
              <w:bottom w:val="single" w:color="auto" w:sz="4" w:space="0"/>
              <w:right w:val="single" w:color="auto" w:sz="4" w:space="0"/>
            </w:tcBorders>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十六、金融支出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3633" w:type="dxa"/>
            <w:gridSpan w:val="3"/>
            <w:tcBorders>
              <w:top w:val="nil"/>
              <w:left w:val="nil"/>
              <w:bottom w:val="single" w:color="auto" w:sz="4" w:space="0"/>
              <w:right w:val="single" w:color="auto" w:sz="4" w:space="0"/>
            </w:tcBorders>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3633" w:type="dxa"/>
            <w:gridSpan w:val="3"/>
            <w:tcBorders>
              <w:top w:val="nil"/>
              <w:left w:val="nil"/>
              <w:bottom w:val="single" w:color="auto" w:sz="4" w:space="0"/>
              <w:right w:val="single" w:color="auto" w:sz="4" w:space="0"/>
            </w:tcBorders>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3633" w:type="dxa"/>
            <w:gridSpan w:val="3"/>
            <w:tcBorders>
              <w:top w:val="nil"/>
              <w:left w:val="nil"/>
              <w:bottom w:val="single" w:color="auto" w:sz="4" w:space="0"/>
              <w:right w:val="single" w:color="auto" w:sz="4" w:space="0"/>
            </w:tcBorders>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十九、住房保障支出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3633" w:type="dxa"/>
            <w:gridSpan w:val="3"/>
            <w:tcBorders>
              <w:top w:val="nil"/>
              <w:left w:val="nil"/>
              <w:bottom w:val="single" w:color="auto" w:sz="4" w:space="0"/>
              <w:right w:val="single" w:color="auto" w:sz="4" w:space="0"/>
            </w:tcBorders>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3633" w:type="dxa"/>
            <w:gridSpan w:val="3"/>
            <w:tcBorders>
              <w:top w:val="nil"/>
              <w:left w:val="nil"/>
              <w:bottom w:val="single" w:color="auto" w:sz="4" w:space="0"/>
              <w:right w:val="single" w:color="auto" w:sz="4" w:space="0"/>
            </w:tcBorders>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3633" w:type="dxa"/>
            <w:gridSpan w:val="3"/>
            <w:tcBorders>
              <w:top w:val="nil"/>
              <w:left w:val="nil"/>
              <w:bottom w:val="single" w:color="auto" w:sz="4" w:space="0"/>
              <w:right w:val="single" w:color="auto" w:sz="4" w:space="0"/>
            </w:tcBorders>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3633" w:type="dxa"/>
            <w:gridSpan w:val="3"/>
            <w:tcBorders>
              <w:top w:val="nil"/>
              <w:left w:val="nil"/>
              <w:bottom w:val="single" w:color="auto" w:sz="4" w:space="0"/>
              <w:right w:val="single" w:color="auto" w:sz="4" w:space="0"/>
            </w:tcBorders>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二十三、其他支出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3633" w:type="dxa"/>
            <w:gridSpan w:val="3"/>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212.68</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3633" w:type="dxa"/>
            <w:gridSpan w:val="3"/>
            <w:tcBorders>
              <w:top w:val="nil"/>
              <w:left w:val="nil"/>
              <w:bottom w:val="single" w:color="auto" w:sz="4" w:space="0"/>
              <w:right w:val="single" w:color="auto" w:sz="4" w:space="0"/>
            </w:tcBorders>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3633" w:type="dxa"/>
            <w:gridSpan w:val="3"/>
            <w:tcBorders>
              <w:top w:val="nil"/>
              <w:left w:val="nil"/>
              <w:bottom w:val="single" w:color="auto" w:sz="4" w:space="0"/>
              <w:right w:val="single" w:color="auto" w:sz="4" w:space="0"/>
            </w:tcBorders>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3633" w:type="dxa"/>
            <w:gridSpan w:val="3"/>
            <w:tcBorders>
              <w:top w:val="nil"/>
              <w:left w:val="nil"/>
              <w:bottom w:val="single" w:color="auto" w:sz="4" w:space="0"/>
              <w:right w:val="single" w:color="auto" w:sz="4" w:space="0"/>
            </w:tcBorders>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14,254.42</w:t>
            </w: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3633" w:type="dxa"/>
            <w:gridSpan w:val="3"/>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14,254.42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结余分配</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3633" w:type="dxa"/>
            <w:gridSpan w:val="3"/>
            <w:tcBorders>
              <w:top w:val="nil"/>
              <w:left w:val="nil"/>
              <w:bottom w:val="single" w:color="auto" w:sz="4" w:space="0"/>
              <w:right w:val="single" w:color="auto" w:sz="4" w:space="0"/>
            </w:tcBorders>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3633" w:type="dxa"/>
            <w:gridSpan w:val="3"/>
            <w:tcBorders>
              <w:top w:val="nil"/>
              <w:left w:val="nil"/>
              <w:bottom w:val="single" w:color="auto" w:sz="4" w:space="0"/>
              <w:right w:val="single" w:color="auto" w:sz="4" w:space="0"/>
            </w:tcBorders>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3633" w:type="dxa"/>
            <w:gridSpan w:val="3"/>
            <w:tcBorders>
              <w:top w:val="nil"/>
              <w:left w:val="nil"/>
              <w:bottom w:val="single" w:color="auto" w:sz="4" w:space="0"/>
              <w:right w:val="single" w:color="auto" w:sz="4" w:space="0"/>
            </w:tcBorders>
            <w:noWrap/>
            <w:vAlign w:val="center"/>
          </w:tcPr>
          <w:p>
            <w:pPr>
              <w:jc w:val="lef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14,254.42</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3633" w:type="dxa"/>
            <w:gridSpan w:val="3"/>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14,254.42</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noWrap w:val="0"/>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注：1.本表反映部门本年度的总收支和年末结转结余情况。</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720" w:num="1"/>
          <w:docGrid w:type="linesAndChars" w:linePitch="312" w:charSpace="0"/>
        </w:sectPr>
      </w:pPr>
    </w:p>
    <w:tbl>
      <w:tblPr>
        <w:tblStyle w:val="6"/>
        <w:tblW w:w="15386" w:type="dxa"/>
        <w:tblInd w:w="0" w:type="dxa"/>
        <w:tblLayout w:type="autofit"/>
        <w:tblCellMar>
          <w:top w:w="0" w:type="dxa"/>
          <w:left w:w="0" w:type="dxa"/>
          <w:bottom w:w="0" w:type="dxa"/>
          <w:right w:w="0" w:type="dxa"/>
        </w:tblCellMar>
      </w:tblPr>
      <w:tblGrid>
        <w:gridCol w:w="1030"/>
        <w:gridCol w:w="74"/>
        <w:gridCol w:w="1879"/>
        <w:gridCol w:w="1671"/>
        <w:gridCol w:w="1671"/>
        <w:gridCol w:w="1671"/>
        <w:gridCol w:w="1671"/>
        <w:gridCol w:w="1671"/>
        <w:gridCol w:w="1671"/>
        <w:gridCol w:w="2377"/>
      </w:tblGrid>
      <w:tr>
        <w:tblPrEx>
          <w:tblCellMar>
            <w:top w:w="0" w:type="dxa"/>
            <w:left w:w="0" w:type="dxa"/>
            <w:bottom w:w="0" w:type="dxa"/>
            <w:right w:w="0" w:type="dxa"/>
          </w:tblCellMar>
        </w:tblPrEx>
        <w:trPr>
          <w:trHeight w:val="435" w:hRule="atLeast"/>
        </w:trPr>
        <w:tc>
          <w:tcPr>
            <w:tcW w:w="15386" w:type="dxa"/>
            <w:gridSpan w:val="10"/>
            <w:tcBorders>
              <w:top w:val="nil"/>
              <w:left w:val="nil"/>
              <w:bottom w:val="nil"/>
              <w:right w:val="nil"/>
            </w:tcBorders>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1030"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74"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879"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377"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2983" w:type="dxa"/>
            <w:gridSpan w:val="3"/>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color w:val="000000"/>
                <w:sz w:val="20"/>
                <w:szCs w:val="20"/>
              </w:rPr>
              <w:t>部门：</w:t>
            </w:r>
            <w:r>
              <w:rPr>
                <w:rFonts w:hint="eastAsia"/>
                <w:lang w:val="en-US" w:eastAsia="zh-CN"/>
              </w:rPr>
              <w:t>道县民政局</w:t>
            </w:r>
          </w:p>
        </w:tc>
        <w:tc>
          <w:tcPr>
            <w:tcW w:w="167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167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377"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noWrap w:val="0"/>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noWrap w:val="0"/>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671" w:type="dxa"/>
            <w:vMerge w:val="restart"/>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noWrap w:val="0"/>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noWrap w:val="0"/>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noWrap w:val="0"/>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noWrap w:val="0"/>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2377" w:type="dxa"/>
            <w:vMerge w:val="restart"/>
            <w:tcBorders>
              <w:top w:val="single" w:color="auto" w:sz="4" w:space="0"/>
              <w:left w:val="single" w:color="auto" w:sz="4" w:space="0"/>
              <w:bottom w:val="single" w:color="auto" w:sz="4" w:space="0"/>
              <w:right w:val="single" w:color="auto" w:sz="4" w:space="0"/>
            </w:tcBorders>
            <w:shd w:val="clear" w:color="000000" w:fill="FFFFFF"/>
            <w:noWrap w:val="0"/>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1104" w:type="dxa"/>
            <w:gridSpan w:val="2"/>
            <w:vMerge w:val="restart"/>
            <w:tcBorders>
              <w:top w:val="single" w:color="auto" w:sz="4" w:space="0"/>
              <w:left w:val="single" w:color="auto" w:sz="4" w:space="0"/>
              <w:bottom w:val="single" w:color="auto" w:sz="4" w:space="0"/>
              <w:right w:val="single" w:color="auto" w:sz="4" w:space="0"/>
            </w:tcBorders>
            <w:shd w:val="clear" w:color="000000" w:fill="FFFFFF"/>
            <w:noWrap w:val="0"/>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1879" w:type="dxa"/>
            <w:vMerge w:val="restart"/>
            <w:tcBorders>
              <w:top w:val="nil"/>
              <w:left w:val="single" w:color="auto" w:sz="4" w:space="0"/>
              <w:bottom w:val="single" w:color="auto" w:sz="4" w:space="0"/>
              <w:right w:val="single" w:color="auto" w:sz="4" w:space="0"/>
            </w:tcBorders>
            <w:shd w:val="clear" w:color="000000" w:fill="FFFFFF"/>
            <w:noWrap w:val="0"/>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1671"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宋体"/>
                <w:sz w:val="24"/>
                <w:szCs w:val="24"/>
              </w:rPr>
            </w:pPr>
          </w:p>
        </w:tc>
        <w:tc>
          <w:tcPr>
            <w:tcW w:w="237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10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宋体"/>
                <w:sz w:val="24"/>
                <w:szCs w:val="24"/>
              </w:rPr>
            </w:pPr>
          </w:p>
        </w:tc>
        <w:tc>
          <w:tcPr>
            <w:tcW w:w="1879" w:type="dxa"/>
            <w:vMerge w:val="continue"/>
            <w:tcBorders>
              <w:top w:val="nil"/>
              <w:left w:val="single" w:color="auto" w:sz="4" w:space="0"/>
              <w:bottom w:val="single" w:color="auto" w:sz="4" w:space="0"/>
              <w:right w:val="single" w:color="auto" w:sz="4" w:space="0"/>
            </w:tcBorders>
            <w:noWrap w:val="0"/>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宋体"/>
                <w:sz w:val="24"/>
                <w:szCs w:val="24"/>
              </w:rPr>
            </w:pPr>
          </w:p>
        </w:tc>
        <w:tc>
          <w:tcPr>
            <w:tcW w:w="1671"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宋体"/>
                <w:sz w:val="24"/>
                <w:szCs w:val="24"/>
              </w:rPr>
            </w:pPr>
          </w:p>
        </w:tc>
        <w:tc>
          <w:tcPr>
            <w:tcW w:w="237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4</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5</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6</w:t>
            </w:r>
          </w:p>
        </w:tc>
        <w:tc>
          <w:tcPr>
            <w:tcW w:w="2377"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7</w:t>
            </w: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14,254.42</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14,254.42</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208</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14,010.26</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14,010.26</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20802</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民政管理事务</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right"/>
              <w:textAlignment w:val="center"/>
              <w:rPr>
                <w:rFonts w:ascii="华文中宋" w:hAnsi="华文中宋" w:eastAsia="华文中宋" w:cs="宋体"/>
                <w:sz w:val="24"/>
                <w:szCs w:val="24"/>
              </w:rPr>
            </w:pPr>
            <w:r>
              <w:rPr>
                <w:rFonts w:hint="eastAsia" w:ascii="宋体" w:hAnsi="宋体" w:eastAsia="宋体" w:cs="宋体"/>
                <w:i w:val="0"/>
                <w:iCs w:val="0"/>
                <w:color w:val="000000"/>
                <w:kern w:val="0"/>
                <w:sz w:val="22"/>
                <w:szCs w:val="22"/>
                <w:u w:val="none"/>
                <w:lang w:val="en-US" w:eastAsia="zh-CN" w:bidi="ar"/>
              </w:rPr>
              <w:t>633.65</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633.65</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2080201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565.65</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565.65</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2080299</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其他民政管理事务支出</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68.00</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68.00</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20805</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62.96</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62.96</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2080505</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62.96</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62.96</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20808</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抚恤</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21.92</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21.92</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2080801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21.92</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21.92</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20810</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社会福利</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1,725.00</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1,725.00</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2081001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儿童福利</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940.00</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940.00</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2081002</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老年福利</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325.00</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325.00</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2081004</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殡葬</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116.00</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116.00</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2081005</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社会福利事业单位</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244.00</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244.00</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2081006</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养老服务</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100.00</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100.00</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20811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残疾人事业</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734.20</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734.20</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2081107</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残疾人生活和护理补贴</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734.20</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734.20</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20819</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最低生活保障</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5,545.00</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5,545.00</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2081901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城市最低生活保障金支出</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1,579.00</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1,579.00</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2081902</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农村最低生活保障金支出</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3,966.00</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3,966.00</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20820</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临时救助</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668.00</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668.00</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2082001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临时救助支出</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608.00</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608.00</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2082002</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流浪乞讨人员救助支出</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60.00</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60.00</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20821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特困人员救助供养</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4,558.00</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4,558.00</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2082101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城市特困人员救助供养支出</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144.00</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144.00</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2082102</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农村特困人员救助供养支出</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4,414.00</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4,414.00</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20825</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其他生活救助</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61.53</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61.53</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2082502</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其他农村生活救助</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61.53</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61.53</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卫生健康支出</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31.48</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31.48</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21011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行政事业单位医疗</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31.48</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31.48</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2101101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31.48</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31.48</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229</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其他支出</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212.68</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212.68</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22960</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彩票公益金安排的支出</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212.68</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212.68</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2296002</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 xml:space="preserve">  用于社会福利的彩票公益金支出</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212.68</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212.68</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615" w:hRule="atLeast"/>
        </w:trPr>
        <w:tc>
          <w:tcPr>
            <w:tcW w:w="15386" w:type="dxa"/>
            <w:gridSpan w:val="10"/>
            <w:tcBorders>
              <w:top w:val="nil"/>
              <w:left w:val="nil"/>
              <w:bottom w:val="nil"/>
              <w:right w:val="nil"/>
            </w:tcBorders>
            <w:noWrap w:val="0"/>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6"/>
        <w:tblW w:w="14111" w:type="dxa"/>
        <w:tblInd w:w="93" w:type="dxa"/>
        <w:tblLayout w:type="autofit"/>
        <w:tblCellMar>
          <w:top w:w="0" w:type="dxa"/>
          <w:left w:w="108" w:type="dxa"/>
          <w:bottom w:w="0" w:type="dxa"/>
          <w:right w:w="108" w:type="dxa"/>
        </w:tblCellMar>
      </w:tblPr>
      <w:tblGrid>
        <w:gridCol w:w="986"/>
        <w:gridCol w:w="822"/>
        <w:gridCol w:w="222"/>
        <w:gridCol w:w="1411"/>
        <w:gridCol w:w="1646"/>
        <w:gridCol w:w="1679"/>
        <w:gridCol w:w="1679"/>
        <w:gridCol w:w="1679"/>
        <w:gridCol w:w="1679"/>
        <w:gridCol w:w="2308"/>
      </w:tblGrid>
      <w:tr>
        <w:tblPrEx>
          <w:tblCellMar>
            <w:top w:w="0" w:type="dxa"/>
            <w:left w:w="108" w:type="dxa"/>
            <w:bottom w:w="0" w:type="dxa"/>
            <w:right w:w="108" w:type="dxa"/>
          </w:tblCellMar>
        </w:tblPrEx>
        <w:trPr>
          <w:trHeight w:val="435" w:hRule="atLeast"/>
        </w:trPr>
        <w:tc>
          <w:tcPr>
            <w:tcW w:w="14111" w:type="dxa"/>
            <w:gridSpan w:val="10"/>
            <w:tcBorders>
              <w:top w:val="nil"/>
              <w:left w:val="nil"/>
              <w:bottom w:val="nil"/>
              <w:right w:val="nil"/>
            </w:tcBorders>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285" w:hRule="atLeast"/>
        </w:trPr>
        <w:tc>
          <w:tcPr>
            <w:tcW w:w="1808"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285" w:hRule="atLeast"/>
        </w:trPr>
        <w:tc>
          <w:tcPr>
            <w:tcW w:w="1808" w:type="dxa"/>
            <w:gridSpan w:val="2"/>
            <w:tcBorders>
              <w:top w:val="nil"/>
              <w:left w:val="nil"/>
              <w:bottom w:val="nil"/>
              <w:right w:val="nil"/>
            </w:tcBorders>
            <w:shd w:val="clear" w:color="000000" w:fill="FFFFFF"/>
            <w:noWrap/>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w:t>
            </w:r>
            <w:r>
              <w:rPr>
                <w:rFonts w:hint="eastAsia" w:ascii="宋体" w:hAnsi="宋体" w:eastAsia="宋体" w:cs="宋体"/>
                <w:color w:val="000000"/>
                <w:kern w:val="0"/>
                <w:sz w:val="20"/>
                <w:szCs w:val="20"/>
                <w:lang w:val="en-US" w:eastAsia="zh-CN"/>
              </w:rPr>
              <w:t>道县民政局</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646" w:type="dxa"/>
            <w:vMerge w:val="restar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308" w:type="dxa"/>
            <w:vMerge w:val="restar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450" w:hRule="atLeast"/>
        </w:trPr>
        <w:tc>
          <w:tcPr>
            <w:tcW w:w="2030" w:type="dxa"/>
            <w:gridSpan w:val="3"/>
            <w:vMerge w:val="restar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411"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64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030"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4"/>
                <w:szCs w:val="24"/>
              </w:rPr>
            </w:pPr>
          </w:p>
        </w:tc>
        <w:tc>
          <w:tcPr>
            <w:tcW w:w="141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4"/>
                <w:szCs w:val="24"/>
              </w:rPr>
            </w:pPr>
          </w:p>
        </w:tc>
        <w:tc>
          <w:tcPr>
            <w:tcW w:w="164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64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w:t>
            </w:r>
          </w:p>
        </w:tc>
        <w:tc>
          <w:tcPr>
            <w:tcW w:w="2308"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646"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14,254.42</w:t>
            </w:r>
          </w:p>
        </w:tc>
        <w:tc>
          <w:tcPr>
            <w:tcW w:w="1679"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660.09</w:t>
            </w:r>
          </w:p>
        </w:tc>
        <w:tc>
          <w:tcPr>
            <w:tcW w:w="1679"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13,594.33</w:t>
            </w:r>
          </w:p>
        </w:tc>
        <w:tc>
          <w:tcPr>
            <w:tcW w:w="1679"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46"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14,010.26</w:t>
            </w:r>
          </w:p>
        </w:tc>
        <w:tc>
          <w:tcPr>
            <w:tcW w:w="1679"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628.61</w:t>
            </w:r>
          </w:p>
        </w:tc>
        <w:tc>
          <w:tcPr>
            <w:tcW w:w="1679"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13,381.65</w:t>
            </w:r>
          </w:p>
        </w:tc>
        <w:tc>
          <w:tcPr>
            <w:tcW w:w="1679"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20802</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民政管理事务</w:t>
            </w:r>
          </w:p>
        </w:tc>
        <w:tc>
          <w:tcPr>
            <w:tcW w:w="1646"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633.65</w:t>
            </w:r>
          </w:p>
        </w:tc>
        <w:tc>
          <w:tcPr>
            <w:tcW w:w="1679"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565.65</w:t>
            </w:r>
          </w:p>
        </w:tc>
        <w:tc>
          <w:tcPr>
            <w:tcW w:w="1679"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68.00</w:t>
            </w:r>
          </w:p>
        </w:tc>
        <w:tc>
          <w:tcPr>
            <w:tcW w:w="1679"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2080201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46"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565.65</w:t>
            </w:r>
          </w:p>
        </w:tc>
        <w:tc>
          <w:tcPr>
            <w:tcW w:w="1679"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565.65</w:t>
            </w:r>
          </w:p>
        </w:tc>
        <w:tc>
          <w:tcPr>
            <w:tcW w:w="1679"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2080299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其他民政管理事务支出</w:t>
            </w:r>
          </w:p>
        </w:tc>
        <w:tc>
          <w:tcPr>
            <w:tcW w:w="1646"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68.00</w:t>
            </w:r>
          </w:p>
        </w:tc>
        <w:tc>
          <w:tcPr>
            <w:tcW w:w="1679"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68.00</w:t>
            </w:r>
          </w:p>
        </w:tc>
        <w:tc>
          <w:tcPr>
            <w:tcW w:w="1679"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46"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62.96</w:t>
            </w:r>
          </w:p>
        </w:tc>
        <w:tc>
          <w:tcPr>
            <w:tcW w:w="1679"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62.96</w:t>
            </w:r>
          </w:p>
        </w:tc>
        <w:tc>
          <w:tcPr>
            <w:tcW w:w="1679"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2080505</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646"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62.96</w:t>
            </w:r>
          </w:p>
        </w:tc>
        <w:tc>
          <w:tcPr>
            <w:tcW w:w="1679"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62.96</w:t>
            </w:r>
          </w:p>
        </w:tc>
        <w:tc>
          <w:tcPr>
            <w:tcW w:w="1679"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20808</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抚恤</w:t>
            </w:r>
          </w:p>
        </w:tc>
        <w:tc>
          <w:tcPr>
            <w:tcW w:w="1646"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21.92</w:t>
            </w:r>
          </w:p>
        </w:tc>
        <w:tc>
          <w:tcPr>
            <w:tcW w:w="1679"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21.92</w:t>
            </w:r>
          </w:p>
        </w:tc>
        <w:tc>
          <w:tcPr>
            <w:tcW w:w="1679"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2080801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1646"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21.92</w:t>
            </w:r>
          </w:p>
        </w:tc>
        <w:tc>
          <w:tcPr>
            <w:tcW w:w="1679"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21.92</w:t>
            </w:r>
          </w:p>
        </w:tc>
        <w:tc>
          <w:tcPr>
            <w:tcW w:w="1679"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20810</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社会福利</w:t>
            </w:r>
          </w:p>
        </w:tc>
        <w:tc>
          <w:tcPr>
            <w:tcW w:w="1646"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1,725.00</w:t>
            </w:r>
          </w:p>
        </w:tc>
        <w:tc>
          <w:tcPr>
            <w:tcW w:w="1679"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1,725.00</w:t>
            </w:r>
          </w:p>
        </w:tc>
        <w:tc>
          <w:tcPr>
            <w:tcW w:w="1679"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2081001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儿童福利</w:t>
            </w:r>
          </w:p>
        </w:tc>
        <w:tc>
          <w:tcPr>
            <w:tcW w:w="1646"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940.00</w:t>
            </w:r>
          </w:p>
        </w:tc>
        <w:tc>
          <w:tcPr>
            <w:tcW w:w="1679"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940.00</w:t>
            </w:r>
          </w:p>
        </w:tc>
        <w:tc>
          <w:tcPr>
            <w:tcW w:w="1679"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2081002</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老年福利</w:t>
            </w:r>
          </w:p>
        </w:tc>
        <w:tc>
          <w:tcPr>
            <w:tcW w:w="1646"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325.00</w:t>
            </w:r>
          </w:p>
        </w:tc>
        <w:tc>
          <w:tcPr>
            <w:tcW w:w="1679"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325.00</w:t>
            </w:r>
          </w:p>
        </w:tc>
        <w:tc>
          <w:tcPr>
            <w:tcW w:w="1679"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2081004</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殡葬</w:t>
            </w:r>
          </w:p>
        </w:tc>
        <w:tc>
          <w:tcPr>
            <w:tcW w:w="1646"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116.00</w:t>
            </w:r>
          </w:p>
        </w:tc>
        <w:tc>
          <w:tcPr>
            <w:tcW w:w="1679"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116.00</w:t>
            </w:r>
          </w:p>
        </w:tc>
        <w:tc>
          <w:tcPr>
            <w:tcW w:w="1679"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2081005</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社会福利事业单位</w:t>
            </w:r>
          </w:p>
        </w:tc>
        <w:tc>
          <w:tcPr>
            <w:tcW w:w="1646"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244.00</w:t>
            </w:r>
          </w:p>
        </w:tc>
        <w:tc>
          <w:tcPr>
            <w:tcW w:w="1679"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244.00</w:t>
            </w:r>
          </w:p>
        </w:tc>
        <w:tc>
          <w:tcPr>
            <w:tcW w:w="1679"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2081006</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养老服务</w:t>
            </w:r>
          </w:p>
        </w:tc>
        <w:tc>
          <w:tcPr>
            <w:tcW w:w="1646"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100.00</w:t>
            </w:r>
          </w:p>
        </w:tc>
        <w:tc>
          <w:tcPr>
            <w:tcW w:w="1679"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100.00</w:t>
            </w:r>
          </w:p>
        </w:tc>
        <w:tc>
          <w:tcPr>
            <w:tcW w:w="1679"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20811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残疾人事业</w:t>
            </w:r>
          </w:p>
        </w:tc>
        <w:tc>
          <w:tcPr>
            <w:tcW w:w="1646"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734.20</w:t>
            </w:r>
          </w:p>
        </w:tc>
        <w:tc>
          <w:tcPr>
            <w:tcW w:w="1679"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734.20</w:t>
            </w:r>
          </w:p>
        </w:tc>
        <w:tc>
          <w:tcPr>
            <w:tcW w:w="1679"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2081107</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残疾人生活和护理补贴</w:t>
            </w:r>
          </w:p>
        </w:tc>
        <w:tc>
          <w:tcPr>
            <w:tcW w:w="1646"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734.20</w:t>
            </w:r>
          </w:p>
        </w:tc>
        <w:tc>
          <w:tcPr>
            <w:tcW w:w="1679"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734.20</w:t>
            </w:r>
          </w:p>
        </w:tc>
        <w:tc>
          <w:tcPr>
            <w:tcW w:w="1679"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20819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最低生活保障</w:t>
            </w:r>
          </w:p>
        </w:tc>
        <w:tc>
          <w:tcPr>
            <w:tcW w:w="1646"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5,545.00</w:t>
            </w:r>
          </w:p>
        </w:tc>
        <w:tc>
          <w:tcPr>
            <w:tcW w:w="1679"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5,545.00</w:t>
            </w:r>
          </w:p>
        </w:tc>
        <w:tc>
          <w:tcPr>
            <w:tcW w:w="1679"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2081901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城市最低生活保障金支出</w:t>
            </w:r>
          </w:p>
        </w:tc>
        <w:tc>
          <w:tcPr>
            <w:tcW w:w="1646"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1,579.00</w:t>
            </w:r>
          </w:p>
        </w:tc>
        <w:tc>
          <w:tcPr>
            <w:tcW w:w="1679"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1,579.00</w:t>
            </w:r>
          </w:p>
        </w:tc>
        <w:tc>
          <w:tcPr>
            <w:tcW w:w="1679"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2081902</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农村最低生活保障金支出</w:t>
            </w:r>
          </w:p>
        </w:tc>
        <w:tc>
          <w:tcPr>
            <w:tcW w:w="1646"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3,966.00</w:t>
            </w:r>
          </w:p>
        </w:tc>
        <w:tc>
          <w:tcPr>
            <w:tcW w:w="1679"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3,966.00</w:t>
            </w:r>
          </w:p>
        </w:tc>
        <w:tc>
          <w:tcPr>
            <w:tcW w:w="1679"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20820</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临时救助</w:t>
            </w:r>
          </w:p>
        </w:tc>
        <w:tc>
          <w:tcPr>
            <w:tcW w:w="1646"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668.00</w:t>
            </w:r>
          </w:p>
        </w:tc>
        <w:tc>
          <w:tcPr>
            <w:tcW w:w="1679"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668.00</w:t>
            </w:r>
          </w:p>
        </w:tc>
        <w:tc>
          <w:tcPr>
            <w:tcW w:w="1679"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2082001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临时救助支出</w:t>
            </w:r>
          </w:p>
        </w:tc>
        <w:tc>
          <w:tcPr>
            <w:tcW w:w="1646"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608.00</w:t>
            </w:r>
          </w:p>
        </w:tc>
        <w:tc>
          <w:tcPr>
            <w:tcW w:w="1679"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608.00</w:t>
            </w:r>
          </w:p>
        </w:tc>
        <w:tc>
          <w:tcPr>
            <w:tcW w:w="1679"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2082002</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流浪乞讨人员救助支出</w:t>
            </w:r>
          </w:p>
        </w:tc>
        <w:tc>
          <w:tcPr>
            <w:tcW w:w="1646"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60.00</w:t>
            </w:r>
          </w:p>
        </w:tc>
        <w:tc>
          <w:tcPr>
            <w:tcW w:w="1679"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60.00</w:t>
            </w:r>
          </w:p>
        </w:tc>
        <w:tc>
          <w:tcPr>
            <w:tcW w:w="1679"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20821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特困人员救助供养</w:t>
            </w:r>
          </w:p>
        </w:tc>
        <w:tc>
          <w:tcPr>
            <w:tcW w:w="1646"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4,558.00</w:t>
            </w:r>
          </w:p>
        </w:tc>
        <w:tc>
          <w:tcPr>
            <w:tcW w:w="1679"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4,558.00</w:t>
            </w:r>
          </w:p>
        </w:tc>
        <w:tc>
          <w:tcPr>
            <w:tcW w:w="1679"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2082101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城市特困人员救助供养支出</w:t>
            </w:r>
          </w:p>
        </w:tc>
        <w:tc>
          <w:tcPr>
            <w:tcW w:w="1646"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144.00</w:t>
            </w:r>
          </w:p>
        </w:tc>
        <w:tc>
          <w:tcPr>
            <w:tcW w:w="1679"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144.00</w:t>
            </w:r>
          </w:p>
        </w:tc>
        <w:tc>
          <w:tcPr>
            <w:tcW w:w="1679"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2082102</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农村特困人员救助供养支出</w:t>
            </w:r>
          </w:p>
        </w:tc>
        <w:tc>
          <w:tcPr>
            <w:tcW w:w="1646"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4,414.00</w:t>
            </w:r>
          </w:p>
        </w:tc>
        <w:tc>
          <w:tcPr>
            <w:tcW w:w="1679"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4,414.00</w:t>
            </w:r>
          </w:p>
        </w:tc>
        <w:tc>
          <w:tcPr>
            <w:tcW w:w="1679"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20825</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其他生活救助</w:t>
            </w:r>
          </w:p>
        </w:tc>
        <w:tc>
          <w:tcPr>
            <w:tcW w:w="1646"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61.53</w:t>
            </w:r>
          </w:p>
        </w:tc>
        <w:tc>
          <w:tcPr>
            <w:tcW w:w="1679"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61.53</w:t>
            </w:r>
          </w:p>
        </w:tc>
        <w:tc>
          <w:tcPr>
            <w:tcW w:w="1679"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2082502</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其他农村生活救助</w:t>
            </w:r>
          </w:p>
        </w:tc>
        <w:tc>
          <w:tcPr>
            <w:tcW w:w="1646"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61.53</w:t>
            </w:r>
          </w:p>
        </w:tc>
        <w:tc>
          <w:tcPr>
            <w:tcW w:w="1679"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61.53</w:t>
            </w:r>
          </w:p>
        </w:tc>
        <w:tc>
          <w:tcPr>
            <w:tcW w:w="1679"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卫生健康支出</w:t>
            </w:r>
          </w:p>
        </w:tc>
        <w:tc>
          <w:tcPr>
            <w:tcW w:w="1646"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31.48</w:t>
            </w:r>
          </w:p>
        </w:tc>
        <w:tc>
          <w:tcPr>
            <w:tcW w:w="1679"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31.48</w:t>
            </w:r>
          </w:p>
        </w:tc>
        <w:tc>
          <w:tcPr>
            <w:tcW w:w="1679"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21011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行政事业单位医疗</w:t>
            </w:r>
          </w:p>
        </w:tc>
        <w:tc>
          <w:tcPr>
            <w:tcW w:w="1646"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31.48</w:t>
            </w:r>
          </w:p>
        </w:tc>
        <w:tc>
          <w:tcPr>
            <w:tcW w:w="1679"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31.48</w:t>
            </w:r>
          </w:p>
        </w:tc>
        <w:tc>
          <w:tcPr>
            <w:tcW w:w="1679"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2101101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646"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31.48</w:t>
            </w:r>
          </w:p>
        </w:tc>
        <w:tc>
          <w:tcPr>
            <w:tcW w:w="1679"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31.48</w:t>
            </w:r>
          </w:p>
        </w:tc>
        <w:tc>
          <w:tcPr>
            <w:tcW w:w="1679"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其他支出</w:t>
            </w:r>
          </w:p>
        </w:tc>
        <w:tc>
          <w:tcPr>
            <w:tcW w:w="1646"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212.68</w:t>
            </w:r>
          </w:p>
        </w:tc>
        <w:tc>
          <w:tcPr>
            <w:tcW w:w="1679"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212.68</w:t>
            </w:r>
          </w:p>
        </w:tc>
        <w:tc>
          <w:tcPr>
            <w:tcW w:w="1679"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22960</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彩票公益金安排的支出</w:t>
            </w:r>
          </w:p>
        </w:tc>
        <w:tc>
          <w:tcPr>
            <w:tcW w:w="1646"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212.68</w:t>
            </w:r>
          </w:p>
        </w:tc>
        <w:tc>
          <w:tcPr>
            <w:tcW w:w="1679"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212.68</w:t>
            </w:r>
          </w:p>
        </w:tc>
        <w:tc>
          <w:tcPr>
            <w:tcW w:w="1679"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2296002</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用于社会福利的彩票公益金支出</w:t>
            </w:r>
          </w:p>
        </w:tc>
        <w:tc>
          <w:tcPr>
            <w:tcW w:w="1646"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212.68</w:t>
            </w:r>
          </w:p>
        </w:tc>
        <w:tc>
          <w:tcPr>
            <w:tcW w:w="1679"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212.68</w:t>
            </w:r>
          </w:p>
        </w:tc>
        <w:tc>
          <w:tcPr>
            <w:tcW w:w="1679"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630" w:hRule="atLeast"/>
        </w:trPr>
        <w:tc>
          <w:tcPr>
            <w:tcW w:w="14111" w:type="dxa"/>
            <w:gridSpan w:val="10"/>
            <w:tcBorders>
              <w:top w:val="nil"/>
              <w:left w:val="nil"/>
              <w:bottom w:val="nil"/>
              <w:right w:val="nil"/>
            </w:tcBorders>
            <w:noWrap w:val="0"/>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6"/>
        <w:tblW w:w="15521" w:type="dxa"/>
        <w:tblInd w:w="93" w:type="dxa"/>
        <w:tblLayout w:type="autofit"/>
        <w:tblCellMar>
          <w:top w:w="0" w:type="dxa"/>
          <w:left w:w="108" w:type="dxa"/>
          <w:bottom w:w="0" w:type="dxa"/>
          <w:right w:w="108" w:type="dxa"/>
        </w:tblCellMar>
      </w:tblPr>
      <w:tblGrid>
        <w:gridCol w:w="3563"/>
        <w:gridCol w:w="434"/>
        <w:gridCol w:w="1197"/>
        <w:gridCol w:w="491"/>
        <w:gridCol w:w="2890"/>
        <w:gridCol w:w="626"/>
        <w:gridCol w:w="433"/>
        <w:gridCol w:w="1560"/>
        <w:gridCol w:w="1383"/>
        <w:gridCol w:w="1383"/>
        <w:gridCol w:w="1561"/>
      </w:tblGrid>
      <w:tr>
        <w:tblPrEx>
          <w:tblCellMar>
            <w:top w:w="0" w:type="dxa"/>
            <w:left w:w="108" w:type="dxa"/>
            <w:bottom w:w="0" w:type="dxa"/>
            <w:right w:w="108" w:type="dxa"/>
          </w:tblCellMar>
        </w:tblPrEx>
        <w:trPr>
          <w:trHeight w:val="285" w:hRule="atLeast"/>
        </w:trPr>
        <w:tc>
          <w:tcPr>
            <w:tcW w:w="3595" w:type="dxa"/>
            <w:tcBorders>
              <w:top w:val="nil"/>
              <w:left w:val="nil"/>
              <w:bottom w:val="nil"/>
              <w:right w:val="nil"/>
            </w:tcBorders>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6" w:type="dxa"/>
            <w:tcBorders>
              <w:top w:val="nil"/>
              <w:left w:val="nil"/>
              <w:bottom w:val="nil"/>
              <w:right w:val="nil"/>
            </w:tcBorders>
            <w:noWrap/>
            <w:vAlign w:val="center"/>
          </w:tcPr>
          <w:p>
            <w:pPr>
              <w:widowControl/>
              <w:jc w:val="right"/>
              <w:rPr>
                <w:rFonts w:ascii="宋体" w:hAnsi="宋体" w:eastAsia="宋体" w:cs="宋体"/>
                <w:kern w:val="0"/>
                <w:sz w:val="24"/>
                <w:szCs w:val="24"/>
              </w:rPr>
            </w:pPr>
          </w:p>
        </w:tc>
        <w:tc>
          <w:tcPr>
            <w:tcW w:w="1574" w:type="dxa"/>
            <w:gridSpan w:val="2"/>
            <w:tcBorders>
              <w:top w:val="nil"/>
              <w:left w:val="nil"/>
              <w:bottom w:val="nil"/>
              <w:right w:val="nil"/>
            </w:tcBorders>
            <w:noWrap/>
            <w:vAlign w:val="center"/>
          </w:tcPr>
          <w:p>
            <w:pPr>
              <w:widowControl/>
              <w:jc w:val="right"/>
              <w:rPr>
                <w:rFonts w:ascii="宋体" w:hAnsi="宋体" w:eastAsia="宋体" w:cs="宋体"/>
                <w:kern w:val="0"/>
                <w:sz w:val="24"/>
                <w:szCs w:val="24"/>
              </w:rPr>
            </w:pPr>
          </w:p>
        </w:tc>
        <w:tc>
          <w:tcPr>
            <w:tcW w:w="3547" w:type="dxa"/>
            <w:gridSpan w:val="2"/>
            <w:tcBorders>
              <w:top w:val="nil"/>
              <w:left w:val="nil"/>
              <w:bottom w:val="nil"/>
              <w:right w:val="nil"/>
            </w:tcBorders>
            <w:noWrap/>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5" w:type="dxa"/>
            <w:tcBorders>
              <w:top w:val="nil"/>
              <w:left w:val="nil"/>
              <w:bottom w:val="nil"/>
              <w:right w:val="nil"/>
            </w:tcBorders>
            <w:shd w:val="clear" w:color="000000" w:fill="FFFFFF"/>
            <w:noWrap/>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val="en-US" w:eastAsia="zh-CN"/>
              </w:rPr>
              <w:t>道县民政局</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gridSpan w:val="2"/>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2"/>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436" w:type="dxa"/>
            <w:tcBorders>
              <w:top w:val="nil"/>
              <w:left w:val="nil"/>
              <w:bottom w:val="single" w:color="auto" w:sz="4" w:space="0"/>
              <w:right w:val="single" w:color="auto" w:sz="4" w:space="0"/>
            </w:tcBorders>
            <w:noWrap/>
            <w:vAlign w:val="center"/>
          </w:tcPr>
          <w:p>
            <w:pPr>
              <w:jc w:val="center"/>
              <w:rPr>
                <w:rFonts w:ascii="宋体" w:hAnsi="宋体" w:eastAsia="宋体" w:cs="宋体"/>
                <w:kern w:val="0"/>
                <w:sz w:val="24"/>
                <w:szCs w:val="24"/>
              </w:rPr>
            </w:pPr>
          </w:p>
        </w:tc>
        <w:tc>
          <w:tcPr>
            <w:tcW w:w="1078"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3411"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067" w:type="dxa"/>
            <w:gridSpan w:val="2"/>
            <w:tcBorders>
              <w:top w:val="nil"/>
              <w:left w:val="nil"/>
              <w:bottom w:val="single" w:color="auto" w:sz="4" w:space="0"/>
              <w:right w:val="single" w:color="auto" w:sz="4" w:space="0"/>
            </w:tcBorders>
            <w:noWrap/>
            <w:vAlign w:val="center"/>
          </w:tcPr>
          <w:p>
            <w:pPr>
              <w:jc w:val="center"/>
              <w:rPr>
                <w:rFonts w:ascii="宋体" w:hAnsi="宋体" w:eastAsia="宋体" w:cs="宋体"/>
                <w:kern w:val="0"/>
                <w:sz w:val="24"/>
                <w:szCs w:val="24"/>
              </w:rPr>
            </w:pPr>
          </w:p>
        </w:tc>
        <w:tc>
          <w:tcPr>
            <w:tcW w:w="1573"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1394"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394"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w:t>
            </w:r>
          </w:p>
        </w:tc>
        <w:tc>
          <w:tcPr>
            <w:tcW w:w="1573"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436"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078"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14,041.74</w:t>
            </w:r>
          </w:p>
        </w:tc>
        <w:tc>
          <w:tcPr>
            <w:tcW w:w="3411"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1067"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1573"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436"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078"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212.68</w:t>
            </w:r>
          </w:p>
        </w:tc>
        <w:tc>
          <w:tcPr>
            <w:tcW w:w="3411"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1067"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1573"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436"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078"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1067"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1573"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078"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1067"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1573"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078"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1067"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1573"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078"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1067"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1573"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078"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1067"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1573"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078"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1067"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1573"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14,010.26</w:t>
            </w:r>
          </w:p>
        </w:tc>
        <w:tc>
          <w:tcPr>
            <w:tcW w:w="1394"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14,010.26</w:t>
            </w:r>
          </w:p>
        </w:tc>
        <w:tc>
          <w:tcPr>
            <w:tcW w:w="1394"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078"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九、卫生健康支出</w:t>
            </w:r>
          </w:p>
        </w:tc>
        <w:tc>
          <w:tcPr>
            <w:tcW w:w="1067"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1573"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31.48</w:t>
            </w:r>
          </w:p>
        </w:tc>
        <w:tc>
          <w:tcPr>
            <w:tcW w:w="1394"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31.48</w:t>
            </w:r>
          </w:p>
        </w:tc>
        <w:tc>
          <w:tcPr>
            <w:tcW w:w="1394"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078"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十、节能环保支出</w:t>
            </w:r>
          </w:p>
        </w:tc>
        <w:tc>
          <w:tcPr>
            <w:tcW w:w="1067"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1573"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078"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十一、城乡社区支出</w:t>
            </w:r>
          </w:p>
        </w:tc>
        <w:tc>
          <w:tcPr>
            <w:tcW w:w="1067"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1573"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078"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十二、农林水支出</w:t>
            </w:r>
          </w:p>
        </w:tc>
        <w:tc>
          <w:tcPr>
            <w:tcW w:w="1067"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1573"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078"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十三、交通运输支出</w:t>
            </w:r>
          </w:p>
        </w:tc>
        <w:tc>
          <w:tcPr>
            <w:tcW w:w="1067"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1573"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078"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1067"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1573"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078"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1067"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1573"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078"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十六、金融支出</w:t>
            </w:r>
          </w:p>
        </w:tc>
        <w:tc>
          <w:tcPr>
            <w:tcW w:w="1067"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1573"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078"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1067"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1573"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078"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1067"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1573"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078"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十九、住房保障支出</w:t>
            </w:r>
          </w:p>
        </w:tc>
        <w:tc>
          <w:tcPr>
            <w:tcW w:w="1067"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1573"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078"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1067"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1573"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078"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1067"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1573"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078"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1067"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1573"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078"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二十三、其他支出</w:t>
            </w:r>
          </w:p>
        </w:tc>
        <w:tc>
          <w:tcPr>
            <w:tcW w:w="1067"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1573"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212.68</w:t>
            </w:r>
          </w:p>
        </w:tc>
        <w:tc>
          <w:tcPr>
            <w:tcW w:w="1394"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212.68</w:t>
            </w:r>
          </w:p>
        </w:tc>
        <w:tc>
          <w:tcPr>
            <w:tcW w:w="1573"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jc w:val="center"/>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24</w:t>
            </w:r>
          </w:p>
        </w:tc>
        <w:tc>
          <w:tcPr>
            <w:tcW w:w="1078"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1067"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1573"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25</w:t>
            </w:r>
          </w:p>
        </w:tc>
        <w:tc>
          <w:tcPr>
            <w:tcW w:w="1078"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1067"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1573"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26</w:t>
            </w:r>
          </w:p>
        </w:tc>
        <w:tc>
          <w:tcPr>
            <w:tcW w:w="1078"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1067"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1573"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36"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078"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14,254.42</w:t>
            </w:r>
          </w:p>
        </w:tc>
        <w:tc>
          <w:tcPr>
            <w:tcW w:w="3411"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本年支出合计</w:t>
            </w:r>
          </w:p>
        </w:tc>
        <w:tc>
          <w:tcPr>
            <w:tcW w:w="1067"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1573"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14,254.42</w:t>
            </w:r>
          </w:p>
        </w:tc>
        <w:tc>
          <w:tcPr>
            <w:tcW w:w="1394"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14,041.74</w:t>
            </w:r>
          </w:p>
        </w:tc>
        <w:tc>
          <w:tcPr>
            <w:tcW w:w="1394"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212.68</w:t>
            </w:r>
          </w:p>
        </w:tc>
        <w:tc>
          <w:tcPr>
            <w:tcW w:w="1573" w:type="dxa"/>
            <w:tcBorders>
              <w:top w:val="nil"/>
              <w:left w:val="nil"/>
              <w:bottom w:val="single" w:color="auto" w:sz="4" w:space="0"/>
              <w:right w:val="single" w:color="auto" w:sz="4" w:space="0"/>
            </w:tcBorders>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436"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078"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1067"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1573"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436"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078"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1573"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436"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078"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1573"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436"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078"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63</w:t>
            </w:r>
          </w:p>
        </w:tc>
        <w:tc>
          <w:tcPr>
            <w:tcW w:w="1573"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3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14,254.42</w:t>
            </w:r>
          </w:p>
        </w:tc>
        <w:tc>
          <w:tcPr>
            <w:tcW w:w="3411"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64</w:t>
            </w:r>
          </w:p>
        </w:tc>
        <w:tc>
          <w:tcPr>
            <w:tcW w:w="157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14,254.42</w:t>
            </w:r>
          </w:p>
        </w:tc>
        <w:tc>
          <w:tcPr>
            <w:tcW w:w="1394"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14,041.74</w:t>
            </w:r>
          </w:p>
        </w:tc>
        <w:tc>
          <w:tcPr>
            <w:tcW w:w="1394"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212.68</w:t>
            </w:r>
          </w:p>
        </w:tc>
        <w:tc>
          <w:tcPr>
            <w:tcW w:w="1573" w:type="dxa"/>
            <w:tcBorders>
              <w:top w:val="nil"/>
              <w:left w:val="nil"/>
              <w:bottom w:val="single" w:color="auto" w:sz="4" w:space="0"/>
              <w:right w:val="single" w:color="auto" w:sz="4" w:space="0"/>
            </w:tcBorders>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noWrap w:val="0"/>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156"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val="en-US" w:eastAsia="zh-CN"/>
        </w:rPr>
        <w:t>道县民政局</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6"/>
        <w:tblW w:w="14219" w:type="dxa"/>
        <w:jc w:val="center"/>
        <w:tblLayout w:type="autofit"/>
        <w:tblCellMar>
          <w:top w:w="0" w:type="dxa"/>
          <w:left w:w="108" w:type="dxa"/>
          <w:bottom w:w="0" w:type="dxa"/>
          <w:right w:w="108" w:type="dxa"/>
        </w:tblCellMar>
      </w:tblPr>
      <w:tblGrid>
        <w:gridCol w:w="986"/>
        <w:gridCol w:w="998"/>
        <w:gridCol w:w="3265"/>
        <w:gridCol w:w="2849"/>
        <w:gridCol w:w="3271"/>
        <w:gridCol w:w="2850"/>
      </w:tblGrid>
      <w:tr>
        <w:tblPrEx>
          <w:tblCellMar>
            <w:top w:w="0" w:type="dxa"/>
            <w:left w:w="108" w:type="dxa"/>
            <w:bottom w:w="0" w:type="dxa"/>
            <w:right w:w="108" w:type="dxa"/>
          </w:tblCellMar>
        </w:tblPrEx>
        <w:trPr>
          <w:trHeight w:val="405" w:hRule="atLeast"/>
          <w:jc w:val="center"/>
        </w:trPr>
        <w:tc>
          <w:tcPr>
            <w:tcW w:w="5249" w:type="dxa"/>
            <w:gridSpan w:val="3"/>
            <w:tcBorders>
              <w:top w:val="single" w:color="auto" w:sz="8" w:space="0"/>
              <w:left w:val="single" w:color="auto" w:sz="8"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8970" w:type="dxa"/>
            <w:gridSpan w:val="3"/>
            <w:tcBorders>
              <w:top w:val="single" w:color="auto" w:sz="8" w:space="0"/>
              <w:left w:val="nil"/>
              <w:bottom w:val="single" w:color="auto" w:sz="4" w:space="0"/>
              <w:right w:val="single" w:color="000000" w:sz="8" w:space="0"/>
            </w:tcBorders>
            <w:noWrap w:val="0"/>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984" w:type="dxa"/>
            <w:gridSpan w:val="2"/>
            <w:vMerge w:val="restart"/>
            <w:tcBorders>
              <w:top w:val="single" w:color="auto" w:sz="4" w:space="0"/>
              <w:left w:val="single" w:color="auto" w:sz="8"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265"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849"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271"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2850" w:type="dxa"/>
            <w:vMerge w:val="restart"/>
            <w:tcBorders>
              <w:top w:val="nil"/>
              <w:left w:val="single" w:color="auto" w:sz="4" w:space="0"/>
              <w:bottom w:val="single" w:color="000000" w:sz="4" w:space="0"/>
              <w:right w:val="single" w:color="auto" w:sz="8" w:space="0"/>
            </w:tcBorders>
            <w:noWrap w:val="0"/>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984" w:type="dxa"/>
            <w:gridSpan w:val="2"/>
            <w:vMerge w:val="continue"/>
            <w:tcBorders>
              <w:top w:val="single" w:color="auto" w:sz="4" w:space="0"/>
              <w:left w:val="single" w:color="auto" w:sz="8" w:space="0"/>
              <w:bottom w:val="single" w:color="auto" w:sz="4" w:space="0"/>
              <w:right w:val="single" w:color="auto" w:sz="4" w:space="0"/>
            </w:tcBorders>
            <w:noWrap w:val="0"/>
            <w:vAlign w:val="center"/>
          </w:tcPr>
          <w:p>
            <w:pPr>
              <w:widowControl/>
              <w:jc w:val="left"/>
              <w:rPr>
                <w:rFonts w:ascii="Times New Roman" w:hAnsi="Times New Roman" w:eastAsia="仿宋_GB2312" w:cs="Times New Roman"/>
                <w:kern w:val="0"/>
                <w:szCs w:val="21"/>
              </w:rPr>
            </w:pPr>
          </w:p>
        </w:tc>
        <w:tc>
          <w:tcPr>
            <w:tcW w:w="326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kern w:val="0"/>
                <w:szCs w:val="21"/>
              </w:rPr>
            </w:pPr>
          </w:p>
        </w:tc>
        <w:tc>
          <w:tcPr>
            <w:tcW w:w="284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仿宋_GB2312" w:cs="Times New Roman"/>
                <w:kern w:val="0"/>
                <w:szCs w:val="21"/>
              </w:rPr>
            </w:pPr>
          </w:p>
        </w:tc>
        <w:tc>
          <w:tcPr>
            <w:tcW w:w="327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仿宋_GB2312" w:cs="Times New Roman"/>
                <w:kern w:val="0"/>
                <w:szCs w:val="21"/>
              </w:rPr>
            </w:pPr>
          </w:p>
        </w:tc>
        <w:tc>
          <w:tcPr>
            <w:tcW w:w="2850" w:type="dxa"/>
            <w:vMerge w:val="continue"/>
            <w:tcBorders>
              <w:top w:val="nil"/>
              <w:left w:val="single" w:color="auto" w:sz="4" w:space="0"/>
              <w:bottom w:val="single" w:color="000000" w:sz="4" w:space="0"/>
              <w:right w:val="single" w:color="auto" w:sz="8" w:space="0"/>
            </w:tcBorders>
            <w:noWrap w:val="0"/>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984" w:type="dxa"/>
            <w:gridSpan w:val="2"/>
            <w:vMerge w:val="continue"/>
            <w:tcBorders>
              <w:top w:val="single" w:color="auto" w:sz="4" w:space="0"/>
              <w:left w:val="single" w:color="auto" w:sz="8" w:space="0"/>
              <w:bottom w:val="single" w:color="auto" w:sz="4" w:space="0"/>
              <w:right w:val="single" w:color="auto" w:sz="4" w:space="0"/>
            </w:tcBorders>
            <w:noWrap w:val="0"/>
            <w:vAlign w:val="center"/>
          </w:tcPr>
          <w:p>
            <w:pPr>
              <w:widowControl/>
              <w:jc w:val="left"/>
              <w:rPr>
                <w:rFonts w:ascii="Times New Roman" w:hAnsi="Times New Roman" w:eastAsia="仿宋_GB2312" w:cs="Times New Roman"/>
                <w:kern w:val="0"/>
                <w:szCs w:val="21"/>
              </w:rPr>
            </w:pPr>
          </w:p>
        </w:tc>
        <w:tc>
          <w:tcPr>
            <w:tcW w:w="326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kern w:val="0"/>
                <w:szCs w:val="21"/>
              </w:rPr>
            </w:pPr>
          </w:p>
        </w:tc>
        <w:tc>
          <w:tcPr>
            <w:tcW w:w="284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仿宋_GB2312" w:cs="Times New Roman"/>
                <w:kern w:val="0"/>
                <w:szCs w:val="21"/>
              </w:rPr>
            </w:pPr>
          </w:p>
        </w:tc>
        <w:tc>
          <w:tcPr>
            <w:tcW w:w="327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仿宋_GB2312" w:cs="Times New Roman"/>
                <w:kern w:val="0"/>
                <w:szCs w:val="21"/>
              </w:rPr>
            </w:pPr>
          </w:p>
        </w:tc>
        <w:tc>
          <w:tcPr>
            <w:tcW w:w="2850" w:type="dxa"/>
            <w:vMerge w:val="continue"/>
            <w:tcBorders>
              <w:top w:val="nil"/>
              <w:left w:val="single" w:color="auto" w:sz="4" w:space="0"/>
              <w:bottom w:val="single" w:color="000000" w:sz="4" w:space="0"/>
              <w:right w:val="single" w:color="auto" w:sz="8" w:space="0"/>
            </w:tcBorders>
            <w:noWrap w:val="0"/>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5249" w:type="dxa"/>
            <w:gridSpan w:val="3"/>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栏次</w:t>
            </w:r>
          </w:p>
        </w:tc>
        <w:tc>
          <w:tcPr>
            <w:tcW w:w="2849"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w:t>
            </w:r>
          </w:p>
        </w:tc>
        <w:tc>
          <w:tcPr>
            <w:tcW w:w="327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w:t>
            </w:r>
          </w:p>
        </w:tc>
        <w:tc>
          <w:tcPr>
            <w:tcW w:w="2850" w:type="dxa"/>
            <w:tcBorders>
              <w:top w:val="nil"/>
              <w:left w:val="nil"/>
              <w:bottom w:val="single" w:color="auto" w:sz="4" w:space="0"/>
              <w:right w:val="single" w:color="auto" w:sz="8"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w:t>
            </w:r>
          </w:p>
        </w:tc>
      </w:tr>
      <w:tr>
        <w:tblPrEx>
          <w:tblCellMar>
            <w:top w:w="0" w:type="dxa"/>
            <w:left w:w="108" w:type="dxa"/>
            <w:bottom w:w="0" w:type="dxa"/>
            <w:right w:w="108" w:type="dxa"/>
          </w:tblCellMar>
        </w:tblPrEx>
        <w:trPr>
          <w:trHeight w:val="450" w:hRule="atLeast"/>
          <w:jc w:val="center"/>
        </w:trPr>
        <w:tc>
          <w:tcPr>
            <w:tcW w:w="5249" w:type="dxa"/>
            <w:gridSpan w:val="3"/>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合计</w:t>
            </w:r>
          </w:p>
        </w:tc>
        <w:tc>
          <w:tcPr>
            <w:tcW w:w="2849"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14,041.74</w:t>
            </w:r>
          </w:p>
        </w:tc>
        <w:tc>
          <w:tcPr>
            <w:tcW w:w="3271"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660.09</w:t>
            </w:r>
          </w:p>
        </w:tc>
        <w:tc>
          <w:tcPr>
            <w:tcW w:w="2850" w:type="dxa"/>
            <w:tcBorders>
              <w:top w:val="nil"/>
              <w:left w:val="nil"/>
              <w:bottom w:val="single" w:color="auto" w:sz="4" w:space="0"/>
              <w:right w:val="single" w:color="auto" w:sz="8" w:space="0"/>
            </w:tcBorders>
            <w:noWrap w:val="0"/>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13,381.65</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w:t>
            </w:r>
          </w:p>
        </w:tc>
        <w:tc>
          <w:tcPr>
            <w:tcW w:w="426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849"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14,010.26</w:t>
            </w:r>
          </w:p>
        </w:tc>
        <w:tc>
          <w:tcPr>
            <w:tcW w:w="3271"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628.61</w:t>
            </w:r>
          </w:p>
        </w:tc>
        <w:tc>
          <w:tcPr>
            <w:tcW w:w="2850" w:type="dxa"/>
            <w:tcBorders>
              <w:top w:val="nil"/>
              <w:left w:val="nil"/>
              <w:bottom w:val="single" w:color="auto" w:sz="4" w:space="0"/>
              <w:right w:val="single" w:color="auto" w:sz="8" w:space="0"/>
            </w:tcBorders>
            <w:noWrap w:val="0"/>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13,381.65</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20802</w:t>
            </w:r>
          </w:p>
        </w:tc>
        <w:tc>
          <w:tcPr>
            <w:tcW w:w="426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民政管理事务</w:t>
            </w:r>
          </w:p>
        </w:tc>
        <w:tc>
          <w:tcPr>
            <w:tcW w:w="2849"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633.65</w:t>
            </w:r>
          </w:p>
        </w:tc>
        <w:tc>
          <w:tcPr>
            <w:tcW w:w="3271"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565.65</w:t>
            </w:r>
          </w:p>
        </w:tc>
        <w:tc>
          <w:tcPr>
            <w:tcW w:w="2850" w:type="dxa"/>
            <w:tcBorders>
              <w:top w:val="nil"/>
              <w:left w:val="nil"/>
              <w:bottom w:val="single" w:color="auto" w:sz="4" w:space="0"/>
              <w:right w:val="single" w:color="auto" w:sz="8" w:space="0"/>
            </w:tcBorders>
            <w:noWrap w:val="0"/>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68.00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2080201</w:t>
            </w:r>
          </w:p>
        </w:tc>
        <w:tc>
          <w:tcPr>
            <w:tcW w:w="426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849"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565.65</w:t>
            </w:r>
          </w:p>
        </w:tc>
        <w:tc>
          <w:tcPr>
            <w:tcW w:w="3271"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565.65</w:t>
            </w:r>
          </w:p>
        </w:tc>
        <w:tc>
          <w:tcPr>
            <w:tcW w:w="2850" w:type="dxa"/>
            <w:tcBorders>
              <w:top w:val="nil"/>
              <w:left w:val="nil"/>
              <w:bottom w:val="single" w:color="auto" w:sz="4" w:space="0"/>
              <w:right w:val="single" w:color="auto" w:sz="8" w:space="0"/>
            </w:tcBorders>
            <w:noWrap w:val="0"/>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2080299</w:t>
            </w:r>
          </w:p>
        </w:tc>
        <w:tc>
          <w:tcPr>
            <w:tcW w:w="426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其他民政管理事务支出</w:t>
            </w:r>
          </w:p>
        </w:tc>
        <w:tc>
          <w:tcPr>
            <w:tcW w:w="2849"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68.00</w:t>
            </w:r>
          </w:p>
        </w:tc>
        <w:tc>
          <w:tcPr>
            <w:tcW w:w="3271" w:type="dxa"/>
            <w:tcBorders>
              <w:top w:val="nil"/>
              <w:left w:val="nil"/>
              <w:bottom w:val="single" w:color="auto" w:sz="4" w:space="0"/>
              <w:right w:val="single" w:color="auto" w:sz="4" w:space="0"/>
            </w:tcBorders>
            <w:noWrap w:val="0"/>
            <w:vAlign w:val="center"/>
          </w:tcPr>
          <w:p>
            <w:pPr>
              <w:jc w:val="right"/>
              <w:rPr>
                <w:rFonts w:ascii="Times New Roman" w:hAnsi="Times New Roman" w:eastAsia="仿宋_GB2312" w:cs="Times New Roman"/>
                <w:kern w:val="0"/>
                <w:szCs w:val="21"/>
              </w:rPr>
            </w:pPr>
          </w:p>
        </w:tc>
        <w:tc>
          <w:tcPr>
            <w:tcW w:w="2850" w:type="dxa"/>
            <w:tcBorders>
              <w:top w:val="nil"/>
              <w:left w:val="nil"/>
              <w:bottom w:val="single" w:color="auto" w:sz="4" w:space="0"/>
              <w:right w:val="single" w:color="auto" w:sz="8" w:space="0"/>
            </w:tcBorders>
            <w:noWrap w:val="0"/>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68.00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w:t>
            </w:r>
          </w:p>
        </w:tc>
        <w:tc>
          <w:tcPr>
            <w:tcW w:w="426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2849"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62.96</w:t>
            </w:r>
          </w:p>
        </w:tc>
        <w:tc>
          <w:tcPr>
            <w:tcW w:w="3271"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62.96</w:t>
            </w:r>
          </w:p>
        </w:tc>
        <w:tc>
          <w:tcPr>
            <w:tcW w:w="2850" w:type="dxa"/>
            <w:tcBorders>
              <w:top w:val="nil"/>
              <w:left w:val="nil"/>
              <w:bottom w:val="single" w:color="auto" w:sz="4" w:space="0"/>
              <w:right w:val="single" w:color="auto" w:sz="8" w:space="0"/>
            </w:tcBorders>
            <w:noWrap w:val="0"/>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2080505</w:t>
            </w:r>
          </w:p>
        </w:tc>
        <w:tc>
          <w:tcPr>
            <w:tcW w:w="426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2849"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62.96</w:t>
            </w:r>
          </w:p>
        </w:tc>
        <w:tc>
          <w:tcPr>
            <w:tcW w:w="3271"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62.96</w:t>
            </w:r>
          </w:p>
        </w:tc>
        <w:tc>
          <w:tcPr>
            <w:tcW w:w="2850" w:type="dxa"/>
            <w:tcBorders>
              <w:top w:val="nil"/>
              <w:left w:val="nil"/>
              <w:bottom w:val="single" w:color="auto" w:sz="4" w:space="0"/>
              <w:right w:val="single" w:color="auto" w:sz="8" w:space="0"/>
            </w:tcBorders>
            <w:noWrap w:val="0"/>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20808</w:t>
            </w:r>
          </w:p>
        </w:tc>
        <w:tc>
          <w:tcPr>
            <w:tcW w:w="426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抚恤</w:t>
            </w:r>
          </w:p>
        </w:tc>
        <w:tc>
          <w:tcPr>
            <w:tcW w:w="2849"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21.92</w:t>
            </w:r>
          </w:p>
        </w:tc>
        <w:tc>
          <w:tcPr>
            <w:tcW w:w="3271" w:type="dxa"/>
            <w:tcBorders>
              <w:top w:val="nil"/>
              <w:left w:val="nil"/>
              <w:bottom w:val="single" w:color="auto" w:sz="4" w:space="0"/>
              <w:right w:val="single" w:color="auto" w:sz="4" w:space="0"/>
            </w:tcBorders>
            <w:noWrap w:val="0"/>
            <w:vAlign w:val="center"/>
          </w:tcPr>
          <w:p>
            <w:pPr>
              <w:jc w:val="right"/>
              <w:rPr>
                <w:rFonts w:ascii="Times New Roman" w:hAnsi="Times New Roman" w:eastAsia="仿宋_GB2312" w:cs="Times New Roman"/>
                <w:kern w:val="0"/>
                <w:szCs w:val="21"/>
              </w:rPr>
            </w:pPr>
          </w:p>
        </w:tc>
        <w:tc>
          <w:tcPr>
            <w:tcW w:w="2850" w:type="dxa"/>
            <w:tcBorders>
              <w:top w:val="nil"/>
              <w:left w:val="nil"/>
              <w:bottom w:val="single" w:color="auto" w:sz="4" w:space="0"/>
              <w:right w:val="single" w:color="auto" w:sz="8" w:space="0"/>
            </w:tcBorders>
            <w:noWrap w:val="0"/>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21.92</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2080801</w:t>
            </w:r>
          </w:p>
        </w:tc>
        <w:tc>
          <w:tcPr>
            <w:tcW w:w="426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2849"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21.92</w:t>
            </w:r>
          </w:p>
        </w:tc>
        <w:tc>
          <w:tcPr>
            <w:tcW w:w="3271" w:type="dxa"/>
            <w:tcBorders>
              <w:top w:val="nil"/>
              <w:left w:val="nil"/>
              <w:bottom w:val="single" w:color="auto" w:sz="4" w:space="0"/>
              <w:right w:val="single" w:color="auto" w:sz="4" w:space="0"/>
            </w:tcBorders>
            <w:noWrap w:val="0"/>
            <w:vAlign w:val="center"/>
          </w:tcPr>
          <w:p>
            <w:pPr>
              <w:jc w:val="right"/>
              <w:rPr>
                <w:rFonts w:ascii="Times New Roman" w:hAnsi="Times New Roman" w:eastAsia="仿宋_GB2312" w:cs="Times New Roman"/>
                <w:kern w:val="0"/>
                <w:szCs w:val="21"/>
              </w:rPr>
            </w:pPr>
          </w:p>
        </w:tc>
        <w:tc>
          <w:tcPr>
            <w:tcW w:w="2850" w:type="dxa"/>
            <w:tcBorders>
              <w:top w:val="nil"/>
              <w:left w:val="nil"/>
              <w:bottom w:val="single" w:color="auto" w:sz="4" w:space="0"/>
              <w:right w:val="single" w:color="auto" w:sz="8" w:space="0"/>
            </w:tcBorders>
            <w:noWrap w:val="0"/>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21.92</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20810</w:t>
            </w:r>
          </w:p>
        </w:tc>
        <w:tc>
          <w:tcPr>
            <w:tcW w:w="426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社会福利</w:t>
            </w:r>
          </w:p>
        </w:tc>
        <w:tc>
          <w:tcPr>
            <w:tcW w:w="2849"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1,725.00</w:t>
            </w:r>
          </w:p>
        </w:tc>
        <w:tc>
          <w:tcPr>
            <w:tcW w:w="3271" w:type="dxa"/>
            <w:tcBorders>
              <w:top w:val="nil"/>
              <w:left w:val="nil"/>
              <w:bottom w:val="single" w:color="auto" w:sz="4" w:space="0"/>
              <w:right w:val="single" w:color="auto" w:sz="4" w:space="0"/>
            </w:tcBorders>
            <w:noWrap w:val="0"/>
            <w:vAlign w:val="center"/>
          </w:tcPr>
          <w:p>
            <w:pPr>
              <w:jc w:val="right"/>
              <w:rPr>
                <w:rFonts w:ascii="Times New Roman" w:hAnsi="Times New Roman" w:eastAsia="仿宋_GB2312" w:cs="Times New Roman"/>
                <w:kern w:val="0"/>
                <w:szCs w:val="21"/>
              </w:rPr>
            </w:pPr>
          </w:p>
        </w:tc>
        <w:tc>
          <w:tcPr>
            <w:tcW w:w="2850" w:type="dxa"/>
            <w:tcBorders>
              <w:top w:val="nil"/>
              <w:left w:val="nil"/>
              <w:bottom w:val="single" w:color="auto" w:sz="4" w:space="0"/>
              <w:right w:val="single" w:color="auto" w:sz="8" w:space="0"/>
            </w:tcBorders>
            <w:noWrap w:val="0"/>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1,725.00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2081001</w:t>
            </w:r>
          </w:p>
        </w:tc>
        <w:tc>
          <w:tcPr>
            <w:tcW w:w="426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儿童福利</w:t>
            </w:r>
          </w:p>
        </w:tc>
        <w:tc>
          <w:tcPr>
            <w:tcW w:w="2849"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940.00</w:t>
            </w:r>
          </w:p>
        </w:tc>
        <w:tc>
          <w:tcPr>
            <w:tcW w:w="3271" w:type="dxa"/>
            <w:tcBorders>
              <w:top w:val="nil"/>
              <w:left w:val="nil"/>
              <w:bottom w:val="single" w:color="auto" w:sz="4" w:space="0"/>
              <w:right w:val="single" w:color="auto" w:sz="4" w:space="0"/>
            </w:tcBorders>
            <w:noWrap w:val="0"/>
            <w:vAlign w:val="center"/>
          </w:tcPr>
          <w:p>
            <w:pPr>
              <w:jc w:val="right"/>
              <w:rPr>
                <w:rFonts w:ascii="Times New Roman" w:hAnsi="Times New Roman" w:eastAsia="仿宋_GB2312" w:cs="Times New Roman"/>
                <w:kern w:val="0"/>
                <w:szCs w:val="21"/>
              </w:rPr>
            </w:pPr>
          </w:p>
        </w:tc>
        <w:tc>
          <w:tcPr>
            <w:tcW w:w="2850" w:type="dxa"/>
            <w:tcBorders>
              <w:top w:val="nil"/>
              <w:left w:val="nil"/>
              <w:bottom w:val="single" w:color="auto" w:sz="4" w:space="0"/>
              <w:right w:val="single" w:color="auto" w:sz="8" w:space="0"/>
            </w:tcBorders>
            <w:noWrap w:val="0"/>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940.00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2081002</w:t>
            </w:r>
          </w:p>
        </w:tc>
        <w:tc>
          <w:tcPr>
            <w:tcW w:w="426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老年福利</w:t>
            </w:r>
          </w:p>
        </w:tc>
        <w:tc>
          <w:tcPr>
            <w:tcW w:w="2849"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325.00</w:t>
            </w:r>
          </w:p>
        </w:tc>
        <w:tc>
          <w:tcPr>
            <w:tcW w:w="3271" w:type="dxa"/>
            <w:tcBorders>
              <w:top w:val="nil"/>
              <w:left w:val="nil"/>
              <w:bottom w:val="single" w:color="auto" w:sz="4" w:space="0"/>
              <w:right w:val="single" w:color="auto" w:sz="4" w:space="0"/>
            </w:tcBorders>
            <w:noWrap w:val="0"/>
            <w:vAlign w:val="center"/>
          </w:tcPr>
          <w:p>
            <w:pPr>
              <w:jc w:val="right"/>
              <w:rPr>
                <w:rFonts w:ascii="Times New Roman" w:hAnsi="Times New Roman" w:eastAsia="仿宋_GB2312" w:cs="Times New Roman"/>
                <w:kern w:val="0"/>
                <w:szCs w:val="21"/>
              </w:rPr>
            </w:pPr>
          </w:p>
        </w:tc>
        <w:tc>
          <w:tcPr>
            <w:tcW w:w="2850" w:type="dxa"/>
            <w:tcBorders>
              <w:top w:val="nil"/>
              <w:left w:val="nil"/>
              <w:bottom w:val="single" w:color="auto" w:sz="4" w:space="0"/>
              <w:right w:val="single" w:color="auto" w:sz="8" w:space="0"/>
            </w:tcBorders>
            <w:noWrap w:val="0"/>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325.00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2081004</w:t>
            </w:r>
          </w:p>
        </w:tc>
        <w:tc>
          <w:tcPr>
            <w:tcW w:w="426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殡葬</w:t>
            </w:r>
          </w:p>
        </w:tc>
        <w:tc>
          <w:tcPr>
            <w:tcW w:w="2849"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116.00</w:t>
            </w:r>
          </w:p>
        </w:tc>
        <w:tc>
          <w:tcPr>
            <w:tcW w:w="3271" w:type="dxa"/>
            <w:tcBorders>
              <w:top w:val="nil"/>
              <w:left w:val="nil"/>
              <w:bottom w:val="single" w:color="auto" w:sz="4" w:space="0"/>
              <w:right w:val="single" w:color="auto" w:sz="4" w:space="0"/>
            </w:tcBorders>
            <w:noWrap w:val="0"/>
            <w:vAlign w:val="center"/>
          </w:tcPr>
          <w:p>
            <w:pPr>
              <w:jc w:val="right"/>
              <w:rPr>
                <w:rFonts w:ascii="Times New Roman" w:hAnsi="Times New Roman" w:eastAsia="仿宋_GB2312" w:cs="Times New Roman"/>
                <w:kern w:val="0"/>
                <w:szCs w:val="21"/>
              </w:rPr>
            </w:pPr>
          </w:p>
        </w:tc>
        <w:tc>
          <w:tcPr>
            <w:tcW w:w="2850" w:type="dxa"/>
            <w:tcBorders>
              <w:top w:val="nil"/>
              <w:left w:val="nil"/>
              <w:bottom w:val="single" w:color="auto" w:sz="4" w:space="0"/>
              <w:right w:val="single" w:color="auto" w:sz="8" w:space="0"/>
            </w:tcBorders>
            <w:noWrap w:val="0"/>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116.00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2081005</w:t>
            </w:r>
          </w:p>
        </w:tc>
        <w:tc>
          <w:tcPr>
            <w:tcW w:w="426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社会福利事业单位</w:t>
            </w:r>
          </w:p>
        </w:tc>
        <w:tc>
          <w:tcPr>
            <w:tcW w:w="2849"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244.00</w:t>
            </w:r>
          </w:p>
        </w:tc>
        <w:tc>
          <w:tcPr>
            <w:tcW w:w="3271" w:type="dxa"/>
            <w:tcBorders>
              <w:top w:val="nil"/>
              <w:left w:val="nil"/>
              <w:bottom w:val="single" w:color="auto" w:sz="4" w:space="0"/>
              <w:right w:val="single" w:color="auto" w:sz="4" w:space="0"/>
            </w:tcBorders>
            <w:noWrap w:val="0"/>
            <w:vAlign w:val="center"/>
          </w:tcPr>
          <w:p>
            <w:pPr>
              <w:jc w:val="right"/>
              <w:rPr>
                <w:rFonts w:ascii="Times New Roman" w:hAnsi="Times New Roman" w:eastAsia="仿宋_GB2312" w:cs="Times New Roman"/>
                <w:kern w:val="0"/>
                <w:szCs w:val="21"/>
              </w:rPr>
            </w:pPr>
          </w:p>
        </w:tc>
        <w:tc>
          <w:tcPr>
            <w:tcW w:w="2850" w:type="dxa"/>
            <w:tcBorders>
              <w:top w:val="nil"/>
              <w:left w:val="nil"/>
              <w:bottom w:val="single" w:color="auto" w:sz="4" w:space="0"/>
              <w:right w:val="single" w:color="auto" w:sz="8" w:space="0"/>
            </w:tcBorders>
            <w:noWrap w:val="0"/>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244.00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2081006</w:t>
            </w:r>
          </w:p>
        </w:tc>
        <w:tc>
          <w:tcPr>
            <w:tcW w:w="426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养老服务</w:t>
            </w:r>
          </w:p>
        </w:tc>
        <w:tc>
          <w:tcPr>
            <w:tcW w:w="2849"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100.00</w:t>
            </w:r>
          </w:p>
        </w:tc>
        <w:tc>
          <w:tcPr>
            <w:tcW w:w="3271" w:type="dxa"/>
            <w:tcBorders>
              <w:top w:val="nil"/>
              <w:left w:val="nil"/>
              <w:bottom w:val="single" w:color="auto" w:sz="4" w:space="0"/>
              <w:right w:val="single" w:color="auto" w:sz="4" w:space="0"/>
            </w:tcBorders>
            <w:noWrap w:val="0"/>
            <w:vAlign w:val="center"/>
          </w:tcPr>
          <w:p>
            <w:pPr>
              <w:jc w:val="right"/>
              <w:rPr>
                <w:rFonts w:ascii="Times New Roman" w:hAnsi="Times New Roman" w:eastAsia="仿宋_GB2312" w:cs="Times New Roman"/>
                <w:kern w:val="0"/>
                <w:szCs w:val="21"/>
              </w:rPr>
            </w:pPr>
          </w:p>
        </w:tc>
        <w:tc>
          <w:tcPr>
            <w:tcW w:w="2850" w:type="dxa"/>
            <w:tcBorders>
              <w:top w:val="nil"/>
              <w:left w:val="nil"/>
              <w:bottom w:val="single" w:color="auto" w:sz="4" w:space="0"/>
              <w:right w:val="single" w:color="auto" w:sz="8" w:space="0"/>
            </w:tcBorders>
            <w:noWrap w:val="0"/>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100.00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20811</w:t>
            </w:r>
          </w:p>
        </w:tc>
        <w:tc>
          <w:tcPr>
            <w:tcW w:w="426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残疾人事业</w:t>
            </w:r>
          </w:p>
        </w:tc>
        <w:tc>
          <w:tcPr>
            <w:tcW w:w="2849"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734.20</w:t>
            </w:r>
          </w:p>
        </w:tc>
        <w:tc>
          <w:tcPr>
            <w:tcW w:w="3271" w:type="dxa"/>
            <w:tcBorders>
              <w:top w:val="nil"/>
              <w:left w:val="nil"/>
              <w:bottom w:val="single" w:color="auto" w:sz="4" w:space="0"/>
              <w:right w:val="single" w:color="auto" w:sz="4" w:space="0"/>
            </w:tcBorders>
            <w:noWrap w:val="0"/>
            <w:vAlign w:val="center"/>
          </w:tcPr>
          <w:p>
            <w:pPr>
              <w:jc w:val="right"/>
              <w:rPr>
                <w:rFonts w:ascii="Times New Roman" w:hAnsi="Times New Roman" w:eastAsia="仿宋_GB2312" w:cs="Times New Roman"/>
                <w:kern w:val="0"/>
                <w:szCs w:val="21"/>
              </w:rPr>
            </w:pPr>
          </w:p>
        </w:tc>
        <w:tc>
          <w:tcPr>
            <w:tcW w:w="2850" w:type="dxa"/>
            <w:tcBorders>
              <w:top w:val="nil"/>
              <w:left w:val="nil"/>
              <w:bottom w:val="single" w:color="auto" w:sz="4" w:space="0"/>
              <w:right w:val="single" w:color="auto" w:sz="8" w:space="0"/>
            </w:tcBorders>
            <w:noWrap w:val="0"/>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734.20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2081107</w:t>
            </w:r>
          </w:p>
        </w:tc>
        <w:tc>
          <w:tcPr>
            <w:tcW w:w="426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残疾人生活和护理补贴</w:t>
            </w:r>
          </w:p>
        </w:tc>
        <w:tc>
          <w:tcPr>
            <w:tcW w:w="2849"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734.20</w:t>
            </w:r>
          </w:p>
        </w:tc>
        <w:tc>
          <w:tcPr>
            <w:tcW w:w="3271" w:type="dxa"/>
            <w:tcBorders>
              <w:top w:val="nil"/>
              <w:left w:val="nil"/>
              <w:bottom w:val="single" w:color="auto" w:sz="4" w:space="0"/>
              <w:right w:val="single" w:color="auto" w:sz="4" w:space="0"/>
            </w:tcBorders>
            <w:noWrap w:val="0"/>
            <w:vAlign w:val="center"/>
          </w:tcPr>
          <w:p>
            <w:pPr>
              <w:jc w:val="right"/>
              <w:rPr>
                <w:rFonts w:ascii="Times New Roman" w:hAnsi="Times New Roman" w:eastAsia="仿宋_GB2312" w:cs="Times New Roman"/>
                <w:kern w:val="0"/>
                <w:szCs w:val="21"/>
              </w:rPr>
            </w:pPr>
          </w:p>
        </w:tc>
        <w:tc>
          <w:tcPr>
            <w:tcW w:w="2850" w:type="dxa"/>
            <w:tcBorders>
              <w:top w:val="nil"/>
              <w:left w:val="nil"/>
              <w:bottom w:val="single" w:color="auto" w:sz="4" w:space="0"/>
              <w:right w:val="single" w:color="auto" w:sz="8" w:space="0"/>
            </w:tcBorders>
            <w:noWrap w:val="0"/>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734.20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20819</w:t>
            </w:r>
          </w:p>
        </w:tc>
        <w:tc>
          <w:tcPr>
            <w:tcW w:w="426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最低生活保障</w:t>
            </w:r>
          </w:p>
        </w:tc>
        <w:tc>
          <w:tcPr>
            <w:tcW w:w="2849"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5,545.00</w:t>
            </w:r>
          </w:p>
        </w:tc>
        <w:tc>
          <w:tcPr>
            <w:tcW w:w="3271" w:type="dxa"/>
            <w:tcBorders>
              <w:top w:val="nil"/>
              <w:left w:val="nil"/>
              <w:bottom w:val="single" w:color="auto" w:sz="4" w:space="0"/>
              <w:right w:val="single" w:color="auto" w:sz="4" w:space="0"/>
            </w:tcBorders>
            <w:noWrap w:val="0"/>
            <w:vAlign w:val="center"/>
          </w:tcPr>
          <w:p>
            <w:pPr>
              <w:jc w:val="right"/>
              <w:rPr>
                <w:rFonts w:ascii="Times New Roman" w:hAnsi="Times New Roman" w:eastAsia="仿宋_GB2312" w:cs="Times New Roman"/>
                <w:kern w:val="0"/>
                <w:szCs w:val="21"/>
              </w:rPr>
            </w:pPr>
          </w:p>
        </w:tc>
        <w:tc>
          <w:tcPr>
            <w:tcW w:w="2850" w:type="dxa"/>
            <w:tcBorders>
              <w:top w:val="nil"/>
              <w:left w:val="nil"/>
              <w:bottom w:val="single" w:color="auto" w:sz="4" w:space="0"/>
              <w:right w:val="single" w:color="auto" w:sz="8" w:space="0"/>
            </w:tcBorders>
            <w:noWrap w:val="0"/>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5,545.00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2081901</w:t>
            </w:r>
          </w:p>
        </w:tc>
        <w:tc>
          <w:tcPr>
            <w:tcW w:w="426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城市最低生活保障金支出</w:t>
            </w:r>
          </w:p>
        </w:tc>
        <w:tc>
          <w:tcPr>
            <w:tcW w:w="2849"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1,579.00</w:t>
            </w:r>
          </w:p>
        </w:tc>
        <w:tc>
          <w:tcPr>
            <w:tcW w:w="3271" w:type="dxa"/>
            <w:tcBorders>
              <w:top w:val="nil"/>
              <w:left w:val="nil"/>
              <w:bottom w:val="single" w:color="auto" w:sz="4" w:space="0"/>
              <w:right w:val="single" w:color="auto" w:sz="4" w:space="0"/>
            </w:tcBorders>
            <w:noWrap w:val="0"/>
            <w:vAlign w:val="center"/>
          </w:tcPr>
          <w:p>
            <w:pPr>
              <w:jc w:val="right"/>
              <w:rPr>
                <w:rFonts w:ascii="Times New Roman" w:hAnsi="Times New Roman" w:eastAsia="仿宋_GB2312" w:cs="Times New Roman"/>
                <w:kern w:val="0"/>
                <w:szCs w:val="21"/>
              </w:rPr>
            </w:pPr>
          </w:p>
        </w:tc>
        <w:tc>
          <w:tcPr>
            <w:tcW w:w="2850" w:type="dxa"/>
            <w:tcBorders>
              <w:top w:val="nil"/>
              <w:left w:val="nil"/>
              <w:bottom w:val="single" w:color="auto" w:sz="4" w:space="0"/>
              <w:right w:val="single" w:color="auto" w:sz="8" w:space="0"/>
            </w:tcBorders>
            <w:noWrap w:val="0"/>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1,579.00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2081902</w:t>
            </w:r>
          </w:p>
        </w:tc>
        <w:tc>
          <w:tcPr>
            <w:tcW w:w="426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农村最低生活保障金支出</w:t>
            </w:r>
          </w:p>
        </w:tc>
        <w:tc>
          <w:tcPr>
            <w:tcW w:w="2849"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3,966.00</w:t>
            </w:r>
          </w:p>
        </w:tc>
        <w:tc>
          <w:tcPr>
            <w:tcW w:w="3271" w:type="dxa"/>
            <w:tcBorders>
              <w:top w:val="nil"/>
              <w:left w:val="nil"/>
              <w:bottom w:val="single" w:color="auto" w:sz="4" w:space="0"/>
              <w:right w:val="single" w:color="auto" w:sz="4" w:space="0"/>
            </w:tcBorders>
            <w:noWrap w:val="0"/>
            <w:vAlign w:val="center"/>
          </w:tcPr>
          <w:p>
            <w:pPr>
              <w:jc w:val="right"/>
              <w:rPr>
                <w:rFonts w:ascii="Times New Roman" w:hAnsi="Times New Roman" w:eastAsia="仿宋_GB2312" w:cs="Times New Roman"/>
                <w:kern w:val="0"/>
                <w:szCs w:val="21"/>
              </w:rPr>
            </w:pPr>
          </w:p>
        </w:tc>
        <w:tc>
          <w:tcPr>
            <w:tcW w:w="2850" w:type="dxa"/>
            <w:tcBorders>
              <w:top w:val="nil"/>
              <w:left w:val="nil"/>
              <w:bottom w:val="single" w:color="auto" w:sz="4" w:space="0"/>
              <w:right w:val="single" w:color="auto" w:sz="8" w:space="0"/>
            </w:tcBorders>
            <w:noWrap w:val="0"/>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3,966.00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20820</w:t>
            </w:r>
          </w:p>
        </w:tc>
        <w:tc>
          <w:tcPr>
            <w:tcW w:w="426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临时救助</w:t>
            </w:r>
          </w:p>
        </w:tc>
        <w:tc>
          <w:tcPr>
            <w:tcW w:w="2849"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668.00</w:t>
            </w:r>
          </w:p>
        </w:tc>
        <w:tc>
          <w:tcPr>
            <w:tcW w:w="3271" w:type="dxa"/>
            <w:tcBorders>
              <w:top w:val="nil"/>
              <w:left w:val="nil"/>
              <w:bottom w:val="single" w:color="auto" w:sz="4" w:space="0"/>
              <w:right w:val="single" w:color="auto" w:sz="4" w:space="0"/>
            </w:tcBorders>
            <w:noWrap w:val="0"/>
            <w:vAlign w:val="center"/>
          </w:tcPr>
          <w:p>
            <w:pPr>
              <w:jc w:val="right"/>
              <w:rPr>
                <w:rFonts w:ascii="Times New Roman" w:hAnsi="Times New Roman" w:eastAsia="仿宋_GB2312" w:cs="Times New Roman"/>
                <w:kern w:val="0"/>
                <w:szCs w:val="21"/>
              </w:rPr>
            </w:pPr>
          </w:p>
        </w:tc>
        <w:tc>
          <w:tcPr>
            <w:tcW w:w="2850" w:type="dxa"/>
            <w:tcBorders>
              <w:top w:val="nil"/>
              <w:left w:val="nil"/>
              <w:bottom w:val="single" w:color="auto" w:sz="4" w:space="0"/>
              <w:right w:val="single" w:color="auto" w:sz="8" w:space="0"/>
            </w:tcBorders>
            <w:noWrap w:val="0"/>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668.00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2082001</w:t>
            </w:r>
          </w:p>
        </w:tc>
        <w:tc>
          <w:tcPr>
            <w:tcW w:w="426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临时救助支出</w:t>
            </w:r>
          </w:p>
        </w:tc>
        <w:tc>
          <w:tcPr>
            <w:tcW w:w="2849"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608.00</w:t>
            </w:r>
          </w:p>
        </w:tc>
        <w:tc>
          <w:tcPr>
            <w:tcW w:w="3271" w:type="dxa"/>
            <w:tcBorders>
              <w:top w:val="nil"/>
              <w:left w:val="nil"/>
              <w:bottom w:val="single" w:color="auto" w:sz="4" w:space="0"/>
              <w:right w:val="single" w:color="auto" w:sz="4" w:space="0"/>
            </w:tcBorders>
            <w:noWrap w:val="0"/>
            <w:vAlign w:val="center"/>
          </w:tcPr>
          <w:p>
            <w:pPr>
              <w:jc w:val="right"/>
              <w:rPr>
                <w:rFonts w:ascii="Times New Roman" w:hAnsi="Times New Roman" w:eastAsia="仿宋_GB2312" w:cs="Times New Roman"/>
                <w:kern w:val="0"/>
                <w:szCs w:val="21"/>
              </w:rPr>
            </w:pPr>
          </w:p>
        </w:tc>
        <w:tc>
          <w:tcPr>
            <w:tcW w:w="2850" w:type="dxa"/>
            <w:tcBorders>
              <w:top w:val="nil"/>
              <w:left w:val="nil"/>
              <w:bottom w:val="single" w:color="auto" w:sz="4" w:space="0"/>
              <w:right w:val="single" w:color="auto" w:sz="8" w:space="0"/>
            </w:tcBorders>
            <w:noWrap w:val="0"/>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608.00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2082002</w:t>
            </w:r>
          </w:p>
        </w:tc>
        <w:tc>
          <w:tcPr>
            <w:tcW w:w="426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流浪乞讨人员救助支出</w:t>
            </w:r>
          </w:p>
        </w:tc>
        <w:tc>
          <w:tcPr>
            <w:tcW w:w="2849"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60.00</w:t>
            </w:r>
          </w:p>
        </w:tc>
        <w:tc>
          <w:tcPr>
            <w:tcW w:w="3271" w:type="dxa"/>
            <w:tcBorders>
              <w:top w:val="nil"/>
              <w:left w:val="nil"/>
              <w:bottom w:val="single" w:color="auto" w:sz="4" w:space="0"/>
              <w:right w:val="single" w:color="auto" w:sz="4" w:space="0"/>
            </w:tcBorders>
            <w:noWrap w:val="0"/>
            <w:vAlign w:val="center"/>
          </w:tcPr>
          <w:p>
            <w:pPr>
              <w:jc w:val="right"/>
              <w:rPr>
                <w:rFonts w:ascii="Times New Roman" w:hAnsi="Times New Roman" w:eastAsia="仿宋_GB2312" w:cs="Times New Roman"/>
                <w:kern w:val="0"/>
                <w:szCs w:val="21"/>
              </w:rPr>
            </w:pPr>
          </w:p>
        </w:tc>
        <w:tc>
          <w:tcPr>
            <w:tcW w:w="2850" w:type="dxa"/>
            <w:tcBorders>
              <w:top w:val="nil"/>
              <w:left w:val="nil"/>
              <w:bottom w:val="single" w:color="auto" w:sz="4" w:space="0"/>
              <w:right w:val="single" w:color="auto" w:sz="8" w:space="0"/>
            </w:tcBorders>
            <w:noWrap w:val="0"/>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60.00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20821</w:t>
            </w:r>
          </w:p>
        </w:tc>
        <w:tc>
          <w:tcPr>
            <w:tcW w:w="426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特困人员救助供养</w:t>
            </w:r>
          </w:p>
        </w:tc>
        <w:tc>
          <w:tcPr>
            <w:tcW w:w="2849"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4,558.00</w:t>
            </w:r>
          </w:p>
        </w:tc>
        <w:tc>
          <w:tcPr>
            <w:tcW w:w="3271" w:type="dxa"/>
            <w:tcBorders>
              <w:top w:val="nil"/>
              <w:left w:val="nil"/>
              <w:bottom w:val="single" w:color="auto" w:sz="4" w:space="0"/>
              <w:right w:val="single" w:color="auto" w:sz="4" w:space="0"/>
            </w:tcBorders>
            <w:noWrap w:val="0"/>
            <w:vAlign w:val="center"/>
          </w:tcPr>
          <w:p>
            <w:pPr>
              <w:jc w:val="right"/>
              <w:rPr>
                <w:rFonts w:ascii="Times New Roman" w:hAnsi="Times New Roman" w:eastAsia="仿宋_GB2312" w:cs="Times New Roman"/>
                <w:kern w:val="0"/>
                <w:szCs w:val="21"/>
              </w:rPr>
            </w:pPr>
          </w:p>
        </w:tc>
        <w:tc>
          <w:tcPr>
            <w:tcW w:w="2850" w:type="dxa"/>
            <w:tcBorders>
              <w:top w:val="nil"/>
              <w:left w:val="nil"/>
              <w:bottom w:val="single" w:color="auto" w:sz="4" w:space="0"/>
              <w:right w:val="single" w:color="auto" w:sz="8" w:space="0"/>
            </w:tcBorders>
            <w:noWrap w:val="0"/>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4,558.00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2082101</w:t>
            </w:r>
          </w:p>
        </w:tc>
        <w:tc>
          <w:tcPr>
            <w:tcW w:w="426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城市特困人员救助供养支出</w:t>
            </w:r>
          </w:p>
        </w:tc>
        <w:tc>
          <w:tcPr>
            <w:tcW w:w="2849"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144.00</w:t>
            </w:r>
          </w:p>
        </w:tc>
        <w:tc>
          <w:tcPr>
            <w:tcW w:w="3271" w:type="dxa"/>
            <w:tcBorders>
              <w:top w:val="nil"/>
              <w:left w:val="nil"/>
              <w:bottom w:val="single" w:color="auto" w:sz="4" w:space="0"/>
              <w:right w:val="single" w:color="auto" w:sz="4" w:space="0"/>
            </w:tcBorders>
            <w:noWrap w:val="0"/>
            <w:vAlign w:val="center"/>
          </w:tcPr>
          <w:p>
            <w:pPr>
              <w:jc w:val="right"/>
              <w:rPr>
                <w:rFonts w:ascii="Times New Roman" w:hAnsi="Times New Roman" w:eastAsia="仿宋_GB2312" w:cs="Times New Roman"/>
                <w:kern w:val="0"/>
                <w:szCs w:val="21"/>
              </w:rPr>
            </w:pPr>
          </w:p>
        </w:tc>
        <w:tc>
          <w:tcPr>
            <w:tcW w:w="2850" w:type="dxa"/>
            <w:tcBorders>
              <w:top w:val="nil"/>
              <w:left w:val="nil"/>
              <w:bottom w:val="single" w:color="auto" w:sz="4" w:space="0"/>
              <w:right w:val="single" w:color="auto" w:sz="8" w:space="0"/>
            </w:tcBorders>
            <w:noWrap w:val="0"/>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144.00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2082102</w:t>
            </w:r>
          </w:p>
        </w:tc>
        <w:tc>
          <w:tcPr>
            <w:tcW w:w="426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农村特困人员救助供养支出</w:t>
            </w:r>
          </w:p>
        </w:tc>
        <w:tc>
          <w:tcPr>
            <w:tcW w:w="2849"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4,414.00</w:t>
            </w:r>
          </w:p>
        </w:tc>
        <w:tc>
          <w:tcPr>
            <w:tcW w:w="3271" w:type="dxa"/>
            <w:tcBorders>
              <w:top w:val="nil"/>
              <w:left w:val="nil"/>
              <w:bottom w:val="single" w:color="auto" w:sz="4" w:space="0"/>
              <w:right w:val="single" w:color="auto" w:sz="4" w:space="0"/>
            </w:tcBorders>
            <w:noWrap w:val="0"/>
            <w:vAlign w:val="center"/>
          </w:tcPr>
          <w:p>
            <w:pPr>
              <w:jc w:val="right"/>
              <w:rPr>
                <w:rFonts w:ascii="Times New Roman" w:hAnsi="Times New Roman" w:eastAsia="仿宋_GB2312" w:cs="Times New Roman"/>
                <w:kern w:val="0"/>
                <w:szCs w:val="21"/>
              </w:rPr>
            </w:pPr>
          </w:p>
        </w:tc>
        <w:tc>
          <w:tcPr>
            <w:tcW w:w="2850" w:type="dxa"/>
            <w:tcBorders>
              <w:top w:val="nil"/>
              <w:left w:val="nil"/>
              <w:bottom w:val="single" w:color="auto" w:sz="4" w:space="0"/>
              <w:right w:val="single" w:color="auto" w:sz="8" w:space="0"/>
            </w:tcBorders>
            <w:noWrap w:val="0"/>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4,414.00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20825</w:t>
            </w:r>
          </w:p>
        </w:tc>
        <w:tc>
          <w:tcPr>
            <w:tcW w:w="426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其他生活救助</w:t>
            </w:r>
          </w:p>
        </w:tc>
        <w:tc>
          <w:tcPr>
            <w:tcW w:w="2849"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61.53</w:t>
            </w:r>
          </w:p>
        </w:tc>
        <w:tc>
          <w:tcPr>
            <w:tcW w:w="3271" w:type="dxa"/>
            <w:tcBorders>
              <w:top w:val="nil"/>
              <w:left w:val="nil"/>
              <w:bottom w:val="single" w:color="auto" w:sz="4" w:space="0"/>
              <w:right w:val="single" w:color="auto" w:sz="4" w:space="0"/>
            </w:tcBorders>
            <w:noWrap w:val="0"/>
            <w:vAlign w:val="center"/>
          </w:tcPr>
          <w:p>
            <w:pPr>
              <w:jc w:val="right"/>
              <w:rPr>
                <w:rFonts w:ascii="Times New Roman" w:hAnsi="Times New Roman" w:eastAsia="仿宋_GB2312" w:cs="Times New Roman"/>
                <w:kern w:val="0"/>
                <w:szCs w:val="21"/>
              </w:rPr>
            </w:pPr>
          </w:p>
        </w:tc>
        <w:tc>
          <w:tcPr>
            <w:tcW w:w="2850" w:type="dxa"/>
            <w:tcBorders>
              <w:top w:val="nil"/>
              <w:left w:val="nil"/>
              <w:bottom w:val="single" w:color="auto" w:sz="4" w:space="0"/>
              <w:right w:val="single" w:color="auto" w:sz="8" w:space="0"/>
            </w:tcBorders>
            <w:noWrap w:val="0"/>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61.53</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2082502</w:t>
            </w:r>
          </w:p>
        </w:tc>
        <w:tc>
          <w:tcPr>
            <w:tcW w:w="426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其他农村生活救助</w:t>
            </w:r>
          </w:p>
        </w:tc>
        <w:tc>
          <w:tcPr>
            <w:tcW w:w="2849"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61.53</w:t>
            </w:r>
          </w:p>
        </w:tc>
        <w:tc>
          <w:tcPr>
            <w:tcW w:w="3271" w:type="dxa"/>
            <w:tcBorders>
              <w:top w:val="nil"/>
              <w:left w:val="nil"/>
              <w:bottom w:val="single" w:color="auto" w:sz="4" w:space="0"/>
              <w:right w:val="single" w:color="auto" w:sz="4" w:space="0"/>
            </w:tcBorders>
            <w:noWrap w:val="0"/>
            <w:vAlign w:val="center"/>
          </w:tcPr>
          <w:p>
            <w:pPr>
              <w:jc w:val="right"/>
              <w:rPr>
                <w:rFonts w:ascii="Times New Roman" w:hAnsi="Times New Roman" w:eastAsia="仿宋_GB2312" w:cs="Times New Roman"/>
                <w:kern w:val="0"/>
                <w:szCs w:val="21"/>
              </w:rPr>
            </w:pPr>
          </w:p>
        </w:tc>
        <w:tc>
          <w:tcPr>
            <w:tcW w:w="2850" w:type="dxa"/>
            <w:tcBorders>
              <w:top w:val="nil"/>
              <w:left w:val="nil"/>
              <w:bottom w:val="single" w:color="auto" w:sz="4" w:space="0"/>
              <w:right w:val="single" w:color="auto" w:sz="8" w:space="0"/>
            </w:tcBorders>
            <w:noWrap w:val="0"/>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61.53</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w:t>
            </w:r>
          </w:p>
        </w:tc>
        <w:tc>
          <w:tcPr>
            <w:tcW w:w="426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卫生健康支出</w:t>
            </w:r>
          </w:p>
        </w:tc>
        <w:tc>
          <w:tcPr>
            <w:tcW w:w="2849"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31.48</w:t>
            </w:r>
          </w:p>
        </w:tc>
        <w:tc>
          <w:tcPr>
            <w:tcW w:w="3271"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31.48</w:t>
            </w:r>
          </w:p>
        </w:tc>
        <w:tc>
          <w:tcPr>
            <w:tcW w:w="2850" w:type="dxa"/>
            <w:tcBorders>
              <w:top w:val="nil"/>
              <w:left w:val="nil"/>
              <w:bottom w:val="single" w:color="auto" w:sz="4" w:space="0"/>
              <w:right w:val="single" w:color="auto" w:sz="8" w:space="0"/>
            </w:tcBorders>
            <w:noWrap w:val="0"/>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21011</w:t>
            </w:r>
          </w:p>
        </w:tc>
        <w:tc>
          <w:tcPr>
            <w:tcW w:w="426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行政事业单位医疗</w:t>
            </w:r>
          </w:p>
        </w:tc>
        <w:tc>
          <w:tcPr>
            <w:tcW w:w="2849"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31.48</w:t>
            </w:r>
          </w:p>
        </w:tc>
        <w:tc>
          <w:tcPr>
            <w:tcW w:w="3271"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31.48</w:t>
            </w:r>
          </w:p>
        </w:tc>
        <w:tc>
          <w:tcPr>
            <w:tcW w:w="2850" w:type="dxa"/>
            <w:tcBorders>
              <w:top w:val="nil"/>
              <w:left w:val="nil"/>
              <w:bottom w:val="single" w:color="auto" w:sz="4" w:space="0"/>
              <w:right w:val="single" w:color="auto" w:sz="8" w:space="0"/>
            </w:tcBorders>
            <w:noWrap w:val="0"/>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2101101</w:t>
            </w:r>
          </w:p>
        </w:tc>
        <w:tc>
          <w:tcPr>
            <w:tcW w:w="426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2849"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31.48</w:t>
            </w:r>
          </w:p>
        </w:tc>
        <w:tc>
          <w:tcPr>
            <w:tcW w:w="3271"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31.48</w:t>
            </w:r>
          </w:p>
        </w:tc>
        <w:tc>
          <w:tcPr>
            <w:tcW w:w="2850" w:type="dxa"/>
            <w:tcBorders>
              <w:top w:val="nil"/>
              <w:left w:val="nil"/>
              <w:bottom w:val="single" w:color="auto" w:sz="4" w:space="0"/>
              <w:right w:val="single" w:color="auto" w:sz="8" w:space="0"/>
            </w:tcBorders>
            <w:noWrap w:val="0"/>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645" w:hRule="atLeast"/>
          <w:jc w:val="center"/>
        </w:trPr>
        <w:tc>
          <w:tcPr>
            <w:tcW w:w="14219" w:type="dxa"/>
            <w:gridSpan w:val="6"/>
            <w:tcBorders>
              <w:top w:val="nil"/>
              <w:left w:val="nil"/>
              <w:bottom w:val="nil"/>
              <w:right w:val="nil"/>
            </w:tcBorders>
            <w:noWrap w:val="0"/>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6"/>
        <w:tblW w:w="0" w:type="auto"/>
        <w:tblInd w:w="0" w:type="dxa"/>
        <w:tblLayout w:type="fixed"/>
        <w:tblCellMar>
          <w:top w:w="0" w:type="dxa"/>
          <w:left w:w="108" w:type="dxa"/>
          <w:bottom w:w="0" w:type="dxa"/>
          <w:right w:w="108" w:type="dxa"/>
        </w:tblCellMar>
      </w:tblPr>
      <w:tblGrid>
        <w:gridCol w:w="1283"/>
        <w:gridCol w:w="3215"/>
        <w:gridCol w:w="873"/>
        <w:gridCol w:w="1174"/>
        <w:gridCol w:w="2216"/>
        <w:gridCol w:w="934"/>
        <w:gridCol w:w="1086"/>
        <w:gridCol w:w="4016"/>
        <w:gridCol w:w="873"/>
      </w:tblGrid>
      <w:tr>
        <w:tblPrEx>
          <w:tblCellMar>
            <w:top w:w="0" w:type="dxa"/>
            <w:left w:w="108" w:type="dxa"/>
            <w:bottom w:w="0" w:type="dxa"/>
            <w:right w:w="108" w:type="dxa"/>
          </w:tblCellMar>
        </w:tblPrEx>
        <w:trPr>
          <w:trHeight w:val="113" w:hRule="atLeast"/>
        </w:trPr>
        <w:tc>
          <w:tcPr>
            <w:tcW w:w="15614" w:type="dxa"/>
            <w:gridSpan w:val="9"/>
            <w:tcBorders>
              <w:top w:val="nil"/>
              <w:left w:val="nil"/>
              <w:bottom w:val="nil"/>
              <w:right w:val="nil"/>
            </w:tcBorders>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一般公共预算财政拨款基本支出决算明细表</w:t>
            </w:r>
            <w:bookmarkEnd w:id="2"/>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val="en-US" w:eastAsia="zh-CN"/>
              </w:rPr>
              <w:t>道县民政局</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28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21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87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117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2207"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934"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108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3999"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87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283"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w:t>
            </w:r>
          </w:p>
        </w:tc>
        <w:tc>
          <w:tcPr>
            <w:tcW w:w="3215"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工资福利支出</w:t>
            </w:r>
          </w:p>
        </w:tc>
        <w:tc>
          <w:tcPr>
            <w:tcW w:w="84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555.81</w:t>
            </w:r>
          </w:p>
        </w:tc>
        <w:tc>
          <w:tcPr>
            <w:tcW w:w="1174"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w:t>
            </w:r>
          </w:p>
        </w:tc>
        <w:tc>
          <w:tcPr>
            <w:tcW w:w="221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商品和服务支出</w:t>
            </w:r>
          </w:p>
        </w:tc>
        <w:tc>
          <w:tcPr>
            <w:tcW w:w="934"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104.28</w:t>
            </w:r>
          </w:p>
        </w:tc>
        <w:tc>
          <w:tcPr>
            <w:tcW w:w="108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w:t>
            </w:r>
          </w:p>
        </w:tc>
        <w:tc>
          <w:tcPr>
            <w:tcW w:w="401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845" w:type="dxa"/>
            <w:tcBorders>
              <w:top w:val="nil"/>
              <w:left w:val="nil"/>
              <w:bottom w:val="single" w:color="auto" w:sz="4" w:space="0"/>
              <w:right w:val="single" w:color="auto" w:sz="4" w:space="0"/>
            </w:tcBorders>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283"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30101</w:t>
            </w:r>
          </w:p>
        </w:tc>
        <w:tc>
          <w:tcPr>
            <w:tcW w:w="3215"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84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226.56</w:t>
            </w:r>
          </w:p>
        </w:tc>
        <w:tc>
          <w:tcPr>
            <w:tcW w:w="1174"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30201</w:t>
            </w:r>
          </w:p>
        </w:tc>
        <w:tc>
          <w:tcPr>
            <w:tcW w:w="221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934"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5.28</w:t>
            </w:r>
          </w:p>
        </w:tc>
        <w:tc>
          <w:tcPr>
            <w:tcW w:w="108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30701</w:t>
            </w:r>
          </w:p>
        </w:tc>
        <w:tc>
          <w:tcPr>
            <w:tcW w:w="401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845" w:type="dxa"/>
            <w:tcBorders>
              <w:top w:val="nil"/>
              <w:left w:val="nil"/>
              <w:bottom w:val="single" w:color="auto" w:sz="4" w:space="0"/>
              <w:right w:val="single" w:color="auto" w:sz="4" w:space="0"/>
            </w:tcBorders>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283"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30102</w:t>
            </w:r>
          </w:p>
        </w:tc>
        <w:tc>
          <w:tcPr>
            <w:tcW w:w="3215"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84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131.98</w:t>
            </w:r>
          </w:p>
        </w:tc>
        <w:tc>
          <w:tcPr>
            <w:tcW w:w="1174"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30202</w:t>
            </w:r>
          </w:p>
        </w:tc>
        <w:tc>
          <w:tcPr>
            <w:tcW w:w="221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934"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4.60</w:t>
            </w:r>
          </w:p>
        </w:tc>
        <w:tc>
          <w:tcPr>
            <w:tcW w:w="108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30702</w:t>
            </w:r>
          </w:p>
        </w:tc>
        <w:tc>
          <w:tcPr>
            <w:tcW w:w="401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845" w:type="dxa"/>
            <w:tcBorders>
              <w:top w:val="nil"/>
              <w:left w:val="nil"/>
              <w:bottom w:val="single" w:color="auto" w:sz="4" w:space="0"/>
              <w:right w:val="single" w:color="auto" w:sz="4" w:space="0"/>
            </w:tcBorders>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283"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30103</w:t>
            </w:r>
          </w:p>
        </w:tc>
        <w:tc>
          <w:tcPr>
            <w:tcW w:w="3215"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奖金</w:t>
            </w:r>
          </w:p>
        </w:tc>
        <w:tc>
          <w:tcPr>
            <w:tcW w:w="84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40.32</w:t>
            </w:r>
          </w:p>
        </w:tc>
        <w:tc>
          <w:tcPr>
            <w:tcW w:w="1174"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30203</w:t>
            </w:r>
          </w:p>
        </w:tc>
        <w:tc>
          <w:tcPr>
            <w:tcW w:w="221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934" w:type="dxa"/>
            <w:tcBorders>
              <w:top w:val="nil"/>
              <w:left w:val="nil"/>
              <w:bottom w:val="single" w:color="auto" w:sz="4" w:space="0"/>
              <w:right w:val="single" w:color="auto" w:sz="4" w:space="0"/>
            </w:tcBorders>
            <w:noWrap/>
            <w:vAlign w:val="center"/>
          </w:tcPr>
          <w:p>
            <w:pPr>
              <w:jc w:val="right"/>
              <w:rPr>
                <w:rFonts w:ascii="宋体" w:hAnsi="宋体" w:eastAsia="宋体" w:cs="宋体"/>
                <w:color w:val="000000"/>
                <w:kern w:val="0"/>
                <w:szCs w:val="20"/>
              </w:rPr>
            </w:pPr>
          </w:p>
        </w:tc>
        <w:tc>
          <w:tcPr>
            <w:tcW w:w="108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w:t>
            </w:r>
          </w:p>
        </w:tc>
        <w:tc>
          <w:tcPr>
            <w:tcW w:w="401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资本性支出</w:t>
            </w:r>
          </w:p>
        </w:tc>
        <w:tc>
          <w:tcPr>
            <w:tcW w:w="845" w:type="dxa"/>
            <w:tcBorders>
              <w:top w:val="nil"/>
              <w:left w:val="nil"/>
              <w:bottom w:val="single" w:color="auto" w:sz="4" w:space="0"/>
              <w:right w:val="single" w:color="auto" w:sz="4" w:space="0"/>
            </w:tcBorders>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283"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30106</w:t>
            </w:r>
          </w:p>
        </w:tc>
        <w:tc>
          <w:tcPr>
            <w:tcW w:w="3215"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845" w:type="dxa"/>
            <w:tcBorders>
              <w:top w:val="nil"/>
              <w:left w:val="nil"/>
              <w:bottom w:val="single" w:color="auto" w:sz="4" w:space="0"/>
              <w:right w:val="single" w:color="auto" w:sz="4" w:space="0"/>
            </w:tcBorders>
            <w:noWrap/>
            <w:vAlign w:val="center"/>
          </w:tcPr>
          <w:p>
            <w:pPr>
              <w:jc w:val="right"/>
              <w:rPr>
                <w:rFonts w:ascii="宋体" w:hAnsi="宋体" w:eastAsia="宋体" w:cs="宋体"/>
                <w:color w:val="000000"/>
                <w:kern w:val="0"/>
                <w:szCs w:val="20"/>
              </w:rPr>
            </w:pPr>
          </w:p>
        </w:tc>
        <w:tc>
          <w:tcPr>
            <w:tcW w:w="1174"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30204</w:t>
            </w:r>
          </w:p>
        </w:tc>
        <w:tc>
          <w:tcPr>
            <w:tcW w:w="221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934" w:type="dxa"/>
            <w:tcBorders>
              <w:top w:val="nil"/>
              <w:left w:val="nil"/>
              <w:bottom w:val="single" w:color="auto" w:sz="4" w:space="0"/>
              <w:right w:val="single" w:color="auto" w:sz="4" w:space="0"/>
            </w:tcBorders>
            <w:noWrap/>
            <w:vAlign w:val="center"/>
          </w:tcPr>
          <w:p>
            <w:pPr>
              <w:jc w:val="right"/>
              <w:rPr>
                <w:rFonts w:ascii="宋体" w:hAnsi="宋体" w:eastAsia="宋体" w:cs="宋体"/>
                <w:color w:val="000000"/>
                <w:kern w:val="0"/>
                <w:szCs w:val="20"/>
              </w:rPr>
            </w:pPr>
          </w:p>
        </w:tc>
        <w:tc>
          <w:tcPr>
            <w:tcW w:w="108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31001</w:t>
            </w:r>
          </w:p>
        </w:tc>
        <w:tc>
          <w:tcPr>
            <w:tcW w:w="401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845" w:type="dxa"/>
            <w:tcBorders>
              <w:top w:val="nil"/>
              <w:left w:val="nil"/>
              <w:bottom w:val="single" w:color="auto" w:sz="4" w:space="0"/>
              <w:right w:val="single" w:color="auto" w:sz="4" w:space="0"/>
            </w:tcBorders>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283"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30107</w:t>
            </w:r>
          </w:p>
        </w:tc>
        <w:tc>
          <w:tcPr>
            <w:tcW w:w="3215"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84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62.51</w:t>
            </w:r>
          </w:p>
        </w:tc>
        <w:tc>
          <w:tcPr>
            <w:tcW w:w="1174"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30205</w:t>
            </w:r>
          </w:p>
        </w:tc>
        <w:tc>
          <w:tcPr>
            <w:tcW w:w="221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水费</w:t>
            </w:r>
          </w:p>
        </w:tc>
        <w:tc>
          <w:tcPr>
            <w:tcW w:w="934"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4.70</w:t>
            </w:r>
          </w:p>
        </w:tc>
        <w:tc>
          <w:tcPr>
            <w:tcW w:w="108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31002</w:t>
            </w:r>
          </w:p>
        </w:tc>
        <w:tc>
          <w:tcPr>
            <w:tcW w:w="401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845" w:type="dxa"/>
            <w:tcBorders>
              <w:top w:val="nil"/>
              <w:left w:val="nil"/>
              <w:bottom w:val="single" w:color="auto" w:sz="4" w:space="0"/>
              <w:right w:val="single" w:color="auto" w:sz="4" w:space="0"/>
            </w:tcBorders>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283"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30108</w:t>
            </w:r>
          </w:p>
        </w:tc>
        <w:tc>
          <w:tcPr>
            <w:tcW w:w="3215"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84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62.96</w:t>
            </w:r>
          </w:p>
        </w:tc>
        <w:tc>
          <w:tcPr>
            <w:tcW w:w="1174"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30206</w:t>
            </w:r>
          </w:p>
        </w:tc>
        <w:tc>
          <w:tcPr>
            <w:tcW w:w="221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电费</w:t>
            </w:r>
          </w:p>
        </w:tc>
        <w:tc>
          <w:tcPr>
            <w:tcW w:w="934"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8.90</w:t>
            </w:r>
          </w:p>
        </w:tc>
        <w:tc>
          <w:tcPr>
            <w:tcW w:w="108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31003</w:t>
            </w:r>
          </w:p>
        </w:tc>
        <w:tc>
          <w:tcPr>
            <w:tcW w:w="401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845" w:type="dxa"/>
            <w:tcBorders>
              <w:top w:val="nil"/>
              <w:left w:val="nil"/>
              <w:bottom w:val="single" w:color="auto" w:sz="4" w:space="0"/>
              <w:right w:val="single" w:color="auto" w:sz="4" w:space="0"/>
            </w:tcBorders>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283"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30109</w:t>
            </w:r>
          </w:p>
        </w:tc>
        <w:tc>
          <w:tcPr>
            <w:tcW w:w="3215"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845" w:type="dxa"/>
            <w:tcBorders>
              <w:top w:val="nil"/>
              <w:left w:val="nil"/>
              <w:bottom w:val="single" w:color="auto" w:sz="4" w:space="0"/>
              <w:right w:val="single" w:color="auto" w:sz="4" w:space="0"/>
            </w:tcBorders>
            <w:noWrap/>
            <w:vAlign w:val="center"/>
          </w:tcPr>
          <w:p>
            <w:pPr>
              <w:jc w:val="right"/>
              <w:rPr>
                <w:rFonts w:ascii="宋体" w:hAnsi="宋体" w:eastAsia="宋体" w:cs="宋体"/>
                <w:color w:val="000000"/>
                <w:kern w:val="0"/>
                <w:szCs w:val="20"/>
              </w:rPr>
            </w:pPr>
          </w:p>
        </w:tc>
        <w:tc>
          <w:tcPr>
            <w:tcW w:w="1174"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30207</w:t>
            </w:r>
          </w:p>
        </w:tc>
        <w:tc>
          <w:tcPr>
            <w:tcW w:w="221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934"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2.20</w:t>
            </w:r>
          </w:p>
        </w:tc>
        <w:tc>
          <w:tcPr>
            <w:tcW w:w="108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31005</w:t>
            </w:r>
          </w:p>
        </w:tc>
        <w:tc>
          <w:tcPr>
            <w:tcW w:w="401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845" w:type="dxa"/>
            <w:tcBorders>
              <w:top w:val="nil"/>
              <w:left w:val="nil"/>
              <w:bottom w:val="single" w:color="auto" w:sz="4" w:space="0"/>
              <w:right w:val="single" w:color="auto" w:sz="4" w:space="0"/>
            </w:tcBorders>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283"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30110</w:t>
            </w:r>
          </w:p>
        </w:tc>
        <w:tc>
          <w:tcPr>
            <w:tcW w:w="3215"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84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23.28</w:t>
            </w:r>
          </w:p>
        </w:tc>
        <w:tc>
          <w:tcPr>
            <w:tcW w:w="1174"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30208</w:t>
            </w:r>
          </w:p>
        </w:tc>
        <w:tc>
          <w:tcPr>
            <w:tcW w:w="221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934" w:type="dxa"/>
            <w:tcBorders>
              <w:top w:val="nil"/>
              <w:left w:val="nil"/>
              <w:bottom w:val="single" w:color="auto" w:sz="4" w:space="0"/>
              <w:right w:val="single" w:color="auto" w:sz="4" w:space="0"/>
            </w:tcBorders>
            <w:noWrap/>
            <w:vAlign w:val="center"/>
          </w:tcPr>
          <w:p>
            <w:pPr>
              <w:jc w:val="right"/>
              <w:rPr>
                <w:rFonts w:ascii="宋体" w:hAnsi="宋体" w:eastAsia="宋体" w:cs="宋体"/>
                <w:color w:val="000000"/>
                <w:kern w:val="0"/>
                <w:szCs w:val="20"/>
              </w:rPr>
            </w:pPr>
          </w:p>
        </w:tc>
        <w:tc>
          <w:tcPr>
            <w:tcW w:w="108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31006</w:t>
            </w:r>
          </w:p>
        </w:tc>
        <w:tc>
          <w:tcPr>
            <w:tcW w:w="401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845" w:type="dxa"/>
            <w:tcBorders>
              <w:top w:val="nil"/>
              <w:left w:val="nil"/>
              <w:bottom w:val="single" w:color="auto" w:sz="4" w:space="0"/>
              <w:right w:val="single" w:color="auto" w:sz="4" w:space="0"/>
            </w:tcBorders>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283"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30111</w:t>
            </w:r>
          </w:p>
        </w:tc>
        <w:tc>
          <w:tcPr>
            <w:tcW w:w="3215"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84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8.20</w:t>
            </w:r>
          </w:p>
        </w:tc>
        <w:tc>
          <w:tcPr>
            <w:tcW w:w="1174"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30209</w:t>
            </w:r>
          </w:p>
        </w:tc>
        <w:tc>
          <w:tcPr>
            <w:tcW w:w="221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934" w:type="dxa"/>
            <w:tcBorders>
              <w:top w:val="nil"/>
              <w:left w:val="nil"/>
              <w:bottom w:val="single" w:color="auto" w:sz="4" w:space="0"/>
              <w:right w:val="single" w:color="auto" w:sz="4" w:space="0"/>
            </w:tcBorders>
            <w:noWrap/>
            <w:vAlign w:val="center"/>
          </w:tcPr>
          <w:p>
            <w:pPr>
              <w:jc w:val="right"/>
              <w:rPr>
                <w:rFonts w:ascii="宋体" w:hAnsi="宋体" w:eastAsia="宋体" w:cs="宋体"/>
                <w:color w:val="000000"/>
                <w:kern w:val="0"/>
                <w:szCs w:val="20"/>
              </w:rPr>
            </w:pPr>
          </w:p>
        </w:tc>
        <w:tc>
          <w:tcPr>
            <w:tcW w:w="108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31007</w:t>
            </w:r>
          </w:p>
        </w:tc>
        <w:tc>
          <w:tcPr>
            <w:tcW w:w="401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845" w:type="dxa"/>
            <w:tcBorders>
              <w:top w:val="nil"/>
              <w:left w:val="nil"/>
              <w:bottom w:val="single" w:color="auto" w:sz="4" w:space="0"/>
              <w:right w:val="single" w:color="auto" w:sz="4" w:space="0"/>
            </w:tcBorders>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283"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30112</w:t>
            </w:r>
          </w:p>
        </w:tc>
        <w:tc>
          <w:tcPr>
            <w:tcW w:w="3215"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845" w:type="dxa"/>
            <w:tcBorders>
              <w:top w:val="nil"/>
              <w:left w:val="nil"/>
              <w:bottom w:val="single" w:color="auto" w:sz="4" w:space="0"/>
              <w:right w:val="single" w:color="auto" w:sz="4" w:space="0"/>
            </w:tcBorders>
            <w:noWrap/>
            <w:vAlign w:val="center"/>
          </w:tcPr>
          <w:p>
            <w:pPr>
              <w:jc w:val="right"/>
              <w:rPr>
                <w:rFonts w:ascii="宋体" w:hAnsi="宋体" w:eastAsia="宋体" w:cs="宋体"/>
                <w:color w:val="000000"/>
                <w:kern w:val="0"/>
                <w:szCs w:val="20"/>
              </w:rPr>
            </w:pPr>
          </w:p>
        </w:tc>
        <w:tc>
          <w:tcPr>
            <w:tcW w:w="1174"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30211</w:t>
            </w:r>
          </w:p>
        </w:tc>
        <w:tc>
          <w:tcPr>
            <w:tcW w:w="221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934"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12.20</w:t>
            </w:r>
          </w:p>
        </w:tc>
        <w:tc>
          <w:tcPr>
            <w:tcW w:w="108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31008</w:t>
            </w:r>
          </w:p>
        </w:tc>
        <w:tc>
          <w:tcPr>
            <w:tcW w:w="401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845" w:type="dxa"/>
            <w:tcBorders>
              <w:top w:val="nil"/>
              <w:left w:val="nil"/>
              <w:bottom w:val="single" w:color="auto" w:sz="4" w:space="0"/>
              <w:right w:val="single" w:color="auto" w:sz="4" w:space="0"/>
            </w:tcBorders>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283"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30113</w:t>
            </w:r>
          </w:p>
        </w:tc>
        <w:tc>
          <w:tcPr>
            <w:tcW w:w="3215"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845" w:type="dxa"/>
            <w:tcBorders>
              <w:top w:val="nil"/>
              <w:left w:val="nil"/>
              <w:bottom w:val="single" w:color="auto" w:sz="4" w:space="0"/>
              <w:right w:val="single" w:color="auto" w:sz="4" w:space="0"/>
            </w:tcBorders>
            <w:noWrap/>
            <w:vAlign w:val="center"/>
          </w:tcPr>
          <w:p>
            <w:pPr>
              <w:jc w:val="right"/>
              <w:rPr>
                <w:rFonts w:ascii="宋体" w:hAnsi="宋体" w:eastAsia="宋体" w:cs="宋体"/>
                <w:color w:val="000000"/>
                <w:kern w:val="0"/>
                <w:szCs w:val="20"/>
              </w:rPr>
            </w:pPr>
          </w:p>
        </w:tc>
        <w:tc>
          <w:tcPr>
            <w:tcW w:w="1174"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30212</w:t>
            </w:r>
          </w:p>
        </w:tc>
        <w:tc>
          <w:tcPr>
            <w:tcW w:w="221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934" w:type="dxa"/>
            <w:tcBorders>
              <w:top w:val="nil"/>
              <w:left w:val="nil"/>
              <w:bottom w:val="single" w:color="auto" w:sz="4" w:space="0"/>
              <w:right w:val="single" w:color="auto" w:sz="4" w:space="0"/>
            </w:tcBorders>
            <w:noWrap/>
            <w:vAlign w:val="center"/>
          </w:tcPr>
          <w:p>
            <w:pPr>
              <w:jc w:val="right"/>
              <w:rPr>
                <w:rFonts w:ascii="宋体" w:hAnsi="宋体" w:eastAsia="宋体" w:cs="宋体"/>
                <w:color w:val="000000"/>
                <w:kern w:val="0"/>
                <w:szCs w:val="20"/>
              </w:rPr>
            </w:pPr>
          </w:p>
        </w:tc>
        <w:tc>
          <w:tcPr>
            <w:tcW w:w="108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31009</w:t>
            </w:r>
          </w:p>
        </w:tc>
        <w:tc>
          <w:tcPr>
            <w:tcW w:w="401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845" w:type="dxa"/>
            <w:tcBorders>
              <w:top w:val="nil"/>
              <w:left w:val="nil"/>
              <w:bottom w:val="single" w:color="auto" w:sz="4" w:space="0"/>
              <w:right w:val="single" w:color="auto" w:sz="4" w:space="0"/>
            </w:tcBorders>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283"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30114</w:t>
            </w:r>
          </w:p>
        </w:tc>
        <w:tc>
          <w:tcPr>
            <w:tcW w:w="3215"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845" w:type="dxa"/>
            <w:tcBorders>
              <w:top w:val="nil"/>
              <w:left w:val="nil"/>
              <w:bottom w:val="single" w:color="auto" w:sz="4" w:space="0"/>
              <w:right w:val="single" w:color="auto" w:sz="4" w:space="0"/>
            </w:tcBorders>
            <w:noWrap/>
            <w:vAlign w:val="center"/>
          </w:tcPr>
          <w:p>
            <w:pPr>
              <w:jc w:val="right"/>
              <w:rPr>
                <w:rFonts w:ascii="宋体" w:hAnsi="宋体" w:eastAsia="宋体" w:cs="宋体"/>
                <w:color w:val="000000"/>
                <w:kern w:val="0"/>
                <w:szCs w:val="20"/>
              </w:rPr>
            </w:pPr>
          </w:p>
        </w:tc>
        <w:tc>
          <w:tcPr>
            <w:tcW w:w="1174"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30213</w:t>
            </w:r>
          </w:p>
        </w:tc>
        <w:tc>
          <w:tcPr>
            <w:tcW w:w="221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934"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13.70</w:t>
            </w:r>
          </w:p>
        </w:tc>
        <w:tc>
          <w:tcPr>
            <w:tcW w:w="108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31010</w:t>
            </w:r>
          </w:p>
        </w:tc>
        <w:tc>
          <w:tcPr>
            <w:tcW w:w="401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845" w:type="dxa"/>
            <w:tcBorders>
              <w:top w:val="nil"/>
              <w:left w:val="nil"/>
              <w:bottom w:val="single" w:color="auto" w:sz="4" w:space="0"/>
              <w:right w:val="single" w:color="auto" w:sz="4" w:space="0"/>
            </w:tcBorders>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283"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30199</w:t>
            </w:r>
          </w:p>
        </w:tc>
        <w:tc>
          <w:tcPr>
            <w:tcW w:w="3215"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845" w:type="dxa"/>
            <w:tcBorders>
              <w:top w:val="nil"/>
              <w:left w:val="nil"/>
              <w:bottom w:val="single" w:color="auto" w:sz="4" w:space="0"/>
              <w:right w:val="single" w:color="auto" w:sz="4" w:space="0"/>
            </w:tcBorders>
            <w:noWrap/>
            <w:vAlign w:val="center"/>
          </w:tcPr>
          <w:p>
            <w:pPr>
              <w:jc w:val="right"/>
              <w:rPr>
                <w:rFonts w:ascii="宋体" w:hAnsi="宋体" w:eastAsia="宋体" w:cs="宋体"/>
                <w:color w:val="000000"/>
                <w:kern w:val="0"/>
                <w:szCs w:val="20"/>
              </w:rPr>
            </w:pPr>
          </w:p>
        </w:tc>
        <w:tc>
          <w:tcPr>
            <w:tcW w:w="1174"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30214</w:t>
            </w:r>
          </w:p>
        </w:tc>
        <w:tc>
          <w:tcPr>
            <w:tcW w:w="221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934" w:type="dxa"/>
            <w:tcBorders>
              <w:top w:val="nil"/>
              <w:left w:val="nil"/>
              <w:bottom w:val="single" w:color="auto" w:sz="4" w:space="0"/>
              <w:right w:val="single" w:color="auto" w:sz="4" w:space="0"/>
            </w:tcBorders>
            <w:noWrap/>
            <w:vAlign w:val="center"/>
          </w:tcPr>
          <w:p>
            <w:pPr>
              <w:jc w:val="right"/>
              <w:rPr>
                <w:rFonts w:ascii="宋体" w:hAnsi="宋体" w:eastAsia="宋体" w:cs="宋体"/>
                <w:color w:val="000000"/>
                <w:kern w:val="0"/>
                <w:szCs w:val="20"/>
              </w:rPr>
            </w:pPr>
          </w:p>
        </w:tc>
        <w:tc>
          <w:tcPr>
            <w:tcW w:w="108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31011</w:t>
            </w:r>
          </w:p>
        </w:tc>
        <w:tc>
          <w:tcPr>
            <w:tcW w:w="401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845" w:type="dxa"/>
            <w:tcBorders>
              <w:top w:val="nil"/>
              <w:left w:val="nil"/>
              <w:bottom w:val="single" w:color="auto" w:sz="4" w:space="0"/>
              <w:right w:val="single" w:color="auto" w:sz="4" w:space="0"/>
            </w:tcBorders>
            <w:noWrap/>
            <w:vAlign w:val="center"/>
          </w:tcPr>
          <w:p>
            <w:pPr>
              <w:jc w:val="right"/>
              <w:rPr>
                <w:rFonts w:ascii="宋体" w:hAnsi="宋体" w:eastAsia="宋体" w:cs="宋体"/>
                <w:color w:val="000000"/>
                <w:kern w:val="0"/>
                <w:szCs w:val="20"/>
              </w:rPr>
            </w:pPr>
          </w:p>
        </w:tc>
      </w:tr>
      <w:tr>
        <w:trPr>
          <w:trHeight w:val="284" w:hRule="exact"/>
        </w:trPr>
        <w:tc>
          <w:tcPr>
            <w:tcW w:w="1283"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w:t>
            </w:r>
          </w:p>
        </w:tc>
        <w:tc>
          <w:tcPr>
            <w:tcW w:w="3215"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845" w:type="dxa"/>
            <w:tcBorders>
              <w:top w:val="nil"/>
              <w:left w:val="nil"/>
              <w:bottom w:val="single" w:color="auto" w:sz="4" w:space="0"/>
              <w:right w:val="single" w:color="auto" w:sz="4" w:space="0"/>
            </w:tcBorders>
            <w:noWrap/>
            <w:vAlign w:val="center"/>
          </w:tcPr>
          <w:p>
            <w:pPr>
              <w:jc w:val="right"/>
              <w:rPr>
                <w:rFonts w:ascii="宋体" w:hAnsi="宋体" w:eastAsia="宋体" w:cs="宋体"/>
                <w:color w:val="000000"/>
                <w:kern w:val="0"/>
                <w:szCs w:val="20"/>
              </w:rPr>
            </w:pPr>
          </w:p>
        </w:tc>
        <w:tc>
          <w:tcPr>
            <w:tcW w:w="1174"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30215</w:t>
            </w:r>
          </w:p>
        </w:tc>
        <w:tc>
          <w:tcPr>
            <w:tcW w:w="221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934"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3.50</w:t>
            </w:r>
          </w:p>
        </w:tc>
        <w:tc>
          <w:tcPr>
            <w:tcW w:w="108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31012</w:t>
            </w:r>
          </w:p>
        </w:tc>
        <w:tc>
          <w:tcPr>
            <w:tcW w:w="401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845" w:type="dxa"/>
            <w:tcBorders>
              <w:top w:val="nil"/>
              <w:left w:val="nil"/>
              <w:bottom w:val="single" w:color="auto" w:sz="4" w:space="0"/>
              <w:right w:val="single" w:color="auto" w:sz="4" w:space="0"/>
            </w:tcBorders>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283"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30301</w:t>
            </w:r>
          </w:p>
        </w:tc>
        <w:tc>
          <w:tcPr>
            <w:tcW w:w="3215"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845" w:type="dxa"/>
            <w:tcBorders>
              <w:top w:val="nil"/>
              <w:left w:val="nil"/>
              <w:bottom w:val="single" w:color="auto" w:sz="4" w:space="0"/>
              <w:right w:val="single" w:color="auto" w:sz="4" w:space="0"/>
            </w:tcBorders>
            <w:noWrap/>
            <w:vAlign w:val="center"/>
          </w:tcPr>
          <w:p>
            <w:pPr>
              <w:jc w:val="right"/>
              <w:rPr>
                <w:rFonts w:ascii="宋体" w:hAnsi="宋体" w:eastAsia="宋体" w:cs="宋体"/>
                <w:color w:val="000000"/>
                <w:kern w:val="0"/>
                <w:szCs w:val="20"/>
              </w:rPr>
            </w:pPr>
          </w:p>
        </w:tc>
        <w:tc>
          <w:tcPr>
            <w:tcW w:w="1174"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30216</w:t>
            </w:r>
          </w:p>
        </w:tc>
        <w:tc>
          <w:tcPr>
            <w:tcW w:w="221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934"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4.50</w:t>
            </w:r>
          </w:p>
        </w:tc>
        <w:tc>
          <w:tcPr>
            <w:tcW w:w="108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31013</w:t>
            </w:r>
          </w:p>
        </w:tc>
        <w:tc>
          <w:tcPr>
            <w:tcW w:w="401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845" w:type="dxa"/>
            <w:tcBorders>
              <w:top w:val="nil"/>
              <w:left w:val="nil"/>
              <w:bottom w:val="single" w:color="auto" w:sz="4" w:space="0"/>
              <w:right w:val="single" w:color="auto" w:sz="4" w:space="0"/>
            </w:tcBorders>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283"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30302</w:t>
            </w:r>
          </w:p>
        </w:tc>
        <w:tc>
          <w:tcPr>
            <w:tcW w:w="3215"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845" w:type="dxa"/>
            <w:tcBorders>
              <w:top w:val="nil"/>
              <w:left w:val="nil"/>
              <w:bottom w:val="single" w:color="auto" w:sz="4" w:space="0"/>
              <w:right w:val="single" w:color="auto" w:sz="4" w:space="0"/>
            </w:tcBorders>
            <w:noWrap/>
            <w:vAlign w:val="center"/>
          </w:tcPr>
          <w:p>
            <w:pPr>
              <w:jc w:val="right"/>
              <w:rPr>
                <w:rFonts w:ascii="宋体" w:hAnsi="宋体" w:eastAsia="宋体" w:cs="宋体"/>
                <w:color w:val="000000"/>
                <w:kern w:val="0"/>
                <w:szCs w:val="20"/>
              </w:rPr>
            </w:pPr>
          </w:p>
        </w:tc>
        <w:tc>
          <w:tcPr>
            <w:tcW w:w="1174"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30217</w:t>
            </w:r>
          </w:p>
        </w:tc>
        <w:tc>
          <w:tcPr>
            <w:tcW w:w="221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934"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9.50</w:t>
            </w:r>
          </w:p>
        </w:tc>
        <w:tc>
          <w:tcPr>
            <w:tcW w:w="108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31019</w:t>
            </w:r>
          </w:p>
        </w:tc>
        <w:tc>
          <w:tcPr>
            <w:tcW w:w="401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845" w:type="dxa"/>
            <w:tcBorders>
              <w:top w:val="nil"/>
              <w:left w:val="nil"/>
              <w:bottom w:val="single" w:color="auto" w:sz="4" w:space="0"/>
              <w:right w:val="single" w:color="auto" w:sz="4" w:space="0"/>
            </w:tcBorders>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283"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30303</w:t>
            </w:r>
          </w:p>
        </w:tc>
        <w:tc>
          <w:tcPr>
            <w:tcW w:w="3215"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845" w:type="dxa"/>
            <w:tcBorders>
              <w:top w:val="nil"/>
              <w:left w:val="nil"/>
              <w:bottom w:val="single" w:color="auto" w:sz="4" w:space="0"/>
              <w:right w:val="single" w:color="auto" w:sz="4" w:space="0"/>
            </w:tcBorders>
            <w:noWrap/>
            <w:vAlign w:val="center"/>
          </w:tcPr>
          <w:p>
            <w:pPr>
              <w:jc w:val="right"/>
              <w:rPr>
                <w:rFonts w:ascii="宋体" w:hAnsi="宋体" w:eastAsia="宋体" w:cs="宋体"/>
                <w:color w:val="000000"/>
                <w:kern w:val="0"/>
                <w:szCs w:val="20"/>
              </w:rPr>
            </w:pPr>
          </w:p>
        </w:tc>
        <w:tc>
          <w:tcPr>
            <w:tcW w:w="1174"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30218</w:t>
            </w:r>
          </w:p>
        </w:tc>
        <w:tc>
          <w:tcPr>
            <w:tcW w:w="221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934" w:type="dxa"/>
            <w:tcBorders>
              <w:top w:val="nil"/>
              <w:left w:val="nil"/>
              <w:bottom w:val="single" w:color="auto" w:sz="4" w:space="0"/>
              <w:right w:val="single" w:color="auto" w:sz="4" w:space="0"/>
            </w:tcBorders>
            <w:noWrap/>
            <w:vAlign w:val="center"/>
          </w:tcPr>
          <w:p>
            <w:pPr>
              <w:jc w:val="right"/>
              <w:rPr>
                <w:rFonts w:ascii="宋体" w:hAnsi="宋体" w:eastAsia="宋体" w:cs="宋体"/>
                <w:color w:val="000000"/>
                <w:kern w:val="0"/>
                <w:szCs w:val="20"/>
              </w:rPr>
            </w:pPr>
          </w:p>
        </w:tc>
        <w:tc>
          <w:tcPr>
            <w:tcW w:w="108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31021</w:t>
            </w:r>
          </w:p>
        </w:tc>
        <w:tc>
          <w:tcPr>
            <w:tcW w:w="401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845" w:type="dxa"/>
            <w:tcBorders>
              <w:top w:val="nil"/>
              <w:left w:val="nil"/>
              <w:bottom w:val="single" w:color="auto" w:sz="4" w:space="0"/>
              <w:right w:val="single" w:color="auto" w:sz="4" w:space="0"/>
            </w:tcBorders>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283"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30304</w:t>
            </w:r>
          </w:p>
        </w:tc>
        <w:tc>
          <w:tcPr>
            <w:tcW w:w="3215"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845" w:type="dxa"/>
            <w:tcBorders>
              <w:top w:val="nil"/>
              <w:left w:val="nil"/>
              <w:bottom w:val="single" w:color="auto" w:sz="4" w:space="0"/>
              <w:right w:val="single" w:color="auto" w:sz="4" w:space="0"/>
            </w:tcBorders>
            <w:noWrap/>
            <w:vAlign w:val="center"/>
          </w:tcPr>
          <w:p>
            <w:pPr>
              <w:jc w:val="right"/>
              <w:rPr>
                <w:rFonts w:ascii="宋体" w:hAnsi="宋体" w:eastAsia="宋体" w:cs="宋体"/>
                <w:color w:val="000000"/>
                <w:kern w:val="0"/>
                <w:szCs w:val="20"/>
              </w:rPr>
            </w:pPr>
          </w:p>
        </w:tc>
        <w:tc>
          <w:tcPr>
            <w:tcW w:w="1174"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30224</w:t>
            </w:r>
          </w:p>
        </w:tc>
        <w:tc>
          <w:tcPr>
            <w:tcW w:w="221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934" w:type="dxa"/>
            <w:tcBorders>
              <w:top w:val="nil"/>
              <w:left w:val="nil"/>
              <w:bottom w:val="single" w:color="auto" w:sz="4" w:space="0"/>
              <w:right w:val="single" w:color="auto" w:sz="4" w:space="0"/>
            </w:tcBorders>
            <w:noWrap/>
            <w:vAlign w:val="center"/>
          </w:tcPr>
          <w:p>
            <w:pPr>
              <w:jc w:val="right"/>
              <w:rPr>
                <w:rFonts w:ascii="宋体" w:hAnsi="宋体" w:eastAsia="宋体" w:cs="宋体"/>
                <w:color w:val="000000"/>
                <w:kern w:val="0"/>
                <w:szCs w:val="20"/>
              </w:rPr>
            </w:pPr>
          </w:p>
        </w:tc>
        <w:tc>
          <w:tcPr>
            <w:tcW w:w="108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31022</w:t>
            </w:r>
          </w:p>
        </w:tc>
        <w:tc>
          <w:tcPr>
            <w:tcW w:w="401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845" w:type="dxa"/>
            <w:tcBorders>
              <w:top w:val="nil"/>
              <w:left w:val="nil"/>
              <w:bottom w:val="single" w:color="auto" w:sz="4" w:space="0"/>
              <w:right w:val="single" w:color="auto" w:sz="4" w:space="0"/>
            </w:tcBorders>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283"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30305</w:t>
            </w:r>
          </w:p>
        </w:tc>
        <w:tc>
          <w:tcPr>
            <w:tcW w:w="3215"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845" w:type="dxa"/>
            <w:tcBorders>
              <w:top w:val="nil"/>
              <w:left w:val="nil"/>
              <w:bottom w:val="single" w:color="auto" w:sz="4" w:space="0"/>
              <w:right w:val="single" w:color="auto" w:sz="4" w:space="0"/>
            </w:tcBorders>
            <w:noWrap/>
            <w:vAlign w:val="center"/>
          </w:tcPr>
          <w:p>
            <w:pPr>
              <w:jc w:val="right"/>
              <w:rPr>
                <w:rFonts w:ascii="宋体" w:hAnsi="宋体" w:eastAsia="宋体" w:cs="宋体"/>
                <w:color w:val="000000"/>
                <w:kern w:val="0"/>
                <w:szCs w:val="20"/>
              </w:rPr>
            </w:pPr>
          </w:p>
        </w:tc>
        <w:tc>
          <w:tcPr>
            <w:tcW w:w="1174"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30225</w:t>
            </w:r>
          </w:p>
        </w:tc>
        <w:tc>
          <w:tcPr>
            <w:tcW w:w="221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934" w:type="dxa"/>
            <w:tcBorders>
              <w:top w:val="nil"/>
              <w:left w:val="nil"/>
              <w:bottom w:val="single" w:color="auto" w:sz="4" w:space="0"/>
              <w:right w:val="single" w:color="auto" w:sz="4" w:space="0"/>
            </w:tcBorders>
            <w:noWrap/>
            <w:vAlign w:val="center"/>
          </w:tcPr>
          <w:p>
            <w:pPr>
              <w:jc w:val="right"/>
              <w:rPr>
                <w:rFonts w:ascii="宋体" w:hAnsi="宋体" w:eastAsia="宋体" w:cs="宋体"/>
                <w:color w:val="000000"/>
                <w:kern w:val="0"/>
                <w:szCs w:val="20"/>
              </w:rPr>
            </w:pPr>
          </w:p>
        </w:tc>
        <w:tc>
          <w:tcPr>
            <w:tcW w:w="108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31099</w:t>
            </w:r>
          </w:p>
        </w:tc>
        <w:tc>
          <w:tcPr>
            <w:tcW w:w="401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845" w:type="dxa"/>
            <w:tcBorders>
              <w:top w:val="nil"/>
              <w:left w:val="nil"/>
              <w:bottom w:val="single" w:color="auto" w:sz="4" w:space="0"/>
              <w:right w:val="single" w:color="auto" w:sz="4" w:space="0"/>
            </w:tcBorders>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283"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30306</w:t>
            </w:r>
          </w:p>
        </w:tc>
        <w:tc>
          <w:tcPr>
            <w:tcW w:w="3215"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845" w:type="dxa"/>
            <w:tcBorders>
              <w:top w:val="nil"/>
              <w:left w:val="nil"/>
              <w:bottom w:val="single" w:color="auto" w:sz="4" w:space="0"/>
              <w:right w:val="single" w:color="auto" w:sz="4" w:space="0"/>
            </w:tcBorders>
            <w:noWrap/>
            <w:vAlign w:val="center"/>
          </w:tcPr>
          <w:p>
            <w:pPr>
              <w:jc w:val="right"/>
              <w:rPr>
                <w:rFonts w:ascii="宋体" w:hAnsi="宋体" w:eastAsia="宋体" w:cs="宋体"/>
                <w:color w:val="000000"/>
                <w:kern w:val="0"/>
                <w:szCs w:val="20"/>
              </w:rPr>
            </w:pPr>
          </w:p>
        </w:tc>
        <w:tc>
          <w:tcPr>
            <w:tcW w:w="1174"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30226</w:t>
            </w:r>
          </w:p>
        </w:tc>
        <w:tc>
          <w:tcPr>
            <w:tcW w:w="221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934" w:type="dxa"/>
            <w:tcBorders>
              <w:top w:val="nil"/>
              <w:left w:val="nil"/>
              <w:bottom w:val="single" w:color="auto" w:sz="4" w:space="0"/>
              <w:right w:val="single" w:color="auto" w:sz="4" w:space="0"/>
            </w:tcBorders>
            <w:noWrap/>
            <w:vAlign w:val="center"/>
          </w:tcPr>
          <w:p>
            <w:pPr>
              <w:jc w:val="right"/>
              <w:rPr>
                <w:rFonts w:ascii="宋体" w:hAnsi="宋体" w:eastAsia="宋体" w:cs="宋体"/>
                <w:color w:val="000000"/>
                <w:kern w:val="0"/>
                <w:szCs w:val="20"/>
              </w:rPr>
            </w:pPr>
          </w:p>
        </w:tc>
        <w:tc>
          <w:tcPr>
            <w:tcW w:w="108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w:t>
            </w:r>
          </w:p>
        </w:tc>
        <w:tc>
          <w:tcPr>
            <w:tcW w:w="401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其他支出</w:t>
            </w:r>
          </w:p>
        </w:tc>
        <w:tc>
          <w:tcPr>
            <w:tcW w:w="845" w:type="dxa"/>
            <w:tcBorders>
              <w:top w:val="nil"/>
              <w:left w:val="nil"/>
              <w:bottom w:val="single" w:color="auto" w:sz="4" w:space="0"/>
              <w:right w:val="single" w:color="auto" w:sz="4" w:space="0"/>
            </w:tcBorders>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283"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30307</w:t>
            </w:r>
          </w:p>
        </w:tc>
        <w:tc>
          <w:tcPr>
            <w:tcW w:w="3215"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845" w:type="dxa"/>
            <w:tcBorders>
              <w:top w:val="nil"/>
              <w:left w:val="nil"/>
              <w:bottom w:val="single" w:color="auto" w:sz="4" w:space="0"/>
              <w:right w:val="single" w:color="auto" w:sz="4" w:space="0"/>
            </w:tcBorders>
            <w:noWrap/>
            <w:vAlign w:val="center"/>
          </w:tcPr>
          <w:p>
            <w:pPr>
              <w:jc w:val="right"/>
              <w:rPr>
                <w:rFonts w:ascii="宋体" w:hAnsi="宋体" w:eastAsia="宋体" w:cs="宋体"/>
                <w:color w:val="000000"/>
                <w:kern w:val="0"/>
                <w:szCs w:val="20"/>
              </w:rPr>
            </w:pPr>
          </w:p>
        </w:tc>
        <w:tc>
          <w:tcPr>
            <w:tcW w:w="1174"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30227</w:t>
            </w:r>
          </w:p>
        </w:tc>
        <w:tc>
          <w:tcPr>
            <w:tcW w:w="221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934" w:type="dxa"/>
            <w:tcBorders>
              <w:top w:val="nil"/>
              <w:left w:val="nil"/>
              <w:bottom w:val="single" w:color="auto" w:sz="4" w:space="0"/>
              <w:right w:val="single" w:color="auto" w:sz="4" w:space="0"/>
            </w:tcBorders>
            <w:noWrap/>
            <w:vAlign w:val="center"/>
          </w:tcPr>
          <w:p>
            <w:pPr>
              <w:jc w:val="right"/>
              <w:rPr>
                <w:rFonts w:ascii="宋体" w:hAnsi="宋体" w:eastAsia="宋体" w:cs="宋体"/>
                <w:color w:val="000000"/>
                <w:kern w:val="0"/>
                <w:szCs w:val="20"/>
              </w:rPr>
            </w:pPr>
          </w:p>
        </w:tc>
        <w:tc>
          <w:tcPr>
            <w:tcW w:w="108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39906</w:t>
            </w:r>
          </w:p>
        </w:tc>
        <w:tc>
          <w:tcPr>
            <w:tcW w:w="401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赠与</w:t>
            </w:r>
          </w:p>
        </w:tc>
        <w:tc>
          <w:tcPr>
            <w:tcW w:w="845" w:type="dxa"/>
            <w:tcBorders>
              <w:top w:val="nil"/>
              <w:left w:val="nil"/>
              <w:bottom w:val="single" w:color="auto" w:sz="4" w:space="0"/>
              <w:right w:val="single" w:color="auto" w:sz="4" w:space="0"/>
            </w:tcBorders>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283"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30308</w:t>
            </w:r>
          </w:p>
        </w:tc>
        <w:tc>
          <w:tcPr>
            <w:tcW w:w="3215"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845" w:type="dxa"/>
            <w:tcBorders>
              <w:top w:val="nil"/>
              <w:left w:val="nil"/>
              <w:bottom w:val="single" w:color="auto" w:sz="4" w:space="0"/>
              <w:right w:val="single" w:color="auto" w:sz="4" w:space="0"/>
            </w:tcBorders>
            <w:noWrap/>
            <w:vAlign w:val="center"/>
          </w:tcPr>
          <w:p>
            <w:pPr>
              <w:jc w:val="right"/>
              <w:rPr>
                <w:rFonts w:ascii="宋体" w:hAnsi="宋体" w:eastAsia="宋体" w:cs="宋体"/>
                <w:color w:val="000000"/>
                <w:kern w:val="0"/>
                <w:szCs w:val="20"/>
              </w:rPr>
            </w:pPr>
          </w:p>
        </w:tc>
        <w:tc>
          <w:tcPr>
            <w:tcW w:w="1174"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30228</w:t>
            </w:r>
          </w:p>
        </w:tc>
        <w:tc>
          <w:tcPr>
            <w:tcW w:w="221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934"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4.00</w:t>
            </w:r>
          </w:p>
        </w:tc>
        <w:tc>
          <w:tcPr>
            <w:tcW w:w="108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39907</w:t>
            </w:r>
          </w:p>
        </w:tc>
        <w:tc>
          <w:tcPr>
            <w:tcW w:w="401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845" w:type="dxa"/>
            <w:tcBorders>
              <w:top w:val="nil"/>
              <w:left w:val="nil"/>
              <w:bottom w:val="single" w:color="auto" w:sz="4" w:space="0"/>
              <w:right w:val="single" w:color="auto" w:sz="4" w:space="0"/>
            </w:tcBorders>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283"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30309</w:t>
            </w:r>
          </w:p>
        </w:tc>
        <w:tc>
          <w:tcPr>
            <w:tcW w:w="3215"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845" w:type="dxa"/>
            <w:tcBorders>
              <w:top w:val="nil"/>
              <w:left w:val="nil"/>
              <w:bottom w:val="single" w:color="auto" w:sz="4" w:space="0"/>
              <w:right w:val="single" w:color="auto" w:sz="4" w:space="0"/>
            </w:tcBorders>
            <w:noWrap/>
            <w:vAlign w:val="center"/>
          </w:tcPr>
          <w:p>
            <w:pPr>
              <w:jc w:val="right"/>
              <w:rPr>
                <w:rFonts w:ascii="宋体" w:hAnsi="宋体" w:eastAsia="宋体" w:cs="宋体"/>
                <w:color w:val="000000"/>
                <w:kern w:val="0"/>
                <w:szCs w:val="20"/>
              </w:rPr>
            </w:pPr>
          </w:p>
        </w:tc>
        <w:tc>
          <w:tcPr>
            <w:tcW w:w="1174"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30229</w:t>
            </w:r>
          </w:p>
        </w:tc>
        <w:tc>
          <w:tcPr>
            <w:tcW w:w="221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934" w:type="dxa"/>
            <w:tcBorders>
              <w:top w:val="nil"/>
              <w:left w:val="nil"/>
              <w:bottom w:val="single" w:color="auto" w:sz="4" w:space="0"/>
              <w:right w:val="single" w:color="auto" w:sz="4" w:space="0"/>
            </w:tcBorders>
            <w:noWrap/>
            <w:vAlign w:val="center"/>
          </w:tcPr>
          <w:p>
            <w:pPr>
              <w:jc w:val="right"/>
              <w:rPr>
                <w:rFonts w:ascii="宋体" w:hAnsi="宋体" w:eastAsia="宋体" w:cs="宋体"/>
                <w:color w:val="000000"/>
                <w:kern w:val="0"/>
                <w:szCs w:val="20"/>
              </w:rPr>
            </w:pPr>
          </w:p>
        </w:tc>
        <w:tc>
          <w:tcPr>
            <w:tcW w:w="108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39908</w:t>
            </w:r>
          </w:p>
        </w:tc>
        <w:tc>
          <w:tcPr>
            <w:tcW w:w="401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845" w:type="dxa"/>
            <w:tcBorders>
              <w:top w:val="nil"/>
              <w:left w:val="nil"/>
              <w:bottom w:val="single" w:color="auto" w:sz="4" w:space="0"/>
              <w:right w:val="single" w:color="auto" w:sz="4" w:space="0"/>
            </w:tcBorders>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283"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30310</w:t>
            </w:r>
          </w:p>
        </w:tc>
        <w:tc>
          <w:tcPr>
            <w:tcW w:w="3215"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845" w:type="dxa"/>
            <w:tcBorders>
              <w:top w:val="nil"/>
              <w:left w:val="nil"/>
              <w:bottom w:val="single" w:color="auto" w:sz="4" w:space="0"/>
              <w:right w:val="single" w:color="auto" w:sz="4" w:space="0"/>
            </w:tcBorders>
            <w:noWrap/>
            <w:vAlign w:val="center"/>
          </w:tcPr>
          <w:p>
            <w:pPr>
              <w:jc w:val="right"/>
              <w:rPr>
                <w:rFonts w:ascii="宋体" w:hAnsi="宋体" w:eastAsia="宋体" w:cs="宋体"/>
                <w:color w:val="000000"/>
                <w:kern w:val="0"/>
                <w:szCs w:val="20"/>
              </w:rPr>
            </w:pPr>
          </w:p>
        </w:tc>
        <w:tc>
          <w:tcPr>
            <w:tcW w:w="1174"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30231</w:t>
            </w:r>
          </w:p>
        </w:tc>
        <w:tc>
          <w:tcPr>
            <w:tcW w:w="221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934"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4.20</w:t>
            </w:r>
          </w:p>
        </w:tc>
        <w:tc>
          <w:tcPr>
            <w:tcW w:w="108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39999</w:t>
            </w:r>
          </w:p>
        </w:tc>
        <w:tc>
          <w:tcPr>
            <w:tcW w:w="401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845" w:type="dxa"/>
            <w:tcBorders>
              <w:top w:val="nil"/>
              <w:left w:val="nil"/>
              <w:bottom w:val="single" w:color="auto" w:sz="4" w:space="0"/>
              <w:right w:val="single" w:color="auto" w:sz="4" w:space="0"/>
            </w:tcBorders>
            <w:noWrap/>
            <w:vAlign w:val="center"/>
          </w:tcPr>
          <w:p>
            <w:pPr>
              <w:jc w:val="right"/>
              <w:rPr>
                <w:rFonts w:ascii="宋体" w:hAnsi="宋体" w:eastAsia="宋体" w:cs="宋体"/>
                <w:color w:val="000000"/>
                <w:kern w:val="0"/>
                <w:szCs w:val="20"/>
              </w:rPr>
            </w:pPr>
          </w:p>
        </w:tc>
      </w:tr>
      <w:tr>
        <w:trPr>
          <w:trHeight w:val="284" w:hRule="exact"/>
        </w:trPr>
        <w:tc>
          <w:tcPr>
            <w:tcW w:w="1283"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30311</w:t>
            </w:r>
          </w:p>
        </w:tc>
        <w:tc>
          <w:tcPr>
            <w:tcW w:w="3215"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845" w:type="dxa"/>
            <w:tcBorders>
              <w:top w:val="nil"/>
              <w:left w:val="nil"/>
              <w:bottom w:val="single" w:color="auto" w:sz="4" w:space="0"/>
              <w:right w:val="single" w:color="auto" w:sz="4" w:space="0"/>
            </w:tcBorders>
            <w:noWrap/>
            <w:vAlign w:val="center"/>
          </w:tcPr>
          <w:p>
            <w:pPr>
              <w:jc w:val="right"/>
              <w:rPr>
                <w:rFonts w:ascii="宋体" w:hAnsi="宋体" w:eastAsia="宋体" w:cs="宋体"/>
                <w:color w:val="000000"/>
                <w:kern w:val="0"/>
                <w:szCs w:val="20"/>
              </w:rPr>
            </w:pPr>
          </w:p>
        </w:tc>
        <w:tc>
          <w:tcPr>
            <w:tcW w:w="1174"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30239</w:t>
            </w:r>
          </w:p>
        </w:tc>
        <w:tc>
          <w:tcPr>
            <w:tcW w:w="221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934"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12.50</w:t>
            </w:r>
          </w:p>
        </w:tc>
        <w:tc>
          <w:tcPr>
            <w:tcW w:w="1086" w:type="dxa"/>
            <w:tcBorders>
              <w:top w:val="nil"/>
              <w:left w:val="nil"/>
              <w:bottom w:val="single" w:color="auto" w:sz="4" w:space="0"/>
              <w:right w:val="single" w:color="auto" w:sz="4" w:space="0"/>
            </w:tcBorders>
            <w:noWrap/>
            <w:vAlign w:val="center"/>
          </w:tcPr>
          <w:p>
            <w:pPr>
              <w:jc w:val="left"/>
              <w:rPr>
                <w:rFonts w:ascii="宋体" w:hAnsi="宋体" w:eastAsia="宋体" w:cs="宋体"/>
                <w:color w:val="000000"/>
                <w:kern w:val="0"/>
                <w:szCs w:val="18"/>
              </w:rPr>
            </w:pPr>
          </w:p>
        </w:tc>
        <w:tc>
          <w:tcPr>
            <w:tcW w:w="4016" w:type="dxa"/>
            <w:tcBorders>
              <w:top w:val="nil"/>
              <w:left w:val="nil"/>
              <w:bottom w:val="single" w:color="auto" w:sz="4" w:space="0"/>
              <w:right w:val="single" w:color="auto" w:sz="4" w:space="0"/>
            </w:tcBorders>
            <w:noWrap/>
            <w:vAlign w:val="center"/>
          </w:tcPr>
          <w:p>
            <w:pPr>
              <w:jc w:val="left"/>
              <w:rPr>
                <w:rFonts w:ascii="宋体" w:hAnsi="宋体" w:eastAsia="宋体" w:cs="宋体"/>
                <w:color w:val="000000"/>
                <w:kern w:val="0"/>
                <w:szCs w:val="18"/>
              </w:rPr>
            </w:pPr>
          </w:p>
        </w:tc>
        <w:tc>
          <w:tcPr>
            <w:tcW w:w="845" w:type="dxa"/>
            <w:tcBorders>
              <w:top w:val="nil"/>
              <w:left w:val="nil"/>
              <w:bottom w:val="single" w:color="auto" w:sz="4" w:space="0"/>
              <w:right w:val="single" w:color="auto" w:sz="4" w:space="0"/>
            </w:tcBorders>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283"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30399</w:t>
            </w:r>
          </w:p>
        </w:tc>
        <w:tc>
          <w:tcPr>
            <w:tcW w:w="3215"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845" w:type="dxa"/>
            <w:tcBorders>
              <w:top w:val="nil"/>
              <w:left w:val="nil"/>
              <w:bottom w:val="single" w:color="auto" w:sz="4" w:space="0"/>
              <w:right w:val="single" w:color="auto" w:sz="4" w:space="0"/>
            </w:tcBorders>
            <w:noWrap/>
            <w:vAlign w:val="center"/>
          </w:tcPr>
          <w:p>
            <w:pPr>
              <w:jc w:val="right"/>
              <w:rPr>
                <w:rFonts w:ascii="宋体" w:hAnsi="宋体" w:eastAsia="宋体" w:cs="宋体"/>
                <w:color w:val="000000"/>
                <w:kern w:val="0"/>
                <w:szCs w:val="20"/>
              </w:rPr>
            </w:pPr>
          </w:p>
        </w:tc>
        <w:tc>
          <w:tcPr>
            <w:tcW w:w="1174"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30240</w:t>
            </w:r>
          </w:p>
        </w:tc>
        <w:tc>
          <w:tcPr>
            <w:tcW w:w="221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934" w:type="dxa"/>
            <w:tcBorders>
              <w:top w:val="nil"/>
              <w:left w:val="nil"/>
              <w:bottom w:val="single" w:color="auto" w:sz="4" w:space="0"/>
              <w:right w:val="single" w:color="auto" w:sz="4" w:space="0"/>
            </w:tcBorders>
            <w:noWrap/>
            <w:vAlign w:val="center"/>
          </w:tcPr>
          <w:p>
            <w:pPr>
              <w:jc w:val="right"/>
              <w:rPr>
                <w:rFonts w:ascii="宋体" w:hAnsi="宋体" w:eastAsia="宋体" w:cs="宋体"/>
                <w:color w:val="000000"/>
                <w:kern w:val="0"/>
                <w:szCs w:val="20"/>
              </w:rPr>
            </w:pPr>
          </w:p>
        </w:tc>
        <w:tc>
          <w:tcPr>
            <w:tcW w:w="1086" w:type="dxa"/>
            <w:tcBorders>
              <w:top w:val="nil"/>
              <w:left w:val="nil"/>
              <w:bottom w:val="single" w:color="auto" w:sz="4" w:space="0"/>
              <w:right w:val="single" w:color="auto" w:sz="4" w:space="0"/>
            </w:tcBorders>
            <w:noWrap/>
            <w:vAlign w:val="center"/>
          </w:tcPr>
          <w:p>
            <w:pPr>
              <w:jc w:val="left"/>
              <w:rPr>
                <w:rFonts w:ascii="宋体" w:hAnsi="宋体" w:eastAsia="宋体" w:cs="宋体"/>
                <w:color w:val="000000"/>
                <w:kern w:val="0"/>
                <w:szCs w:val="18"/>
              </w:rPr>
            </w:pPr>
          </w:p>
        </w:tc>
        <w:tc>
          <w:tcPr>
            <w:tcW w:w="4016" w:type="dxa"/>
            <w:tcBorders>
              <w:top w:val="nil"/>
              <w:left w:val="nil"/>
              <w:bottom w:val="single" w:color="auto" w:sz="4" w:space="0"/>
              <w:right w:val="single" w:color="auto" w:sz="4" w:space="0"/>
            </w:tcBorders>
            <w:noWrap/>
            <w:vAlign w:val="center"/>
          </w:tcPr>
          <w:p>
            <w:pPr>
              <w:jc w:val="left"/>
              <w:rPr>
                <w:rFonts w:ascii="宋体" w:hAnsi="宋体" w:eastAsia="宋体" w:cs="宋体"/>
                <w:color w:val="000000"/>
                <w:kern w:val="0"/>
                <w:szCs w:val="18"/>
              </w:rPr>
            </w:pPr>
          </w:p>
        </w:tc>
        <w:tc>
          <w:tcPr>
            <w:tcW w:w="845" w:type="dxa"/>
            <w:tcBorders>
              <w:top w:val="nil"/>
              <w:left w:val="nil"/>
              <w:bottom w:val="single" w:color="auto" w:sz="4" w:space="0"/>
              <w:right w:val="single" w:color="auto" w:sz="4" w:space="0"/>
            </w:tcBorders>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283" w:type="dxa"/>
            <w:tcBorders>
              <w:top w:val="nil"/>
              <w:left w:val="single" w:color="auto" w:sz="4" w:space="0"/>
              <w:bottom w:val="single" w:color="auto" w:sz="4" w:space="0"/>
              <w:right w:val="single" w:color="auto" w:sz="4" w:space="0"/>
            </w:tcBorders>
            <w:noWrap/>
            <w:vAlign w:val="center"/>
          </w:tcPr>
          <w:p>
            <w:pPr>
              <w:jc w:val="left"/>
              <w:rPr>
                <w:rFonts w:ascii="宋体" w:hAnsi="宋体" w:eastAsia="宋体" w:cs="宋体"/>
                <w:color w:val="000000"/>
                <w:kern w:val="0"/>
                <w:szCs w:val="20"/>
              </w:rPr>
            </w:pPr>
          </w:p>
        </w:tc>
        <w:tc>
          <w:tcPr>
            <w:tcW w:w="3215" w:type="dxa"/>
            <w:tcBorders>
              <w:top w:val="nil"/>
              <w:left w:val="nil"/>
              <w:bottom w:val="single" w:color="auto" w:sz="4" w:space="0"/>
              <w:right w:val="single" w:color="auto" w:sz="4" w:space="0"/>
            </w:tcBorders>
            <w:noWrap/>
            <w:vAlign w:val="center"/>
          </w:tcPr>
          <w:p>
            <w:pPr>
              <w:jc w:val="left"/>
              <w:rPr>
                <w:rFonts w:ascii="宋体" w:hAnsi="宋体" w:eastAsia="宋体" w:cs="宋体"/>
                <w:color w:val="000000"/>
                <w:kern w:val="0"/>
                <w:szCs w:val="20"/>
              </w:rPr>
            </w:pPr>
          </w:p>
        </w:tc>
        <w:tc>
          <w:tcPr>
            <w:tcW w:w="845" w:type="dxa"/>
            <w:tcBorders>
              <w:top w:val="nil"/>
              <w:left w:val="nil"/>
              <w:bottom w:val="single" w:color="auto" w:sz="4" w:space="0"/>
              <w:right w:val="single" w:color="auto" w:sz="4" w:space="0"/>
            </w:tcBorders>
            <w:noWrap/>
            <w:vAlign w:val="center"/>
          </w:tcPr>
          <w:p>
            <w:pPr>
              <w:jc w:val="right"/>
              <w:rPr>
                <w:rFonts w:ascii="宋体" w:hAnsi="宋体" w:eastAsia="宋体" w:cs="宋体"/>
                <w:color w:val="000000"/>
                <w:kern w:val="0"/>
                <w:szCs w:val="20"/>
              </w:rPr>
            </w:pPr>
          </w:p>
        </w:tc>
        <w:tc>
          <w:tcPr>
            <w:tcW w:w="1174"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30299</w:t>
            </w:r>
          </w:p>
        </w:tc>
        <w:tc>
          <w:tcPr>
            <w:tcW w:w="221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934"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14.50</w:t>
            </w:r>
          </w:p>
        </w:tc>
        <w:tc>
          <w:tcPr>
            <w:tcW w:w="1086" w:type="dxa"/>
            <w:tcBorders>
              <w:top w:val="nil"/>
              <w:left w:val="nil"/>
              <w:bottom w:val="single" w:color="auto" w:sz="4" w:space="0"/>
              <w:right w:val="single" w:color="auto" w:sz="4" w:space="0"/>
            </w:tcBorders>
            <w:noWrap/>
            <w:vAlign w:val="center"/>
          </w:tcPr>
          <w:p>
            <w:pPr>
              <w:jc w:val="left"/>
              <w:rPr>
                <w:rFonts w:ascii="宋体" w:hAnsi="宋体" w:eastAsia="宋体" w:cs="宋体"/>
                <w:color w:val="000000"/>
                <w:kern w:val="0"/>
                <w:szCs w:val="18"/>
              </w:rPr>
            </w:pPr>
          </w:p>
        </w:tc>
        <w:tc>
          <w:tcPr>
            <w:tcW w:w="4016" w:type="dxa"/>
            <w:tcBorders>
              <w:top w:val="nil"/>
              <w:left w:val="nil"/>
              <w:bottom w:val="single" w:color="auto" w:sz="4" w:space="0"/>
              <w:right w:val="single" w:color="auto" w:sz="4" w:space="0"/>
            </w:tcBorders>
            <w:noWrap/>
            <w:vAlign w:val="center"/>
          </w:tcPr>
          <w:p>
            <w:pPr>
              <w:jc w:val="left"/>
              <w:rPr>
                <w:rFonts w:ascii="宋体" w:hAnsi="宋体" w:eastAsia="宋体" w:cs="宋体"/>
                <w:color w:val="000000"/>
                <w:kern w:val="0"/>
                <w:szCs w:val="18"/>
              </w:rPr>
            </w:pPr>
          </w:p>
        </w:tc>
        <w:tc>
          <w:tcPr>
            <w:tcW w:w="845" w:type="dxa"/>
            <w:tcBorders>
              <w:top w:val="nil"/>
              <w:left w:val="nil"/>
              <w:bottom w:val="single" w:color="auto" w:sz="4" w:space="0"/>
              <w:right w:val="single" w:color="auto" w:sz="4" w:space="0"/>
            </w:tcBorders>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4498"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人员经费合计</w:t>
            </w:r>
          </w:p>
        </w:tc>
        <w:tc>
          <w:tcPr>
            <w:tcW w:w="84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555.81</w:t>
            </w:r>
          </w:p>
        </w:tc>
        <w:tc>
          <w:tcPr>
            <w:tcW w:w="9426" w:type="dxa"/>
            <w:gridSpan w:val="5"/>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公用经费合计</w:t>
            </w:r>
          </w:p>
        </w:tc>
        <w:tc>
          <w:tcPr>
            <w:tcW w:w="84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ascii="宋体" w:hAnsi="宋体" w:eastAsia="宋体" w:cs="宋体"/>
                <w:color w:val="000000"/>
                <w:kern w:val="0"/>
                <w:szCs w:val="18"/>
              </w:rPr>
            </w:pPr>
            <w:r>
              <w:rPr>
                <w:rFonts w:hint="eastAsia" w:ascii="宋体" w:hAnsi="宋体" w:eastAsia="宋体" w:cs="宋体"/>
                <w:i w:val="0"/>
                <w:iCs w:val="0"/>
                <w:color w:val="000000"/>
                <w:kern w:val="0"/>
                <w:sz w:val="22"/>
                <w:szCs w:val="22"/>
                <w:u w:val="none"/>
                <w:lang w:val="en-US" w:eastAsia="zh-CN" w:bidi="ar"/>
              </w:rPr>
              <w:t>104.28</w:t>
            </w:r>
          </w:p>
        </w:tc>
      </w:tr>
      <w:tr>
        <w:tblPrEx>
          <w:tblCellMar>
            <w:top w:w="0" w:type="dxa"/>
            <w:left w:w="108" w:type="dxa"/>
            <w:bottom w:w="0" w:type="dxa"/>
            <w:right w:w="108" w:type="dxa"/>
          </w:tblCellMar>
        </w:tblPrEx>
        <w:trPr>
          <w:trHeight w:val="284" w:hRule="exact"/>
        </w:trPr>
        <w:tc>
          <w:tcPr>
            <w:tcW w:w="15614" w:type="dxa"/>
            <w:gridSpan w:val="9"/>
            <w:tcBorders>
              <w:top w:val="nil"/>
              <w:left w:val="nil"/>
              <w:bottom w:val="nil"/>
              <w:right w:val="nil"/>
            </w:tcBorders>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val="en-US" w:eastAsia="zh-CN"/>
        </w:rPr>
        <w:t>道县民政局</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6"/>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noWrap w:val="0"/>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noWrap w:val="0"/>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noWrap w:val="0"/>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noWrap w:val="0"/>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noWrap w:val="0"/>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noWrap w:val="0"/>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noWrap w:val="0"/>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noWrap w:val="0"/>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noWrap w:val="0"/>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noWrap w:val="0"/>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14.50</w:t>
            </w:r>
          </w:p>
        </w:tc>
        <w:tc>
          <w:tcPr>
            <w:tcW w:w="1220" w:type="dxa"/>
            <w:tcBorders>
              <w:top w:val="nil"/>
              <w:left w:val="nil"/>
              <w:bottom w:val="single" w:color="auto" w:sz="8" w:space="0"/>
              <w:right w:val="single" w:color="auto" w:sz="4" w:space="0"/>
            </w:tcBorders>
            <w:noWrap w:val="0"/>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noWrap w:val="0"/>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4.50</w:t>
            </w:r>
          </w:p>
        </w:tc>
        <w:tc>
          <w:tcPr>
            <w:tcW w:w="1220" w:type="dxa"/>
            <w:tcBorders>
              <w:top w:val="nil"/>
              <w:left w:val="nil"/>
              <w:bottom w:val="single" w:color="auto" w:sz="8" w:space="0"/>
              <w:right w:val="single" w:color="auto" w:sz="4" w:space="0"/>
            </w:tcBorders>
            <w:noWrap w:val="0"/>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noWrap w:val="0"/>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4.50</w:t>
            </w:r>
          </w:p>
        </w:tc>
        <w:tc>
          <w:tcPr>
            <w:tcW w:w="1220" w:type="dxa"/>
            <w:tcBorders>
              <w:top w:val="nil"/>
              <w:left w:val="nil"/>
              <w:bottom w:val="single" w:color="auto" w:sz="8" w:space="0"/>
              <w:right w:val="single" w:color="auto" w:sz="4" w:space="0"/>
            </w:tcBorders>
            <w:noWrap w:val="0"/>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10.00</w:t>
            </w:r>
          </w:p>
        </w:tc>
        <w:tc>
          <w:tcPr>
            <w:tcW w:w="1220" w:type="dxa"/>
            <w:tcBorders>
              <w:top w:val="nil"/>
              <w:left w:val="nil"/>
              <w:bottom w:val="single" w:color="auto" w:sz="8" w:space="0"/>
              <w:right w:val="single" w:color="auto" w:sz="4" w:space="0"/>
            </w:tcBorders>
            <w:noWrap w:val="0"/>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13.70</w:t>
            </w:r>
          </w:p>
        </w:tc>
        <w:tc>
          <w:tcPr>
            <w:tcW w:w="1220" w:type="dxa"/>
            <w:tcBorders>
              <w:top w:val="nil"/>
              <w:left w:val="nil"/>
              <w:bottom w:val="single" w:color="auto" w:sz="8" w:space="0"/>
              <w:right w:val="single" w:color="auto" w:sz="4" w:space="0"/>
            </w:tcBorders>
            <w:noWrap w:val="0"/>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noWrap w:val="0"/>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4.20</w:t>
            </w:r>
          </w:p>
        </w:tc>
        <w:tc>
          <w:tcPr>
            <w:tcW w:w="1220" w:type="dxa"/>
            <w:tcBorders>
              <w:top w:val="nil"/>
              <w:left w:val="nil"/>
              <w:bottom w:val="single" w:color="auto" w:sz="8" w:space="0"/>
              <w:right w:val="single" w:color="auto" w:sz="4" w:space="0"/>
            </w:tcBorders>
            <w:noWrap w:val="0"/>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nil"/>
            </w:tcBorders>
            <w:noWrap w:val="0"/>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4.20</w:t>
            </w:r>
          </w:p>
        </w:tc>
        <w:tc>
          <w:tcPr>
            <w:tcW w:w="1220" w:type="dxa"/>
            <w:tcBorders>
              <w:top w:val="nil"/>
              <w:left w:val="single" w:color="auto" w:sz="4" w:space="0"/>
              <w:bottom w:val="single" w:color="auto" w:sz="8" w:space="0"/>
              <w:right w:val="single" w:color="auto" w:sz="8" w:space="0"/>
            </w:tcBorders>
            <w:noWrap w:val="0"/>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9.50</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val="en-US" w:eastAsia="zh-CN"/>
        </w:rPr>
        <w:t>道县民政局</w:t>
      </w:r>
      <w:r>
        <w:rPr>
          <w:rFonts w:ascii="Times New Roman" w:hAnsi="Times New Roman" w:eastAsia="仿宋_GB2312" w:cs="Times New Roman"/>
          <w:color w:val="000000"/>
          <w:kern w:val="0"/>
          <w:szCs w:val="21"/>
        </w:rPr>
        <w:t xml:space="preserve">                                                                                                             公开08表</w:t>
      </w:r>
    </w:p>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单位：万元</w:t>
      </w:r>
    </w:p>
    <w:tbl>
      <w:tblPr>
        <w:tblStyle w:val="6"/>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986"/>
        <w:gridCol w:w="966"/>
        <w:gridCol w:w="1237"/>
        <w:gridCol w:w="1854"/>
        <w:gridCol w:w="1896"/>
        <w:gridCol w:w="1896"/>
        <w:gridCol w:w="1854"/>
        <w:gridCol w:w="1896"/>
        <w:gridCol w:w="185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189" w:type="dxa"/>
            <w:gridSpan w:val="3"/>
            <w:noWrap w:val="0"/>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1854" w:type="dxa"/>
            <w:vMerge w:val="restart"/>
            <w:noWrap w:val="0"/>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1896" w:type="dxa"/>
            <w:vMerge w:val="restart"/>
            <w:noWrap w:val="0"/>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5646" w:type="dxa"/>
            <w:gridSpan w:val="3"/>
            <w:noWrap w:val="0"/>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1855" w:type="dxa"/>
            <w:vMerge w:val="restart"/>
            <w:noWrap w:val="0"/>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952" w:type="dxa"/>
            <w:gridSpan w:val="2"/>
            <w:vMerge w:val="restart"/>
            <w:noWrap w:val="0"/>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237" w:type="dxa"/>
            <w:vMerge w:val="restart"/>
            <w:noWrap w:val="0"/>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1854" w:type="dxa"/>
            <w:vMerge w:val="continue"/>
            <w:noWrap w:val="0"/>
            <w:vAlign w:val="center"/>
          </w:tcPr>
          <w:p>
            <w:pPr>
              <w:widowControl/>
              <w:jc w:val="left"/>
              <w:rPr>
                <w:rFonts w:ascii="Times New Roman" w:hAnsi="Times New Roman" w:eastAsia="仿宋_GB2312" w:cs="Times New Roman"/>
                <w:b/>
                <w:kern w:val="0"/>
                <w:szCs w:val="21"/>
              </w:rPr>
            </w:pPr>
          </w:p>
        </w:tc>
        <w:tc>
          <w:tcPr>
            <w:tcW w:w="1896" w:type="dxa"/>
            <w:vMerge w:val="continue"/>
            <w:noWrap w:val="0"/>
            <w:vAlign w:val="center"/>
          </w:tcPr>
          <w:p>
            <w:pPr>
              <w:widowControl/>
              <w:jc w:val="left"/>
              <w:rPr>
                <w:rFonts w:ascii="Times New Roman" w:hAnsi="Times New Roman" w:eastAsia="仿宋_GB2312" w:cs="Times New Roman"/>
                <w:b/>
                <w:kern w:val="0"/>
                <w:szCs w:val="21"/>
              </w:rPr>
            </w:pPr>
          </w:p>
        </w:tc>
        <w:tc>
          <w:tcPr>
            <w:tcW w:w="1896" w:type="dxa"/>
            <w:vMerge w:val="restart"/>
            <w:noWrap w:val="0"/>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1854" w:type="dxa"/>
            <w:vMerge w:val="restart"/>
            <w:noWrap w:val="0"/>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1896" w:type="dxa"/>
            <w:vMerge w:val="restart"/>
            <w:noWrap w:val="0"/>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1855" w:type="dxa"/>
            <w:vMerge w:val="continue"/>
            <w:noWrap w:val="0"/>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952" w:type="dxa"/>
            <w:gridSpan w:val="2"/>
            <w:vMerge w:val="continue"/>
            <w:noWrap w:val="0"/>
            <w:vAlign w:val="center"/>
          </w:tcPr>
          <w:p>
            <w:pPr>
              <w:widowControl/>
              <w:jc w:val="left"/>
              <w:rPr>
                <w:rFonts w:ascii="Times New Roman" w:hAnsi="Times New Roman" w:eastAsia="仿宋_GB2312" w:cs="Times New Roman"/>
                <w:kern w:val="0"/>
                <w:szCs w:val="21"/>
              </w:rPr>
            </w:pPr>
          </w:p>
        </w:tc>
        <w:tc>
          <w:tcPr>
            <w:tcW w:w="1237" w:type="dxa"/>
            <w:vMerge w:val="continue"/>
            <w:noWrap w:val="0"/>
            <w:vAlign w:val="center"/>
          </w:tcPr>
          <w:p>
            <w:pPr>
              <w:widowControl/>
              <w:jc w:val="left"/>
              <w:rPr>
                <w:rFonts w:ascii="Times New Roman" w:hAnsi="Times New Roman" w:eastAsia="仿宋_GB2312" w:cs="Times New Roman"/>
                <w:kern w:val="0"/>
                <w:szCs w:val="21"/>
              </w:rPr>
            </w:pPr>
          </w:p>
        </w:tc>
        <w:tc>
          <w:tcPr>
            <w:tcW w:w="1854" w:type="dxa"/>
            <w:vMerge w:val="continue"/>
            <w:noWrap w:val="0"/>
            <w:vAlign w:val="center"/>
          </w:tcPr>
          <w:p>
            <w:pPr>
              <w:widowControl/>
              <w:jc w:val="left"/>
              <w:rPr>
                <w:rFonts w:ascii="Times New Roman" w:hAnsi="Times New Roman" w:eastAsia="仿宋_GB2312" w:cs="Times New Roman"/>
                <w:kern w:val="0"/>
                <w:szCs w:val="21"/>
              </w:rPr>
            </w:pPr>
          </w:p>
        </w:tc>
        <w:tc>
          <w:tcPr>
            <w:tcW w:w="1896" w:type="dxa"/>
            <w:vMerge w:val="continue"/>
            <w:noWrap w:val="0"/>
            <w:vAlign w:val="center"/>
          </w:tcPr>
          <w:p>
            <w:pPr>
              <w:widowControl/>
              <w:jc w:val="left"/>
              <w:rPr>
                <w:rFonts w:ascii="Times New Roman" w:hAnsi="Times New Roman" w:eastAsia="仿宋_GB2312" w:cs="Times New Roman"/>
                <w:kern w:val="0"/>
                <w:szCs w:val="21"/>
              </w:rPr>
            </w:pPr>
          </w:p>
        </w:tc>
        <w:tc>
          <w:tcPr>
            <w:tcW w:w="1896" w:type="dxa"/>
            <w:vMerge w:val="continue"/>
            <w:noWrap w:val="0"/>
            <w:vAlign w:val="center"/>
          </w:tcPr>
          <w:p>
            <w:pPr>
              <w:widowControl/>
              <w:jc w:val="left"/>
              <w:rPr>
                <w:rFonts w:ascii="Times New Roman" w:hAnsi="Times New Roman" w:eastAsia="仿宋_GB2312" w:cs="Times New Roman"/>
                <w:kern w:val="0"/>
                <w:szCs w:val="21"/>
              </w:rPr>
            </w:pPr>
          </w:p>
        </w:tc>
        <w:tc>
          <w:tcPr>
            <w:tcW w:w="1854" w:type="dxa"/>
            <w:vMerge w:val="continue"/>
            <w:noWrap w:val="0"/>
            <w:vAlign w:val="center"/>
          </w:tcPr>
          <w:p>
            <w:pPr>
              <w:widowControl/>
              <w:jc w:val="left"/>
              <w:rPr>
                <w:rFonts w:ascii="Times New Roman" w:hAnsi="Times New Roman" w:eastAsia="仿宋_GB2312" w:cs="Times New Roman"/>
                <w:kern w:val="0"/>
                <w:szCs w:val="21"/>
              </w:rPr>
            </w:pPr>
          </w:p>
        </w:tc>
        <w:tc>
          <w:tcPr>
            <w:tcW w:w="1896" w:type="dxa"/>
            <w:vMerge w:val="continue"/>
            <w:noWrap w:val="0"/>
            <w:vAlign w:val="center"/>
          </w:tcPr>
          <w:p>
            <w:pPr>
              <w:widowControl/>
              <w:jc w:val="left"/>
              <w:rPr>
                <w:rFonts w:ascii="Times New Roman" w:hAnsi="Times New Roman" w:eastAsia="仿宋_GB2312" w:cs="Times New Roman"/>
                <w:kern w:val="0"/>
                <w:szCs w:val="21"/>
              </w:rPr>
            </w:pPr>
          </w:p>
        </w:tc>
        <w:tc>
          <w:tcPr>
            <w:tcW w:w="1855" w:type="dxa"/>
            <w:vMerge w:val="continue"/>
            <w:noWrap w:val="0"/>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952" w:type="dxa"/>
            <w:gridSpan w:val="2"/>
            <w:vMerge w:val="continue"/>
            <w:noWrap w:val="0"/>
            <w:vAlign w:val="center"/>
          </w:tcPr>
          <w:p>
            <w:pPr>
              <w:widowControl/>
              <w:jc w:val="left"/>
              <w:rPr>
                <w:rFonts w:ascii="Times New Roman" w:hAnsi="Times New Roman" w:eastAsia="仿宋_GB2312" w:cs="Times New Roman"/>
                <w:kern w:val="0"/>
                <w:szCs w:val="21"/>
              </w:rPr>
            </w:pPr>
          </w:p>
        </w:tc>
        <w:tc>
          <w:tcPr>
            <w:tcW w:w="1237" w:type="dxa"/>
            <w:vMerge w:val="continue"/>
            <w:noWrap w:val="0"/>
            <w:vAlign w:val="center"/>
          </w:tcPr>
          <w:p>
            <w:pPr>
              <w:widowControl/>
              <w:jc w:val="left"/>
              <w:rPr>
                <w:rFonts w:ascii="Times New Roman" w:hAnsi="Times New Roman" w:eastAsia="仿宋_GB2312" w:cs="Times New Roman"/>
                <w:kern w:val="0"/>
                <w:szCs w:val="21"/>
              </w:rPr>
            </w:pPr>
          </w:p>
        </w:tc>
        <w:tc>
          <w:tcPr>
            <w:tcW w:w="1854" w:type="dxa"/>
            <w:vMerge w:val="continue"/>
            <w:noWrap w:val="0"/>
            <w:vAlign w:val="center"/>
          </w:tcPr>
          <w:p>
            <w:pPr>
              <w:widowControl/>
              <w:jc w:val="left"/>
              <w:rPr>
                <w:rFonts w:ascii="Times New Roman" w:hAnsi="Times New Roman" w:eastAsia="仿宋_GB2312" w:cs="Times New Roman"/>
                <w:kern w:val="0"/>
                <w:szCs w:val="21"/>
              </w:rPr>
            </w:pPr>
          </w:p>
        </w:tc>
        <w:tc>
          <w:tcPr>
            <w:tcW w:w="1896" w:type="dxa"/>
            <w:vMerge w:val="continue"/>
            <w:noWrap w:val="0"/>
            <w:vAlign w:val="center"/>
          </w:tcPr>
          <w:p>
            <w:pPr>
              <w:widowControl/>
              <w:jc w:val="left"/>
              <w:rPr>
                <w:rFonts w:ascii="Times New Roman" w:hAnsi="Times New Roman" w:eastAsia="仿宋_GB2312" w:cs="Times New Roman"/>
                <w:kern w:val="0"/>
                <w:szCs w:val="21"/>
              </w:rPr>
            </w:pPr>
          </w:p>
        </w:tc>
        <w:tc>
          <w:tcPr>
            <w:tcW w:w="1896" w:type="dxa"/>
            <w:vMerge w:val="continue"/>
            <w:noWrap w:val="0"/>
            <w:vAlign w:val="center"/>
          </w:tcPr>
          <w:p>
            <w:pPr>
              <w:widowControl/>
              <w:jc w:val="left"/>
              <w:rPr>
                <w:rFonts w:ascii="Times New Roman" w:hAnsi="Times New Roman" w:eastAsia="仿宋_GB2312" w:cs="Times New Roman"/>
                <w:kern w:val="0"/>
                <w:szCs w:val="21"/>
              </w:rPr>
            </w:pPr>
          </w:p>
        </w:tc>
        <w:tc>
          <w:tcPr>
            <w:tcW w:w="1854" w:type="dxa"/>
            <w:vMerge w:val="continue"/>
            <w:noWrap w:val="0"/>
            <w:vAlign w:val="center"/>
          </w:tcPr>
          <w:p>
            <w:pPr>
              <w:widowControl/>
              <w:jc w:val="left"/>
              <w:rPr>
                <w:rFonts w:ascii="Times New Roman" w:hAnsi="Times New Roman" w:eastAsia="仿宋_GB2312" w:cs="Times New Roman"/>
                <w:kern w:val="0"/>
                <w:szCs w:val="21"/>
              </w:rPr>
            </w:pPr>
          </w:p>
        </w:tc>
        <w:tc>
          <w:tcPr>
            <w:tcW w:w="1896" w:type="dxa"/>
            <w:vMerge w:val="continue"/>
            <w:noWrap w:val="0"/>
            <w:vAlign w:val="center"/>
          </w:tcPr>
          <w:p>
            <w:pPr>
              <w:widowControl/>
              <w:jc w:val="left"/>
              <w:rPr>
                <w:rFonts w:ascii="Times New Roman" w:hAnsi="Times New Roman" w:eastAsia="仿宋_GB2312" w:cs="Times New Roman"/>
                <w:kern w:val="0"/>
                <w:szCs w:val="21"/>
              </w:rPr>
            </w:pPr>
          </w:p>
        </w:tc>
        <w:tc>
          <w:tcPr>
            <w:tcW w:w="1855" w:type="dxa"/>
            <w:vMerge w:val="continue"/>
            <w:noWrap w:val="0"/>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189" w:type="dxa"/>
            <w:gridSpan w:val="3"/>
            <w:noWrap w:val="0"/>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栏次</w:t>
            </w:r>
          </w:p>
        </w:tc>
        <w:tc>
          <w:tcPr>
            <w:tcW w:w="1854" w:type="dxa"/>
            <w:noWrap w:val="0"/>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w:t>
            </w:r>
          </w:p>
        </w:tc>
        <w:tc>
          <w:tcPr>
            <w:tcW w:w="1896" w:type="dxa"/>
            <w:noWrap w:val="0"/>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w:t>
            </w:r>
          </w:p>
        </w:tc>
        <w:tc>
          <w:tcPr>
            <w:tcW w:w="1896" w:type="dxa"/>
            <w:noWrap w:val="0"/>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w:t>
            </w:r>
          </w:p>
        </w:tc>
        <w:tc>
          <w:tcPr>
            <w:tcW w:w="1854" w:type="dxa"/>
            <w:noWrap w:val="0"/>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w:t>
            </w:r>
          </w:p>
        </w:tc>
        <w:tc>
          <w:tcPr>
            <w:tcW w:w="1896" w:type="dxa"/>
            <w:noWrap w:val="0"/>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w:t>
            </w:r>
          </w:p>
        </w:tc>
        <w:tc>
          <w:tcPr>
            <w:tcW w:w="1855" w:type="dxa"/>
            <w:noWrap w:val="0"/>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189" w:type="dxa"/>
            <w:gridSpan w:val="3"/>
            <w:noWrap w:val="0"/>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合计</w:t>
            </w:r>
          </w:p>
        </w:tc>
        <w:tc>
          <w:tcPr>
            <w:tcW w:w="1854" w:type="dxa"/>
            <w:noWrap w:val="0"/>
            <w:vAlign w:val="center"/>
          </w:tcPr>
          <w:p>
            <w:pPr>
              <w:jc w:val="right"/>
              <w:rPr>
                <w:rFonts w:ascii="Times New Roman" w:hAnsi="Times New Roman" w:eastAsia="仿宋_GB2312" w:cs="Times New Roman"/>
                <w:kern w:val="0"/>
                <w:szCs w:val="21"/>
              </w:rPr>
            </w:pPr>
          </w:p>
        </w:tc>
        <w:tc>
          <w:tcPr>
            <w:tcW w:w="1896" w:type="dxa"/>
            <w:noWrap w:val="0"/>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212.68</w:t>
            </w:r>
          </w:p>
        </w:tc>
        <w:tc>
          <w:tcPr>
            <w:tcW w:w="1896" w:type="dxa"/>
            <w:noWrap w:val="0"/>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212.68</w:t>
            </w:r>
          </w:p>
        </w:tc>
        <w:tc>
          <w:tcPr>
            <w:tcW w:w="1854" w:type="dxa"/>
            <w:noWrap w:val="0"/>
            <w:vAlign w:val="center"/>
          </w:tcPr>
          <w:p>
            <w:pPr>
              <w:jc w:val="right"/>
              <w:rPr>
                <w:rFonts w:ascii="Times New Roman" w:hAnsi="Times New Roman" w:eastAsia="仿宋_GB2312" w:cs="Times New Roman"/>
                <w:kern w:val="0"/>
                <w:szCs w:val="21"/>
              </w:rPr>
            </w:pPr>
          </w:p>
        </w:tc>
        <w:tc>
          <w:tcPr>
            <w:tcW w:w="1896" w:type="dxa"/>
            <w:noWrap w:val="0"/>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212.68</w:t>
            </w:r>
          </w:p>
        </w:tc>
        <w:tc>
          <w:tcPr>
            <w:tcW w:w="1855" w:type="dxa"/>
            <w:noWrap w:val="0"/>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86" w:type="dxa"/>
            <w:noWrap w:val="0"/>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229</w:t>
            </w:r>
          </w:p>
        </w:tc>
        <w:tc>
          <w:tcPr>
            <w:tcW w:w="2203" w:type="dxa"/>
            <w:gridSpan w:val="2"/>
            <w:noWrap w:val="0"/>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其他支出</w:t>
            </w:r>
          </w:p>
        </w:tc>
        <w:tc>
          <w:tcPr>
            <w:tcW w:w="1854" w:type="dxa"/>
            <w:noWrap w:val="0"/>
            <w:vAlign w:val="center"/>
          </w:tcPr>
          <w:p>
            <w:pPr>
              <w:jc w:val="right"/>
              <w:rPr>
                <w:rFonts w:ascii="Times New Roman" w:hAnsi="Times New Roman" w:eastAsia="仿宋_GB2312" w:cs="Times New Roman"/>
                <w:kern w:val="0"/>
                <w:szCs w:val="21"/>
              </w:rPr>
            </w:pPr>
          </w:p>
        </w:tc>
        <w:tc>
          <w:tcPr>
            <w:tcW w:w="1896" w:type="dxa"/>
            <w:noWrap w:val="0"/>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212.68</w:t>
            </w:r>
          </w:p>
        </w:tc>
        <w:tc>
          <w:tcPr>
            <w:tcW w:w="1896" w:type="dxa"/>
            <w:noWrap w:val="0"/>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212.68</w:t>
            </w:r>
          </w:p>
        </w:tc>
        <w:tc>
          <w:tcPr>
            <w:tcW w:w="1854" w:type="dxa"/>
            <w:noWrap w:val="0"/>
            <w:vAlign w:val="center"/>
          </w:tcPr>
          <w:p>
            <w:pPr>
              <w:jc w:val="right"/>
              <w:rPr>
                <w:rFonts w:ascii="Times New Roman" w:hAnsi="Times New Roman" w:eastAsia="仿宋_GB2312" w:cs="Times New Roman"/>
                <w:kern w:val="0"/>
                <w:szCs w:val="21"/>
              </w:rPr>
            </w:pPr>
          </w:p>
        </w:tc>
        <w:tc>
          <w:tcPr>
            <w:tcW w:w="1896" w:type="dxa"/>
            <w:noWrap w:val="0"/>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212.68</w:t>
            </w:r>
          </w:p>
        </w:tc>
        <w:tc>
          <w:tcPr>
            <w:tcW w:w="1855" w:type="dxa"/>
            <w:noWrap w:val="0"/>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86" w:type="dxa"/>
            <w:noWrap w:val="0"/>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22960</w:t>
            </w:r>
          </w:p>
        </w:tc>
        <w:tc>
          <w:tcPr>
            <w:tcW w:w="2203" w:type="dxa"/>
            <w:gridSpan w:val="2"/>
            <w:noWrap w:val="0"/>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彩票公益金安排的支出</w:t>
            </w:r>
          </w:p>
        </w:tc>
        <w:tc>
          <w:tcPr>
            <w:tcW w:w="1854" w:type="dxa"/>
            <w:noWrap w:val="0"/>
            <w:vAlign w:val="center"/>
          </w:tcPr>
          <w:p>
            <w:pPr>
              <w:jc w:val="right"/>
              <w:rPr>
                <w:rFonts w:ascii="Times New Roman" w:hAnsi="Times New Roman" w:eastAsia="仿宋_GB2312" w:cs="Times New Roman"/>
                <w:kern w:val="0"/>
                <w:szCs w:val="21"/>
              </w:rPr>
            </w:pPr>
          </w:p>
        </w:tc>
        <w:tc>
          <w:tcPr>
            <w:tcW w:w="1896" w:type="dxa"/>
            <w:noWrap w:val="0"/>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212.68</w:t>
            </w:r>
          </w:p>
        </w:tc>
        <w:tc>
          <w:tcPr>
            <w:tcW w:w="1896" w:type="dxa"/>
            <w:noWrap w:val="0"/>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212.68</w:t>
            </w:r>
          </w:p>
        </w:tc>
        <w:tc>
          <w:tcPr>
            <w:tcW w:w="1854" w:type="dxa"/>
            <w:noWrap w:val="0"/>
            <w:vAlign w:val="center"/>
          </w:tcPr>
          <w:p>
            <w:pPr>
              <w:jc w:val="right"/>
              <w:rPr>
                <w:rFonts w:ascii="Times New Roman" w:hAnsi="Times New Roman" w:eastAsia="仿宋_GB2312" w:cs="Times New Roman"/>
                <w:kern w:val="0"/>
                <w:szCs w:val="21"/>
              </w:rPr>
            </w:pPr>
          </w:p>
        </w:tc>
        <w:tc>
          <w:tcPr>
            <w:tcW w:w="1896" w:type="dxa"/>
            <w:noWrap w:val="0"/>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212.68</w:t>
            </w:r>
          </w:p>
        </w:tc>
        <w:tc>
          <w:tcPr>
            <w:tcW w:w="1855" w:type="dxa"/>
            <w:noWrap w:val="0"/>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86" w:type="dxa"/>
            <w:noWrap w:val="0"/>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2296002</w:t>
            </w:r>
          </w:p>
        </w:tc>
        <w:tc>
          <w:tcPr>
            <w:tcW w:w="2203" w:type="dxa"/>
            <w:gridSpan w:val="2"/>
            <w:noWrap w:val="0"/>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用于社会福利的彩票公益金支出</w:t>
            </w:r>
          </w:p>
        </w:tc>
        <w:tc>
          <w:tcPr>
            <w:tcW w:w="1854" w:type="dxa"/>
            <w:noWrap w:val="0"/>
            <w:vAlign w:val="center"/>
          </w:tcPr>
          <w:p>
            <w:pPr>
              <w:jc w:val="right"/>
              <w:rPr>
                <w:rFonts w:ascii="Times New Roman" w:hAnsi="Times New Roman" w:eastAsia="仿宋_GB2312" w:cs="Times New Roman"/>
                <w:kern w:val="0"/>
                <w:szCs w:val="21"/>
              </w:rPr>
            </w:pPr>
          </w:p>
        </w:tc>
        <w:tc>
          <w:tcPr>
            <w:tcW w:w="1896" w:type="dxa"/>
            <w:noWrap w:val="0"/>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212.68</w:t>
            </w:r>
          </w:p>
        </w:tc>
        <w:tc>
          <w:tcPr>
            <w:tcW w:w="1896" w:type="dxa"/>
            <w:noWrap w:val="0"/>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212.68</w:t>
            </w:r>
          </w:p>
        </w:tc>
        <w:tc>
          <w:tcPr>
            <w:tcW w:w="1854" w:type="dxa"/>
            <w:noWrap w:val="0"/>
            <w:vAlign w:val="center"/>
          </w:tcPr>
          <w:p>
            <w:pPr>
              <w:jc w:val="right"/>
              <w:rPr>
                <w:rFonts w:ascii="Times New Roman" w:hAnsi="Times New Roman" w:eastAsia="仿宋_GB2312" w:cs="Times New Roman"/>
                <w:kern w:val="0"/>
                <w:szCs w:val="21"/>
              </w:rPr>
            </w:pPr>
          </w:p>
        </w:tc>
        <w:tc>
          <w:tcPr>
            <w:tcW w:w="1896" w:type="dxa"/>
            <w:noWrap w:val="0"/>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212.68</w:t>
            </w:r>
          </w:p>
        </w:tc>
        <w:tc>
          <w:tcPr>
            <w:tcW w:w="1855" w:type="dxa"/>
            <w:noWrap w:val="0"/>
            <w:vAlign w:val="center"/>
          </w:tcPr>
          <w:p>
            <w:pPr>
              <w:jc w:val="right"/>
              <w:rPr>
                <w:rFonts w:ascii="Times New Roman" w:hAnsi="Times New Roman" w:eastAsia="仿宋_GB2312" w:cs="Times New Roman"/>
                <w:kern w:val="0"/>
                <w:szCs w:val="21"/>
              </w:rPr>
            </w:pP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黑体" w:hAnsi="黑体" w:eastAsia="黑体"/>
          <w:szCs w:val="21"/>
        </w:rPr>
      </w:pPr>
      <w:r>
        <w:rPr>
          <w:rFonts w:ascii="黑体" w:hAnsi="黑体" w:eastAsia="黑体"/>
          <w:szCs w:val="21"/>
        </w:rPr>
        <w:br w:type="page"/>
      </w:r>
    </w:p>
    <w:tbl>
      <w:tblPr>
        <w:tblStyle w:val="6"/>
        <w:tblW w:w="14190" w:type="dxa"/>
        <w:tblInd w:w="93"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noWrap w:val="0"/>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blPrEx>
          <w:tblCellMar>
            <w:top w:w="0" w:type="dxa"/>
            <w:left w:w="108" w:type="dxa"/>
            <w:bottom w:w="0" w:type="dxa"/>
            <w:right w:w="108" w:type="dxa"/>
          </w:tblCellMar>
        </w:tblPrEx>
        <w:trPr>
          <w:trHeight w:val="285" w:hRule="atLeast"/>
        </w:trPr>
        <w:tc>
          <w:tcPr>
            <w:tcW w:w="4835" w:type="dxa"/>
            <w:gridSpan w:val="4"/>
            <w:tcBorders>
              <w:top w:val="nil"/>
              <w:left w:val="nil"/>
              <w:bottom w:val="nil"/>
              <w:right w:val="nil"/>
            </w:tcBorders>
            <w:shd w:val="clear" w:color="000000" w:fill="FFFFFF"/>
            <w:noWrap/>
            <w:vAlign w:val="center"/>
          </w:tcPr>
          <w:p>
            <w:pPr>
              <w:widowControl/>
              <w:jc w:val="left"/>
              <w:rPr>
                <w:rFonts w:hint="default" w:ascii="宋体" w:hAnsi="宋体" w:eastAsia="宋体" w:cs="宋体"/>
                <w:kern w:val="0"/>
                <w:sz w:val="20"/>
                <w:szCs w:val="20"/>
                <w:lang w:val="en-US" w:eastAsia="zh-CN"/>
              </w:rPr>
            </w:pPr>
            <w:r>
              <w:rPr>
                <w:rFonts w:hint="eastAsia" w:ascii="宋体" w:hAnsi="宋体" w:eastAsia="宋体" w:cs="宋体"/>
                <w:color w:val="000000"/>
                <w:kern w:val="0"/>
                <w:sz w:val="20"/>
                <w:szCs w:val="20"/>
              </w:rPr>
              <w:t>部门：</w:t>
            </w:r>
            <w:r>
              <w:rPr>
                <w:rFonts w:hint="eastAsia" w:ascii="宋体" w:hAnsi="宋体" w:eastAsia="宋体" w:cs="宋体"/>
                <w:kern w:val="0"/>
                <w:sz w:val="20"/>
                <w:szCs w:val="20"/>
                <w:lang w:val="en-US" w:eastAsia="zh-CN"/>
              </w:rPr>
              <w:t>道县民</w:t>
            </w:r>
            <w:r>
              <w:rPr>
                <w:rFonts w:hint="eastAsia" w:ascii="宋体" w:hAnsi="宋体" w:cs="宋体"/>
                <w:kern w:val="0"/>
                <w:sz w:val="20"/>
                <w:szCs w:val="20"/>
                <w:lang w:val="en-US" w:eastAsia="zh-CN"/>
              </w:rPr>
              <w:t>政</w:t>
            </w:r>
            <w:r>
              <w:rPr>
                <w:rFonts w:hint="eastAsia" w:ascii="宋体" w:hAnsi="宋体" w:eastAsia="宋体" w:cs="宋体"/>
                <w:kern w:val="0"/>
                <w:sz w:val="20"/>
                <w:szCs w:val="20"/>
                <w:lang w:val="en-US" w:eastAsia="zh-CN"/>
              </w:rPr>
              <w:t>局</w:t>
            </w:r>
          </w:p>
        </w:tc>
        <w:tc>
          <w:tcPr>
            <w:tcW w:w="1225" w:type="dxa"/>
            <w:tcBorders>
              <w:top w:val="nil"/>
              <w:left w:val="nil"/>
              <w:bottom w:val="single" w:color="auto" w:sz="8" w:space="0"/>
              <w:right w:val="nil"/>
            </w:tcBorders>
            <w:shd w:val="clear" w:color="000000" w:fill="FFFFFF"/>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noWrap w:val="0"/>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noWrap w:val="0"/>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noWrap w:val="0"/>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noWrap w:val="0"/>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noWrap w:val="0"/>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noWrap w:val="0"/>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noWrap w:val="0"/>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noWrap w:val="0"/>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noWrap w:val="0"/>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noWrap w:val="0"/>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noWrap w:val="0"/>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noWrap w:val="0"/>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noWrap w:val="0"/>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noWrap w:val="0"/>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noWrap w:val="0"/>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noWrap w:val="0"/>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noWrap w:val="0"/>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noWrap w:val="0"/>
            <w:vAlign w:val="center"/>
          </w:tcPr>
          <w:p>
            <w:pPr>
              <w:numPr>
                <w:ilvl w:val="0"/>
                <w:numId w:val="2"/>
              </w:numPr>
              <w:ind w:leftChars="0"/>
              <w:jc w:val="both"/>
              <w:rPr>
                <w:rFonts w:hint="default" w:ascii="宋体" w:hAnsi="宋体" w:eastAsia="宋体" w:cs="宋体"/>
                <w:kern w:val="0"/>
                <w:sz w:val="24"/>
                <w:szCs w:val="24"/>
                <w:lang w:val="en-US" w:eastAsia="zh-CN"/>
              </w:rPr>
            </w:pPr>
            <w:r>
              <w:rPr>
                <w:rFonts w:hint="eastAsia" w:ascii="宋体" w:hAnsi="宋体" w:eastAsia="宋体" w:cs="宋体"/>
                <w:kern w:val="0"/>
                <w:sz w:val="24"/>
                <w:szCs w:val="24"/>
              </w:rPr>
              <w:t>注：本表反映部门本年度国有资本经营预算财政拨款支出情况。</w:t>
            </w:r>
          </w:p>
          <w:p>
            <w:pPr>
              <w:numPr>
                <w:ilvl w:val="0"/>
                <w:numId w:val="2"/>
              </w:numPr>
              <w:ind w:leftChars="0"/>
              <w:jc w:val="both"/>
              <w:rPr>
                <w:rFonts w:hint="default" w:ascii="宋体" w:hAnsi="宋体" w:eastAsia="宋体" w:cs="宋体"/>
                <w:kern w:val="0"/>
                <w:sz w:val="24"/>
                <w:szCs w:val="24"/>
                <w:lang w:val="en-US" w:eastAsia="zh-CN"/>
              </w:rPr>
            </w:pPr>
            <w:r>
              <w:rPr>
                <w:rFonts w:hint="eastAsia"/>
                <w:sz w:val="24"/>
                <w:szCs w:val="24"/>
                <w:lang w:val="en-US" w:eastAsia="zh-CN"/>
              </w:rPr>
              <w:t>道县民政局</w:t>
            </w:r>
            <w:r>
              <w:rPr>
                <w:rFonts w:hint="eastAsia" w:ascii="宋体" w:hAnsi="宋体" w:eastAsia="宋体" w:cs="宋体"/>
                <w:kern w:val="0"/>
                <w:sz w:val="24"/>
                <w:szCs w:val="24"/>
                <w:lang w:val="en-US" w:eastAsia="zh-CN"/>
              </w:rPr>
              <w:t>无国有资本经营收入，也没有安排国有资本经营支出，故本表格无数据。</w:t>
            </w:r>
          </w:p>
          <w:p>
            <w:pPr>
              <w:widowControl/>
              <w:jc w:val="left"/>
              <w:rPr>
                <w:rFonts w:ascii="宋体" w:hAnsi="宋体" w:eastAsia="宋体" w:cs="宋体"/>
                <w:kern w:val="0"/>
                <w:sz w:val="24"/>
                <w:szCs w:val="24"/>
              </w:rPr>
            </w:pPr>
          </w:p>
        </w:tc>
      </w:tr>
    </w:tbl>
    <w:p>
      <w:pPr>
        <w:pStyle w:val="11"/>
        <w:rPr>
          <w:sz w:val="72"/>
          <w:szCs w:val="72"/>
        </w:rPr>
        <w:sectPr>
          <w:pgSz w:w="16838" w:h="11906" w:orient="landscape"/>
          <w:pgMar w:top="720" w:right="720" w:bottom="720" w:left="720" w:header="851" w:footer="992" w:gutter="0"/>
          <w:cols w:space="720" w:num="1"/>
          <w:docGrid w:type="lines" w:linePitch="312" w:charSpace="0"/>
        </w:sectPr>
      </w:pPr>
    </w:p>
    <w:p>
      <w:pPr>
        <w:pStyle w:val="11"/>
        <w:rPr>
          <w:sz w:val="72"/>
          <w:szCs w:val="72"/>
        </w:rPr>
      </w:pPr>
    </w:p>
    <w:p>
      <w:pPr>
        <w:pStyle w:val="11"/>
        <w:rPr>
          <w:sz w:val="72"/>
          <w:szCs w:val="72"/>
        </w:rPr>
      </w:pPr>
    </w:p>
    <w:p>
      <w:pPr>
        <w:pStyle w:val="11"/>
        <w:rPr>
          <w:sz w:val="72"/>
          <w:szCs w:val="72"/>
        </w:rPr>
      </w:pPr>
    </w:p>
    <w:p>
      <w:pPr>
        <w:pStyle w:val="11"/>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r>
        <w:rPr>
          <w:rFonts w:hint="eastAsia"/>
          <w:sz w:val="72"/>
          <w:szCs w:val="72"/>
        </w:rPr>
        <w:t>第三部分</w:t>
      </w:r>
    </w:p>
    <w:p>
      <w:pPr>
        <w:pStyle w:val="11"/>
        <w:jc w:val="center"/>
        <w:rPr>
          <w:sz w:val="70"/>
          <w:szCs w:val="70"/>
        </w:rPr>
      </w:pPr>
    </w:p>
    <w:p>
      <w:pPr>
        <w:pStyle w:val="11"/>
        <w:jc w:val="center"/>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11"/>
        <w:rPr>
          <w:rFonts w:ascii="宋体" w:hAnsi="宋体" w:eastAsia="宋体"/>
          <w:sz w:val="32"/>
          <w:szCs w:val="32"/>
        </w:rPr>
      </w:pPr>
    </w:p>
    <w:p>
      <w:pPr>
        <w:pStyle w:val="11"/>
        <w:rPr>
          <w:rFonts w:hAnsi="黑体"/>
          <w:b/>
          <w:sz w:val="32"/>
          <w:szCs w:val="32"/>
        </w:rPr>
      </w:pPr>
      <w:r>
        <w:rPr>
          <w:rFonts w:hint="eastAsia" w:hAnsi="黑体"/>
          <w:b/>
          <w:sz w:val="32"/>
          <w:szCs w:val="32"/>
        </w:rPr>
        <w:t>一、收入支出决算总体情况说明</w:t>
      </w:r>
    </w:p>
    <w:p>
      <w:pPr>
        <w:pStyle w:val="11"/>
        <w:ind w:firstLine="640" w:firstLineChars="200"/>
        <w:rPr>
          <w:rFonts w:hint="default" w:ascii="宋体" w:hAnsi="宋体" w:eastAsia="宋体"/>
          <w:sz w:val="32"/>
          <w:szCs w:val="32"/>
          <w:lang w:val="en-US" w:eastAsia="zh-CN"/>
        </w:rPr>
      </w:pPr>
      <w:r>
        <w:rPr>
          <w:rFonts w:hint="eastAsia" w:ascii="宋体" w:hAnsi="宋体" w:eastAsia="宋体"/>
          <w:sz w:val="32"/>
          <w:szCs w:val="32"/>
        </w:rPr>
        <w:t>2021年度收、支总计</w:t>
      </w:r>
      <w:r>
        <w:rPr>
          <w:rFonts w:hint="eastAsia" w:ascii="宋体" w:hAnsi="宋体" w:eastAsia="宋体"/>
          <w:sz w:val="32"/>
          <w:szCs w:val="32"/>
          <w:lang w:val="en-US" w:eastAsia="zh-CN"/>
        </w:rPr>
        <w:t>14254.42</w:t>
      </w:r>
      <w:r>
        <w:rPr>
          <w:rFonts w:hint="eastAsia" w:ascii="宋体" w:hAnsi="宋体" w:eastAsia="宋体"/>
          <w:sz w:val="32"/>
          <w:szCs w:val="32"/>
        </w:rPr>
        <w:t>万元。与上年相比，增加</w:t>
      </w:r>
      <w:r>
        <w:rPr>
          <w:rFonts w:hint="eastAsia" w:ascii="宋体" w:hAnsi="宋体" w:eastAsia="宋体"/>
          <w:sz w:val="32"/>
          <w:szCs w:val="32"/>
          <w:lang w:val="en-US" w:eastAsia="zh-CN"/>
        </w:rPr>
        <w:t>2642.55</w:t>
      </w:r>
      <w:r>
        <w:rPr>
          <w:rFonts w:hint="eastAsia" w:ascii="宋体" w:hAnsi="宋体" w:eastAsia="宋体"/>
          <w:sz w:val="32"/>
          <w:szCs w:val="32"/>
        </w:rPr>
        <w:t>万元，增长</w:t>
      </w:r>
      <w:r>
        <w:rPr>
          <w:rFonts w:hint="eastAsia" w:ascii="宋体" w:hAnsi="宋体" w:eastAsia="宋体"/>
          <w:sz w:val="32"/>
          <w:szCs w:val="32"/>
          <w:lang w:val="en-US" w:eastAsia="zh-CN"/>
        </w:rPr>
        <w:t>18.54</w:t>
      </w:r>
      <w:r>
        <w:rPr>
          <w:rFonts w:hint="eastAsia" w:ascii="宋体" w:hAnsi="宋体" w:eastAsia="宋体"/>
          <w:sz w:val="32"/>
          <w:szCs w:val="32"/>
        </w:rPr>
        <w:t>%，主要是因为</w:t>
      </w:r>
      <w:r>
        <w:rPr>
          <w:rFonts w:hint="eastAsia" w:ascii="宋体" w:hAnsi="宋体" w:eastAsia="宋体"/>
          <w:sz w:val="32"/>
          <w:szCs w:val="32"/>
          <w:lang w:val="en-US" w:eastAsia="zh-CN"/>
        </w:rPr>
        <w:t>上级加大了对社会保障的投入。</w:t>
      </w:r>
    </w:p>
    <w:p>
      <w:pPr>
        <w:pStyle w:val="11"/>
        <w:rPr>
          <w:rFonts w:hAnsi="黑体"/>
          <w:b/>
          <w:sz w:val="32"/>
          <w:szCs w:val="32"/>
        </w:rPr>
      </w:pPr>
      <w:r>
        <w:rPr>
          <w:rFonts w:hint="eastAsia" w:hAnsi="黑体"/>
          <w:b/>
          <w:sz w:val="32"/>
          <w:szCs w:val="32"/>
        </w:rPr>
        <w:t>二、收入决算情况说明</w:t>
      </w:r>
    </w:p>
    <w:p>
      <w:pPr>
        <w:pStyle w:val="11"/>
        <w:ind w:firstLine="640" w:firstLineChars="200"/>
        <w:rPr>
          <w:rFonts w:ascii="宋体" w:hAnsi="宋体" w:eastAsia="宋体"/>
          <w:sz w:val="32"/>
          <w:szCs w:val="32"/>
        </w:rPr>
      </w:pPr>
      <w:r>
        <w:rPr>
          <w:rFonts w:hint="eastAsia" w:ascii="宋体" w:hAnsi="宋体" w:eastAsia="宋体"/>
          <w:sz w:val="32"/>
          <w:szCs w:val="32"/>
        </w:rPr>
        <w:t>2021年度收入合计</w:t>
      </w:r>
      <w:r>
        <w:rPr>
          <w:rFonts w:hint="eastAsia" w:ascii="宋体" w:hAnsi="宋体" w:eastAsia="宋体"/>
          <w:sz w:val="32"/>
          <w:szCs w:val="32"/>
          <w:lang w:val="en-US" w:eastAsia="zh-CN"/>
        </w:rPr>
        <w:t>14254.42</w:t>
      </w:r>
      <w:r>
        <w:rPr>
          <w:rFonts w:hint="eastAsia" w:ascii="宋体" w:hAnsi="宋体" w:eastAsia="宋体"/>
          <w:sz w:val="32"/>
          <w:szCs w:val="32"/>
        </w:rPr>
        <w:t>万元，其中：财政拨款收入</w:t>
      </w:r>
      <w:r>
        <w:rPr>
          <w:rFonts w:hint="eastAsia" w:ascii="宋体" w:hAnsi="宋体" w:eastAsia="宋体"/>
          <w:sz w:val="32"/>
          <w:szCs w:val="32"/>
          <w:lang w:val="en-US" w:eastAsia="zh-CN"/>
        </w:rPr>
        <w:t>14254.42</w:t>
      </w:r>
      <w:r>
        <w:rPr>
          <w:rFonts w:hint="eastAsia" w:ascii="宋体" w:hAnsi="宋体" w:eastAsia="宋体"/>
          <w:sz w:val="32"/>
          <w:szCs w:val="32"/>
        </w:rPr>
        <w:t>万元，占</w:t>
      </w:r>
      <w:r>
        <w:rPr>
          <w:rFonts w:hint="eastAsia" w:ascii="宋体" w:hAnsi="宋体" w:eastAsia="宋体"/>
          <w:sz w:val="32"/>
          <w:szCs w:val="32"/>
          <w:lang w:val="en-US" w:eastAsia="zh-CN"/>
        </w:rPr>
        <w:t>100</w:t>
      </w:r>
      <w:r>
        <w:rPr>
          <w:rFonts w:hint="eastAsia" w:ascii="宋体" w:hAnsi="宋体" w:eastAsia="宋体"/>
          <w:sz w:val="32"/>
          <w:szCs w:val="32"/>
        </w:rPr>
        <w:t>%；上级补助收入</w:t>
      </w:r>
      <w:r>
        <w:rPr>
          <w:rFonts w:hint="eastAsia" w:ascii="宋体" w:hAnsi="宋体" w:eastAsia="宋体"/>
          <w:sz w:val="32"/>
          <w:szCs w:val="32"/>
          <w:lang w:val="en-US" w:eastAsia="zh-CN"/>
        </w:rPr>
        <w:t>0</w:t>
      </w:r>
      <w:r>
        <w:rPr>
          <w:rFonts w:hint="eastAsia" w:ascii="宋体" w:hAnsi="宋体" w:eastAsia="宋体"/>
          <w:sz w:val="32"/>
          <w:szCs w:val="32"/>
        </w:rPr>
        <w:t>万元，占</w:t>
      </w:r>
      <w:r>
        <w:rPr>
          <w:rFonts w:hint="eastAsia" w:ascii="宋体" w:hAnsi="宋体" w:eastAsia="宋体"/>
          <w:sz w:val="32"/>
          <w:szCs w:val="32"/>
          <w:lang w:val="en-US" w:eastAsia="zh-CN"/>
        </w:rPr>
        <w:t>0</w:t>
      </w:r>
      <w:r>
        <w:rPr>
          <w:rFonts w:hint="eastAsia" w:ascii="宋体" w:hAnsi="宋体" w:eastAsia="宋体"/>
          <w:sz w:val="32"/>
          <w:szCs w:val="32"/>
        </w:rPr>
        <w:t>%；事业收入</w:t>
      </w:r>
      <w:r>
        <w:rPr>
          <w:rFonts w:hint="eastAsia" w:ascii="宋体" w:hAnsi="宋体" w:eastAsia="宋体"/>
          <w:sz w:val="32"/>
          <w:szCs w:val="32"/>
          <w:lang w:val="en-US" w:eastAsia="zh-CN"/>
        </w:rPr>
        <w:t>0</w:t>
      </w:r>
      <w:r>
        <w:rPr>
          <w:rFonts w:hint="eastAsia" w:ascii="宋体" w:hAnsi="宋体" w:eastAsia="宋体"/>
          <w:sz w:val="32"/>
          <w:szCs w:val="32"/>
        </w:rPr>
        <w:t>万元，占</w:t>
      </w:r>
      <w:r>
        <w:rPr>
          <w:rFonts w:hint="eastAsia" w:ascii="宋体" w:hAnsi="宋体" w:eastAsia="宋体"/>
          <w:sz w:val="32"/>
          <w:szCs w:val="32"/>
          <w:lang w:val="en-US" w:eastAsia="zh-CN"/>
        </w:rPr>
        <w:t>0</w:t>
      </w:r>
      <w:r>
        <w:rPr>
          <w:rFonts w:hint="eastAsia" w:ascii="宋体" w:hAnsi="宋体" w:eastAsia="宋体"/>
          <w:sz w:val="32"/>
          <w:szCs w:val="32"/>
        </w:rPr>
        <w:t>%；经营收入</w:t>
      </w:r>
      <w:r>
        <w:rPr>
          <w:rFonts w:hint="eastAsia" w:ascii="宋体" w:hAnsi="宋体" w:eastAsia="宋体"/>
          <w:sz w:val="32"/>
          <w:szCs w:val="32"/>
          <w:lang w:val="en-US" w:eastAsia="zh-CN"/>
        </w:rPr>
        <w:t>0</w:t>
      </w:r>
      <w:r>
        <w:rPr>
          <w:rFonts w:hint="eastAsia" w:ascii="宋体" w:hAnsi="宋体" w:eastAsia="宋体"/>
          <w:sz w:val="32"/>
          <w:szCs w:val="32"/>
        </w:rPr>
        <w:t>万元，占</w:t>
      </w:r>
      <w:r>
        <w:rPr>
          <w:rFonts w:hint="eastAsia" w:ascii="宋体" w:hAnsi="宋体" w:eastAsia="宋体"/>
          <w:sz w:val="32"/>
          <w:szCs w:val="32"/>
          <w:lang w:val="en-US" w:eastAsia="zh-CN"/>
        </w:rPr>
        <w:t>0</w:t>
      </w:r>
      <w:r>
        <w:rPr>
          <w:rFonts w:hint="eastAsia" w:ascii="宋体" w:hAnsi="宋体" w:eastAsia="宋体"/>
          <w:sz w:val="32"/>
          <w:szCs w:val="32"/>
        </w:rPr>
        <w:t>%；附属单位上缴收入</w:t>
      </w:r>
      <w:r>
        <w:rPr>
          <w:rFonts w:hint="eastAsia" w:ascii="宋体" w:hAnsi="宋体" w:eastAsia="宋体"/>
          <w:sz w:val="32"/>
          <w:szCs w:val="32"/>
          <w:lang w:val="en-US" w:eastAsia="zh-CN"/>
        </w:rPr>
        <w:t>0</w:t>
      </w:r>
      <w:r>
        <w:rPr>
          <w:rFonts w:hint="eastAsia" w:ascii="宋体" w:hAnsi="宋体" w:eastAsia="宋体"/>
          <w:sz w:val="32"/>
          <w:szCs w:val="32"/>
        </w:rPr>
        <w:t>万元，占</w:t>
      </w:r>
      <w:r>
        <w:rPr>
          <w:rFonts w:hint="eastAsia" w:ascii="宋体" w:hAnsi="宋体" w:eastAsia="宋体"/>
          <w:sz w:val="32"/>
          <w:szCs w:val="32"/>
          <w:lang w:val="en-US" w:eastAsia="zh-CN"/>
        </w:rPr>
        <w:t>0</w:t>
      </w:r>
      <w:r>
        <w:rPr>
          <w:rFonts w:hint="eastAsia" w:ascii="宋体" w:hAnsi="宋体" w:eastAsia="宋体"/>
          <w:sz w:val="32"/>
          <w:szCs w:val="32"/>
        </w:rPr>
        <w:t>%；其他收入</w:t>
      </w:r>
      <w:r>
        <w:rPr>
          <w:rFonts w:hint="eastAsia" w:ascii="宋体" w:hAnsi="宋体" w:eastAsia="宋体"/>
          <w:sz w:val="32"/>
          <w:szCs w:val="32"/>
          <w:lang w:val="en-US" w:eastAsia="zh-CN"/>
        </w:rPr>
        <w:t>0</w:t>
      </w:r>
      <w:r>
        <w:rPr>
          <w:rFonts w:hint="eastAsia" w:ascii="宋体" w:hAnsi="宋体" w:eastAsia="宋体"/>
          <w:sz w:val="32"/>
          <w:szCs w:val="32"/>
        </w:rPr>
        <w:t>万元，占</w:t>
      </w:r>
      <w:r>
        <w:rPr>
          <w:rFonts w:hint="eastAsia" w:ascii="宋体" w:hAnsi="宋体" w:eastAsia="宋体"/>
          <w:sz w:val="32"/>
          <w:szCs w:val="32"/>
          <w:lang w:val="en-US" w:eastAsia="zh-CN"/>
        </w:rPr>
        <w:t>0</w:t>
      </w:r>
      <w:r>
        <w:rPr>
          <w:rFonts w:hint="eastAsia" w:ascii="宋体" w:hAnsi="宋体" w:eastAsia="宋体"/>
          <w:sz w:val="32"/>
          <w:szCs w:val="32"/>
        </w:rPr>
        <w:t>%。</w:t>
      </w:r>
    </w:p>
    <w:p>
      <w:pPr>
        <w:pStyle w:val="11"/>
        <w:rPr>
          <w:rFonts w:hAnsi="黑体"/>
          <w:b/>
          <w:sz w:val="32"/>
          <w:szCs w:val="32"/>
        </w:rPr>
      </w:pPr>
      <w:r>
        <w:rPr>
          <w:rFonts w:hint="eastAsia" w:hAnsi="黑体"/>
          <w:b/>
          <w:sz w:val="32"/>
          <w:szCs w:val="32"/>
        </w:rPr>
        <w:t>三、支出决算情况说明</w:t>
      </w:r>
    </w:p>
    <w:p>
      <w:pPr>
        <w:pStyle w:val="11"/>
        <w:ind w:firstLine="640" w:firstLineChars="200"/>
        <w:rPr>
          <w:rFonts w:ascii="宋体" w:hAnsi="宋体" w:eastAsia="宋体"/>
          <w:sz w:val="32"/>
          <w:szCs w:val="32"/>
        </w:rPr>
      </w:pPr>
      <w:r>
        <w:rPr>
          <w:rFonts w:hint="eastAsia" w:ascii="宋体" w:hAnsi="宋体" w:eastAsia="宋体"/>
          <w:sz w:val="32"/>
          <w:szCs w:val="32"/>
        </w:rPr>
        <w:t>2021年度支出合计</w:t>
      </w:r>
      <w:r>
        <w:rPr>
          <w:rFonts w:hint="eastAsia" w:ascii="宋体" w:hAnsi="宋体" w:eastAsia="宋体"/>
          <w:sz w:val="32"/>
          <w:szCs w:val="32"/>
          <w:lang w:val="en-US" w:eastAsia="zh-CN"/>
        </w:rPr>
        <w:t>14254.42</w:t>
      </w:r>
      <w:r>
        <w:rPr>
          <w:rFonts w:hint="eastAsia" w:ascii="宋体" w:hAnsi="宋体" w:eastAsia="宋体"/>
          <w:sz w:val="32"/>
          <w:szCs w:val="32"/>
        </w:rPr>
        <w:t>万元，其中：基本支出</w:t>
      </w:r>
      <w:r>
        <w:rPr>
          <w:rFonts w:hint="eastAsia" w:ascii="宋体" w:hAnsi="宋体" w:eastAsia="宋体"/>
          <w:sz w:val="32"/>
          <w:szCs w:val="32"/>
          <w:lang w:val="en-US" w:eastAsia="zh-CN"/>
        </w:rPr>
        <w:t>660.09</w:t>
      </w:r>
      <w:r>
        <w:rPr>
          <w:rFonts w:hint="eastAsia" w:ascii="宋体" w:hAnsi="宋体" w:eastAsia="宋体"/>
          <w:sz w:val="32"/>
          <w:szCs w:val="32"/>
        </w:rPr>
        <w:t>万元，占</w:t>
      </w:r>
      <w:r>
        <w:rPr>
          <w:rFonts w:hint="eastAsia" w:ascii="宋体" w:hAnsi="宋体" w:eastAsia="宋体"/>
          <w:sz w:val="32"/>
          <w:szCs w:val="32"/>
          <w:lang w:val="en-US" w:eastAsia="zh-CN"/>
        </w:rPr>
        <w:t>4.63</w:t>
      </w:r>
      <w:r>
        <w:rPr>
          <w:rFonts w:hint="eastAsia" w:ascii="宋体" w:hAnsi="宋体" w:eastAsia="宋体"/>
          <w:sz w:val="32"/>
          <w:szCs w:val="32"/>
        </w:rPr>
        <w:t>%；项目支出</w:t>
      </w:r>
      <w:r>
        <w:rPr>
          <w:rFonts w:hint="eastAsia" w:ascii="宋体" w:hAnsi="宋体" w:eastAsia="宋体"/>
          <w:sz w:val="32"/>
          <w:szCs w:val="32"/>
          <w:lang w:val="en-US" w:eastAsia="zh-CN"/>
        </w:rPr>
        <w:t>13594.33</w:t>
      </w:r>
      <w:r>
        <w:rPr>
          <w:rFonts w:hint="eastAsia" w:ascii="宋体" w:hAnsi="宋体" w:eastAsia="宋体"/>
          <w:sz w:val="32"/>
          <w:szCs w:val="32"/>
        </w:rPr>
        <w:t>万元，占</w:t>
      </w:r>
      <w:r>
        <w:rPr>
          <w:rFonts w:hint="eastAsia" w:ascii="宋体" w:hAnsi="宋体" w:eastAsia="宋体"/>
          <w:sz w:val="32"/>
          <w:szCs w:val="32"/>
          <w:lang w:val="en-US" w:eastAsia="zh-CN"/>
        </w:rPr>
        <w:t>95.37</w:t>
      </w:r>
      <w:r>
        <w:rPr>
          <w:rFonts w:hint="eastAsia" w:ascii="宋体" w:hAnsi="宋体" w:eastAsia="宋体"/>
          <w:sz w:val="32"/>
          <w:szCs w:val="32"/>
        </w:rPr>
        <w:t>%；上缴上级支出</w:t>
      </w:r>
      <w:r>
        <w:rPr>
          <w:rFonts w:hint="eastAsia" w:ascii="宋体" w:hAnsi="宋体" w:eastAsia="宋体"/>
          <w:sz w:val="32"/>
          <w:szCs w:val="32"/>
          <w:lang w:val="en-US" w:eastAsia="zh-CN"/>
        </w:rPr>
        <w:t>0</w:t>
      </w:r>
      <w:r>
        <w:rPr>
          <w:rFonts w:hint="eastAsia" w:ascii="宋体" w:hAnsi="宋体" w:eastAsia="宋体"/>
          <w:sz w:val="32"/>
          <w:szCs w:val="32"/>
        </w:rPr>
        <w:t>万元，占</w:t>
      </w:r>
      <w:r>
        <w:rPr>
          <w:rFonts w:hint="eastAsia" w:ascii="宋体" w:hAnsi="宋体" w:eastAsia="宋体"/>
          <w:sz w:val="32"/>
          <w:szCs w:val="32"/>
          <w:lang w:val="en-US" w:eastAsia="zh-CN"/>
        </w:rPr>
        <w:t>0</w:t>
      </w:r>
      <w:r>
        <w:rPr>
          <w:rFonts w:hint="eastAsia" w:ascii="宋体" w:hAnsi="宋体" w:eastAsia="宋体"/>
          <w:sz w:val="32"/>
          <w:szCs w:val="32"/>
        </w:rPr>
        <w:t>%；经营支出</w:t>
      </w:r>
      <w:r>
        <w:rPr>
          <w:rFonts w:hint="eastAsia" w:ascii="宋体" w:hAnsi="宋体" w:eastAsia="宋体"/>
          <w:sz w:val="32"/>
          <w:szCs w:val="32"/>
          <w:lang w:val="en-US" w:eastAsia="zh-CN"/>
        </w:rPr>
        <w:t>0</w:t>
      </w:r>
      <w:r>
        <w:rPr>
          <w:rFonts w:hint="eastAsia" w:ascii="宋体" w:hAnsi="宋体" w:eastAsia="宋体"/>
          <w:sz w:val="32"/>
          <w:szCs w:val="32"/>
        </w:rPr>
        <w:t>万元，占</w:t>
      </w:r>
      <w:r>
        <w:rPr>
          <w:rFonts w:hint="eastAsia" w:ascii="宋体" w:hAnsi="宋体" w:eastAsia="宋体"/>
          <w:sz w:val="32"/>
          <w:szCs w:val="32"/>
          <w:lang w:val="en-US" w:eastAsia="zh-CN"/>
        </w:rPr>
        <w:t>0</w:t>
      </w:r>
      <w:r>
        <w:rPr>
          <w:rFonts w:hint="eastAsia" w:ascii="宋体" w:hAnsi="宋体" w:eastAsia="宋体"/>
          <w:sz w:val="32"/>
          <w:szCs w:val="32"/>
        </w:rPr>
        <w:t>%；对附属单位补助支出</w:t>
      </w:r>
      <w:r>
        <w:rPr>
          <w:rFonts w:hint="eastAsia" w:ascii="宋体" w:hAnsi="宋体" w:eastAsia="宋体"/>
          <w:sz w:val="32"/>
          <w:szCs w:val="32"/>
          <w:lang w:val="en-US" w:eastAsia="zh-CN"/>
        </w:rPr>
        <w:t>0</w:t>
      </w:r>
      <w:r>
        <w:rPr>
          <w:rFonts w:hint="eastAsia" w:ascii="宋体" w:hAnsi="宋体" w:eastAsia="宋体"/>
          <w:sz w:val="32"/>
          <w:szCs w:val="32"/>
        </w:rPr>
        <w:t>万元，占</w:t>
      </w:r>
      <w:r>
        <w:rPr>
          <w:rFonts w:hint="eastAsia" w:ascii="宋体" w:hAnsi="宋体" w:eastAsia="宋体"/>
          <w:sz w:val="32"/>
          <w:szCs w:val="32"/>
          <w:lang w:val="en-US" w:eastAsia="zh-CN"/>
        </w:rPr>
        <w:t>0</w:t>
      </w:r>
      <w:r>
        <w:rPr>
          <w:rFonts w:hint="eastAsia" w:ascii="宋体" w:hAnsi="宋体" w:eastAsia="宋体"/>
          <w:sz w:val="32"/>
          <w:szCs w:val="32"/>
        </w:rPr>
        <w:t>%。</w:t>
      </w:r>
    </w:p>
    <w:p>
      <w:pPr>
        <w:pStyle w:val="11"/>
        <w:rPr>
          <w:rFonts w:hAnsi="黑体"/>
          <w:b/>
          <w:sz w:val="32"/>
          <w:szCs w:val="32"/>
        </w:rPr>
      </w:pPr>
      <w:r>
        <w:rPr>
          <w:rFonts w:hint="eastAsia" w:hAnsi="黑体"/>
          <w:b/>
          <w:sz w:val="32"/>
          <w:szCs w:val="32"/>
        </w:rPr>
        <w:t>四、财政拨款收入支出决算总体情况说明</w:t>
      </w:r>
    </w:p>
    <w:p>
      <w:pPr>
        <w:pStyle w:val="11"/>
        <w:ind w:firstLine="640"/>
        <w:rPr>
          <w:rFonts w:hint="eastAsia" w:ascii="宋体" w:hAnsi="宋体" w:eastAsia="宋体"/>
          <w:sz w:val="32"/>
          <w:szCs w:val="32"/>
          <w:lang w:val="en-US" w:eastAsia="zh-CN"/>
        </w:rPr>
      </w:pPr>
      <w:r>
        <w:rPr>
          <w:rFonts w:hint="eastAsia" w:ascii="宋体" w:hAnsi="宋体" w:eastAsia="宋体"/>
          <w:sz w:val="32"/>
          <w:szCs w:val="32"/>
        </w:rPr>
        <w:t>2021年度财政拨款收、支总计</w:t>
      </w:r>
      <w:r>
        <w:rPr>
          <w:rFonts w:hint="eastAsia" w:ascii="宋体" w:hAnsi="宋体" w:eastAsia="宋体"/>
          <w:sz w:val="32"/>
          <w:szCs w:val="32"/>
          <w:lang w:val="en-US" w:eastAsia="zh-CN"/>
        </w:rPr>
        <w:t>14254.42</w:t>
      </w:r>
      <w:r>
        <w:rPr>
          <w:rFonts w:hint="eastAsia" w:ascii="宋体" w:hAnsi="宋体" w:eastAsia="宋体"/>
          <w:sz w:val="32"/>
          <w:szCs w:val="32"/>
        </w:rPr>
        <w:t>万元，与上年相比，增加</w:t>
      </w:r>
      <w:r>
        <w:rPr>
          <w:rFonts w:hint="eastAsia" w:ascii="宋体" w:hAnsi="宋体" w:eastAsia="宋体"/>
          <w:sz w:val="32"/>
          <w:szCs w:val="32"/>
          <w:lang w:val="en-US" w:eastAsia="zh-CN"/>
        </w:rPr>
        <w:t>2642.55</w:t>
      </w:r>
      <w:r>
        <w:rPr>
          <w:rFonts w:hint="eastAsia" w:ascii="宋体" w:hAnsi="宋体" w:eastAsia="宋体"/>
          <w:sz w:val="32"/>
          <w:szCs w:val="32"/>
        </w:rPr>
        <w:t>万元,增长</w:t>
      </w:r>
      <w:r>
        <w:rPr>
          <w:rFonts w:hint="eastAsia" w:ascii="宋体" w:hAnsi="宋体" w:eastAsia="宋体"/>
          <w:sz w:val="32"/>
          <w:szCs w:val="32"/>
          <w:lang w:val="en-US" w:eastAsia="zh-CN"/>
        </w:rPr>
        <w:t>18.54</w:t>
      </w:r>
      <w:r>
        <w:rPr>
          <w:rFonts w:hint="eastAsia" w:ascii="宋体" w:hAnsi="宋体" w:eastAsia="宋体"/>
          <w:sz w:val="32"/>
          <w:szCs w:val="32"/>
        </w:rPr>
        <w:t>%，主要是因为</w:t>
      </w:r>
      <w:r>
        <w:rPr>
          <w:rFonts w:hint="eastAsia" w:ascii="宋体" w:hAnsi="宋体" w:eastAsia="宋体"/>
          <w:sz w:val="32"/>
          <w:szCs w:val="32"/>
          <w:lang w:val="en-US" w:eastAsia="zh-CN"/>
        </w:rPr>
        <w:t>上级加大了对社会保障的投入。</w:t>
      </w:r>
    </w:p>
    <w:p>
      <w:pPr>
        <w:pStyle w:val="11"/>
        <w:ind w:firstLine="640"/>
        <w:rPr>
          <w:rFonts w:hAnsi="黑体"/>
          <w:b/>
          <w:sz w:val="32"/>
          <w:szCs w:val="32"/>
        </w:rPr>
      </w:pPr>
      <w:r>
        <w:rPr>
          <w:rFonts w:hint="eastAsia" w:hAnsi="黑体"/>
          <w:b/>
          <w:sz w:val="32"/>
          <w:szCs w:val="32"/>
        </w:rPr>
        <w:t>五、一般公共预算财政拨款支出决算情况说明</w:t>
      </w:r>
    </w:p>
    <w:p>
      <w:pPr>
        <w:pStyle w:val="11"/>
        <w:ind w:firstLine="640" w:firstLineChars="200"/>
        <w:rPr>
          <w:rFonts w:ascii="宋体" w:hAnsi="宋体" w:eastAsia="宋体"/>
          <w:b/>
          <w:sz w:val="32"/>
          <w:szCs w:val="32"/>
        </w:rPr>
      </w:pPr>
      <w:r>
        <w:rPr>
          <w:rFonts w:hint="eastAsia" w:ascii="宋体" w:hAnsi="宋体" w:eastAsia="宋体"/>
          <w:b/>
          <w:sz w:val="32"/>
          <w:szCs w:val="32"/>
        </w:rPr>
        <w:t>（一）财政拨款支出决算总体情况</w:t>
      </w:r>
    </w:p>
    <w:p>
      <w:pPr>
        <w:pStyle w:val="11"/>
        <w:ind w:firstLine="800" w:firstLineChars="250"/>
        <w:rPr>
          <w:rFonts w:ascii="宋体" w:hAnsi="宋体" w:eastAsia="宋体"/>
          <w:sz w:val="32"/>
          <w:szCs w:val="32"/>
        </w:rPr>
      </w:pPr>
      <w:r>
        <w:rPr>
          <w:rFonts w:hint="eastAsia" w:ascii="宋体" w:hAnsi="宋体" w:eastAsia="宋体"/>
          <w:sz w:val="32"/>
          <w:szCs w:val="32"/>
        </w:rPr>
        <w:t>2021年度财政拨款支出</w:t>
      </w:r>
      <w:r>
        <w:rPr>
          <w:rFonts w:hint="eastAsia" w:ascii="宋体" w:hAnsi="宋体" w:eastAsia="宋体"/>
          <w:sz w:val="32"/>
          <w:szCs w:val="32"/>
          <w:lang w:val="en-US" w:eastAsia="zh-CN"/>
        </w:rPr>
        <w:t>14254.42</w:t>
      </w:r>
      <w:r>
        <w:rPr>
          <w:rFonts w:hint="eastAsia" w:ascii="宋体" w:hAnsi="宋体" w:eastAsia="宋体"/>
          <w:sz w:val="32"/>
          <w:szCs w:val="32"/>
        </w:rPr>
        <w:t>万元，占本年支出合计的</w:t>
      </w:r>
      <w:r>
        <w:rPr>
          <w:rFonts w:hint="eastAsia" w:ascii="宋体" w:hAnsi="宋体" w:eastAsia="宋体"/>
          <w:sz w:val="32"/>
          <w:szCs w:val="32"/>
          <w:lang w:val="en-US" w:eastAsia="zh-CN"/>
        </w:rPr>
        <w:t>100</w:t>
      </w:r>
      <w:r>
        <w:rPr>
          <w:rFonts w:hint="eastAsia" w:ascii="宋体" w:hAnsi="宋体" w:eastAsia="宋体"/>
          <w:sz w:val="32"/>
          <w:szCs w:val="32"/>
        </w:rPr>
        <w:t>%，与上年相比，财政拨款支出增加</w:t>
      </w:r>
      <w:r>
        <w:rPr>
          <w:rFonts w:hint="eastAsia" w:ascii="宋体" w:hAnsi="宋体" w:eastAsia="宋体"/>
          <w:sz w:val="32"/>
          <w:szCs w:val="32"/>
          <w:lang w:val="en-US" w:eastAsia="zh-CN"/>
        </w:rPr>
        <w:t>2642.55</w:t>
      </w:r>
      <w:r>
        <w:rPr>
          <w:rFonts w:hint="eastAsia" w:ascii="宋体" w:hAnsi="宋体" w:eastAsia="宋体"/>
          <w:sz w:val="32"/>
          <w:szCs w:val="32"/>
        </w:rPr>
        <w:t>万元，增长</w:t>
      </w:r>
      <w:r>
        <w:rPr>
          <w:rFonts w:hint="eastAsia" w:ascii="宋体" w:hAnsi="宋体" w:eastAsia="宋体"/>
          <w:sz w:val="32"/>
          <w:szCs w:val="32"/>
          <w:lang w:val="en-US" w:eastAsia="zh-CN"/>
        </w:rPr>
        <w:t>18.54</w:t>
      </w:r>
      <w:r>
        <w:rPr>
          <w:rFonts w:hint="eastAsia" w:ascii="宋体" w:hAnsi="宋体" w:eastAsia="宋体"/>
          <w:sz w:val="32"/>
          <w:szCs w:val="32"/>
        </w:rPr>
        <w:t>%，主要是因为</w:t>
      </w:r>
      <w:r>
        <w:rPr>
          <w:rFonts w:hint="eastAsia" w:ascii="宋体" w:hAnsi="宋体" w:eastAsia="宋体"/>
          <w:sz w:val="32"/>
          <w:szCs w:val="32"/>
          <w:lang w:val="en-US" w:eastAsia="zh-CN"/>
        </w:rPr>
        <w:t>上级加大了对社会保障的投入。</w:t>
      </w:r>
    </w:p>
    <w:p>
      <w:pPr>
        <w:pStyle w:val="11"/>
        <w:ind w:firstLine="480" w:firstLineChars="150"/>
        <w:rPr>
          <w:rFonts w:ascii="宋体" w:hAnsi="宋体" w:eastAsia="宋体"/>
          <w:b/>
          <w:sz w:val="32"/>
          <w:szCs w:val="32"/>
        </w:rPr>
      </w:pPr>
      <w:r>
        <w:rPr>
          <w:rFonts w:hint="eastAsia" w:ascii="宋体" w:hAnsi="宋体" w:eastAsia="宋体"/>
          <w:b/>
          <w:sz w:val="32"/>
          <w:szCs w:val="32"/>
        </w:rPr>
        <w:t>（二）财政拨款支出决算结构情况</w:t>
      </w:r>
    </w:p>
    <w:p>
      <w:pPr>
        <w:pStyle w:val="11"/>
        <w:ind w:firstLine="640" w:firstLineChars="200"/>
        <w:rPr>
          <w:rFonts w:hint="default" w:ascii="宋体" w:hAnsi="宋体" w:eastAsia="宋体"/>
          <w:sz w:val="32"/>
          <w:szCs w:val="32"/>
          <w:lang w:val="en-US" w:eastAsia="zh-CN"/>
        </w:rPr>
      </w:pPr>
      <w:r>
        <w:rPr>
          <w:rFonts w:hint="eastAsia" w:ascii="宋体" w:hAnsi="宋体" w:eastAsia="宋体"/>
          <w:sz w:val="32"/>
          <w:szCs w:val="32"/>
        </w:rPr>
        <w:t>2021年度财政拨款支出</w:t>
      </w:r>
      <w:r>
        <w:rPr>
          <w:rFonts w:hint="eastAsia" w:ascii="宋体" w:hAnsi="宋体" w:eastAsia="宋体"/>
          <w:sz w:val="32"/>
          <w:szCs w:val="32"/>
          <w:lang w:val="en-US" w:eastAsia="zh-CN"/>
        </w:rPr>
        <w:t>14254.42</w:t>
      </w:r>
      <w:r>
        <w:rPr>
          <w:rFonts w:hint="eastAsia" w:ascii="宋体" w:hAnsi="宋体" w:eastAsia="宋体"/>
          <w:sz w:val="32"/>
          <w:szCs w:val="32"/>
        </w:rPr>
        <w:t>万元，主要用于以下方面：</w:t>
      </w:r>
      <w:r>
        <w:rPr>
          <w:rFonts w:hint="eastAsia" w:ascii="宋体" w:hAnsi="宋体" w:eastAsia="宋体"/>
          <w:sz w:val="32"/>
          <w:szCs w:val="32"/>
          <w:lang w:val="en-US" w:eastAsia="zh-CN"/>
        </w:rPr>
        <w:t>社会保障和就业支出14010.26万元，占98.29%，卫生健康支出31.48万元，占0.2%，其他支出212.68万元，占1.51%。</w:t>
      </w:r>
    </w:p>
    <w:p>
      <w:pPr>
        <w:pStyle w:val="11"/>
        <w:ind w:firstLine="800" w:firstLineChars="250"/>
        <w:rPr>
          <w:rFonts w:ascii="宋体" w:hAnsi="宋体" w:eastAsia="宋体"/>
          <w:b/>
          <w:sz w:val="32"/>
          <w:szCs w:val="32"/>
        </w:rPr>
      </w:pPr>
      <w:r>
        <w:rPr>
          <w:rFonts w:hint="eastAsia" w:ascii="宋体" w:hAnsi="宋体" w:eastAsia="宋体"/>
          <w:b/>
          <w:sz w:val="32"/>
          <w:szCs w:val="32"/>
        </w:rPr>
        <w:t>（三）财政拨款支出决算具体情况</w:t>
      </w:r>
    </w:p>
    <w:p>
      <w:pPr>
        <w:pStyle w:val="11"/>
        <w:ind w:firstLine="800" w:firstLineChars="250"/>
        <w:rPr>
          <w:rFonts w:ascii="宋体" w:hAnsi="宋体" w:eastAsia="宋体"/>
          <w:sz w:val="32"/>
          <w:szCs w:val="32"/>
        </w:rPr>
      </w:pPr>
      <w:r>
        <w:rPr>
          <w:rFonts w:hint="eastAsia" w:ascii="宋体" w:hAnsi="宋体" w:eastAsia="宋体"/>
          <w:sz w:val="32"/>
          <w:szCs w:val="32"/>
        </w:rPr>
        <w:t>2021年度财政拨款支出年初预算数为</w:t>
      </w:r>
      <w:r>
        <w:rPr>
          <w:rFonts w:hint="eastAsia" w:ascii="宋体" w:hAnsi="宋体" w:eastAsia="宋体"/>
          <w:sz w:val="32"/>
          <w:szCs w:val="32"/>
          <w:lang w:val="en-US" w:eastAsia="zh-CN"/>
        </w:rPr>
        <w:t>5583.34</w:t>
      </w:r>
      <w:r>
        <w:rPr>
          <w:rFonts w:hint="eastAsia" w:ascii="宋体" w:hAnsi="宋体" w:eastAsia="宋体"/>
          <w:sz w:val="32"/>
          <w:szCs w:val="32"/>
        </w:rPr>
        <w:t>万元，支出决算数为</w:t>
      </w:r>
      <w:r>
        <w:rPr>
          <w:rFonts w:hint="eastAsia" w:ascii="宋体" w:hAnsi="宋体" w:eastAsia="宋体"/>
          <w:sz w:val="32"/>
          <w:szCs w:val="32"/>
          <w:lang w:val="en-US" w:eastAsia="zh-CN"/>
        </w:rPr>
        <w:t>14254.42</w:t>
      </w:r>
      <w:r>
        <w:rPr>
          <w:rFonts w:hint="eastAsia" w:ascii="宋体" w:hAnsi="宋体" w:eastAsia="宋体"/>
          <w:sz w:val="32"/>
          <w:szCs w:val="32"/>
        </w:rPr>
        <w:t>万元，完成年初预算的</w:t>
      </w:r>
      <w:r>
        <w:rPr>
          <w:rFonts w:hint="eastAsia" w:ascii="宋体" w:hAnsi="宋体" w:eastAsia="宋体"/>
          <w:sz w:val="32"/>
          <w:szCs w:val="32"/>
          <w:lang w:val="en-US" w:eastAsia="zh-CN"/>
        </w:rPr>
        <w:t>255.3</w:t>
      </w:r>
      <w:r>
        <w:rPr>
          <w:rFonts w:hint="eastAsia" w:ascii="宋体" w:hAnsi="宋体" w:eastAsia="宋体"/>
          <w:sz w:val="32"/>
          <w:szCs w:val="32"/>
        </w:rPr>
        <w:t>%，其中：</w:t>
      </w:r>
    </w:p>
    <w:p>
      <w:pPr>
        <w:pStyle w:val="11"/>
        <w:ind w:firstLine="800" w:firstLineChars="250"/>
        <w:rPr>
          <w:rFonts w:ascii="宋体" w:hAnsi="宋体" w:eastAsia="宋体"/>
          <w:sz w:val="32"/>
          <w:szCs w:val="32"/>
        </w:rPr>
      </w:pPr>
      <w:r>
        <w:rPr>
          <w:rFonts w:hint="eastAsia" w:ascii="宋体" w:hAnsi="宋体" w:eastAsia="宋体"/>
          <w:sz w:val="32"/>
          <w:szCs w:val="32"/>
        </w:rPr>
        <w:t>1、</w:t>
      </w:r>
      <w:r>
        <w:rPr>
          <w:rFonts w:hint="eastAsia" w:ascii="宋体" w:hAnsi="宋体" w:eastAsia="宋体"/>
          <w:sz w:val="32"/>
          <w:szCs w:val="32"/>
          <w:lang w:val="en-US" w:eastAsia="zh-CN"/>
        </w:rPr>
        <w:t>社会保障和就业支出</w:t>
      </w:r>
      <w:r>
        <w:rPr>
          <w:rFonts w:hint="eastAsia" w:ascii="宋体" w:hAnsi="宋体" w:eastAsia="宋体"/>
          <w:sz w:val="32"/>
          <w:szCs w:val="32"/>
        </w:rPr>
        <w:t>（类）</w:t>
      </w:r>
      <w:r>
        <w:rPr>
          <w:rFonts w:hint="eastAsia" w:ascii="宋体" w:hAnsi="宋体" w:eastAsia="宋体"/>
          <w:sz w:val="32"/>
          <w:szCs w:val="32"/>
          <w:lang w:val="en-US" w:eastAsia="zh-CN"/>
        </w:rPr>
        <w:t>民政管理事务</w:t>
      </w:r>
      <w:r>
        <w:rPr>
          <w:rFonts w:hint="eastAsia" w:ascii="宋体" w:hAnsi="宋体" w:eastAsia="宋体"/>
          <w:sz w:val="32"/>
          <w:szCs w:val="32"/>
        </w:rPr>
        <w:t>（款）</w:t>
      </w:r>
      <w:r>
        <w:rPr>
          <w:rFonts w:hint="eastAsia" w:ascii="宋体" w:hAnsi="宋体" w:eastAsia="宋体"/>
          <w:sz w:val="32"/>
          <w:szCs w:val="32"/>
          <w:lang w:val="en-US" w:eastAsia="zh-CN"/>
        </w:rPr>
        <w:t>行政运行</w:t>
      </w:r>
      <w:r>
        <w:rPr>
          <w:rFonts w:hint="eastAsia" w:ascii="宋体" w:hAnsi="宋体" w:eastAsia="宋体"/>
          <w:sz w:val="32"/>
          <w:szCs w:val="32"/>
        </w:rPr>
        <w:t>（项）。</w:t>
      </w:r>
    </w:p>
    <w:p>
      <w:pPr>
        <w:pStyle w:val="11"/>
        <w:ind w:firstLine="800" w:firstLineChars="250"/>
        <w:rPr>
          <w:rFonts w:hint="default" w:ascii="宋体" w:hAnsi="宋体" w:eastAsia="宋体"/>
          <w:sz w:val="32"/>
          <w:szCs w:val="32"/>
          <w:lang w:val="en-US" w:eastAsia="zh-CN"/>
        </w:rPr>
      </w:pPr>
      <w:r>
        <w:rPr>
          <w:rFonts w:hint="eastAsia" w:ascii="宋体" w:hAnsi="宋体" w:eastAsia="宋体"/>
          <w:sz w:val="32"/>
          <w:szCs w:val="32"/>
        </w:rPr>
        <w:t>年初预算为</w:t>
      </w:r>
      <w:r>
        <w:rPr>
          <w:rFonts w:hint="eastAsia" w:ascii="宋体" w:hAnsi="宋体" w:eastAsia="宋体"/>
          <w:sz w:val="32"/>
          <w:szCs w:val="32"/>
          <w:lang w:val="en-US" w:eastAsia="zh-CN"/>
        </w:rPr>
        <w:t>587.8</w:t>
      </w:r>
      <w:r>
        <w:rPr>
          <w:rFonts w:hint="eastAsia" w:ascii="宋体" w:hAnsi="宋体" w:eastAsia="宋体"/>
          <w:sz w:val="32"/>
          <w:szCs w:val="32"/>
        </w:rPr>
        <w:t>万元，支出决算为</w:t>
      </w:r>
      <w:r>
        <w:rPr>
          <w:rFonts w:hint="eastAsia" w:ascii="宋体" w:hAnsi="宋体" w:eastAsia="宋体"/>
          <w:sz w:val="32"/>
          <w:szCs w:val="32"/>
          <w:lang w:val="en-US" w:eastAsia="zh-CN"/>
        </w:rPr>
        <w:t>565.65</w:t>
      </w:r>
      <w:r>
        <w:rPr>
          <w:rFonts w:hint="eastAsia" w:ascii="宋体" w:hAnsi="宋体" w:eastAsia="宋体"/>
          <w:sz w:val="32"/>
          <w:szCs w:val="32"/>
        </w:rPr>
        <w:t>万元，完成年初预算的</w:t>
      </w:r>
      <w:r>
        <w:rPr>
          <w:rFonts w:hint="eastAsia" w:ascii="宋体" w:hAnsi="宋体" w:eastAsia="宋体"/>
          <w:sz w:val="32"/>
          <w:szCs w:val="32"/>
          <w:lang w:val="en-US" w:eastAsia="zh-CN"/>
        </w:rPr>
        <w:t>96.23</w:t>
      </w:r>
      <w:r>
        <w:rPr>
          <w:rFonts w:hint="eastAsia" w:ascii="宋体" w:hAnsi="宋体" w:eastAsia="宋体"/>
          <w:sz w:val="32"/>
          <w:szCs w:val="32"/>
        </w:rPr>
        <w:t>%，决算数小于年初预算数的主要原因是：</w:t>
      </w:r>
      <w:r>
        <w:rPr>
          <w:rFonts w:hint="eastAsia" w:ascii="宋体" w:hAnsi="宋体" w:eastAsia="宋体"/>
          <w:sz w:val="32"/>
          <w:szCs w:val="32"/>
          <w:lang w:val="en-US" w:eastAsia="zh-CN"/>
        </w:rPr>
        <w:t>厉行节约，压减开支。</w:t>
      </w:r>
    </w:p>
    <w:p>
      <w:pPr>
        <w:pStyle w:val="11"/>
        <w:ind w:firstLine="800" w:firstLineChars="250"/>
        <w:rPr>
          <w:rFonts w:ascii="宋体" w:hAnsi="宋体" w:eastAsia="宋体"/>
          <w:sz w:val="32"/>
          <w:szCs w:val="32"/>
        </w:rPr>
      </w:pPr>
      <w:r>
        <w:rPr>
          <w:rFonts w:hint="eastAsia" w:ascii="宋体" w:hAnsi="宋体" w:eastAsia="宋体"/>
          <w:sz w:val="32"/>
          <w:szCs w:val="32"/>
        </w:rPr>
        <w:t>2、社会保障和就业支出（类）民政管理事务（款）</w:t>
      </w:r>
      <w:r>
        <w:rPr>
          <w:rFonts w:hint="eastAsia" w:ascii="宋体" w:hAnsi="宋体" w:eastAsia="宋体"/>
          <w:sz w:val="32"/>
          <w:szCs w:val="32"/>
          <w:lang w:val="en-US" w:eastAsia="zh-CN"/>
        </w:rPr>
        <w:t>其他民政事务支出</w:t>
      </w:r>
      <w:r>
        <w:rPr>
          <w:rFonts w:hint="eastAsia" w:ascii="宋体" w:hAnsi="宋体" w:eastAsia="宋体"/>
          <w:sz w:val="32"/>
          <w:szCs w:val="32"/>
        </w:rPr>
        <w:t>（项）。</w:t>
      </w:r>
    </w:p>
    <w:p>
      <w:pPr>
        <w:pStyle w:val="11"/>
        <w:ind w:firstLine="800" w:firstLineChars="250"/>
        <w:rPr>
          <w:rFonts w:hint="eastAsia" w:ascii="宋体" w:hAnsi="宋体" w:eastAsia="宋体"/>
          <w:sz w:val="32"/>
          <w:szCs w:val="32"/>
          <w:lang w:val="en-US" w:eastAsia="zh-CN"/>
        </w:rPr>
      </w:pPr>
      <w:r>
        <w:rPr>
          <w:rFonts w:hint="eastAsia" w:ascii="宋体" w:hAnsi="宋体" w:eastAsia="宋体"/>
          <w:sz w:val="32"/>
          <w:szCs w:val="32"/>
        </w:rPr>
        <w:t>年初预算为</w:t>
      </w:r>
      <w:r>
        <w:rPr>
          <w:rFonts w:hint="eastAsia" w:ascii="宋体" w:hAnsi="宋体" w:eastAsia="宋体"/>
          <w:sz w:val="32"/>
          <w:szCs w:val="32"/>
          <w:lang w:val="en-US" w:eastAsia="zh-CN"/>
        </w:rPr>
        <w:t>0</w:t>
      </w:r>
      <w:r>
        <w:rPr>
          <w:rFonts w:hint="eastAsia" w:ascii="宋体" w:hAnsi="宋体" w:eastAsia="宋体"/>
          <w:sz w:val="32"/>
          <w:szCs w:val="32"/>
        </w:rPr>
        <w:t>万元，支出决算为</w:t>
      </w:r>
      <w:r>
        <w:rPr>
          <w:rFonts w:hint="eastAsia" w:ascii="宋体" w:hAnsi="宋体" w:eastAsia="宋体"/>
          <w:sz w:val="32"/>
          <w:szCs w:val="32"/>
          <w:lang w:val="en-US" w:eastAsia="zh-CN"/>
        </w:rPr>
        <w:t>68</w:t>
      </w:r>
      <w:r>
        <w:rPr>
          <w:rFonts w:hint="eastAsia" w:ascii="宋体" w:hAnsi="宋体" w:eastAsia="宋体"/>
          <w:sz w:val="32"/>
          <w:szCs w:val="32"/>
        </w:rPr>
        <w:t>万元，决算数大于年初预算数的主要原因是：</w:t>
      </w:r>
      <w:r>
        <w:rPr>
          <w:rFonts w:hint="eastAsia" w:ascii="宋体" w:hAnsi="宋体" w:eastAsia="宋体"/>
          <w:sz w:val="32"/>
          <w:szCs w:val="32"/>
          <w:lang w:val="en-US" w:eastAsia="zh-CN"/>
        </w:rPr>
        <w:t>上级对此项工作的投入。</w:t>
      </w:r>
    </w:p>
    <w:p>
      <w:pPr>
        <w:pStyle w:val="11"/>
        <w:numPr>
          <w:ilvl w:val="0"/>
          <w:numId w:val="3"/>
        </w:numPr>
        <w:ind w:firstLine="800" w:firstLineChars="250"/>
        <w:rPr>
          <w:rFonts w:hint="eastAsia" w:ascii="宋体" w:hAnsi="宋体" w:eastAsia="宋体"/>
          <w:sz w:val="32"/>
          <w:szCs w:val="32"/>
        </w:rPr>
      </w:pPr>
      <w:r>
        <w:rPr>
          <w:rFonts w:hint="eastAsia" w:ascii="宋体" w:hAnsi="宋体" w:eastAsia="宋体"/>
          <w:sz w:val="32"/>
          <w:szCs w:val="32"/>
        </w:rPr>
        <w:t>社会保障和就业支出（类）</w:t>
      </w:r>
      <w:r>
        <w:rPr>
          <w:rFonts w:hint="eastAsia" w:ascii="宋体" w:hAnsi="宋体" w:eastAsia="宋体"/>
          <w:sz w:val="32"/>
          <w:szCs w:val="32"/>
          <w:lang w:val="en-US" w:eastAsia="zh-CN"/>
        </w:rPr>
        <w:t>行政事业单位养老支出</w:t>
      </w:r>
      <w:r>
        <w:rPr>
          <w:rFonts w:hint="eastAsia" w:ascii="宋体" w:hAnsi="宋体" w:eastAsia="宋体"/>
          <w:sz w:val="32"/>
          <w:szCs w:val="32"/>
        </w:rPr>
        <w:t>（款）</w:t>
      </w:r>
      <w:r>
        <w:rPr>
          <w:rFonts w:hint="eastAsia" w:ascii="宋体" w:hAnsi="宋体" w:eastAsia="宋体"/>
          <w:sz w:val="32"/>
          <w:szCs w:val="32"/>
          <w:lang w:val="en-US" w:eastAsia="zh-CN"/>
        </w:rPr>
        <w:t>机关事业单位基本养老保险缴费支出</w:t>
      </w:r>
      <w:r>
        <w:rPr>
          <w:rFonts w:hint="eastAsia" w:ascii="宋体" w:hAnsi="宋体" w:eastAsia="宋体"/>
          <w:sz w:val="32"/>
          <w:szCs w:val="32"/>
        </w:rPr>
        <w:t>（项）。</w:t>
      </w:r>
    </w:p>
    <w:p>
      <w:pPr>
        <w:pStyle w:val="11"/>
        <w:numPr>
          <w:ilvl w:val="0"/>
          <w:numId w:val="0"/>
        </w:numPr>
        <w:ind w:firstLine="640" w:firstLineChars="200"/>
        <w:rPr>
          <w:rFonts w:hint="default" w:ascii="宋体" w:hAnsi="宋体" w:eastAsia="宋体"/>
          <w:sz w:val="32"/>
          <w:szCs w:val="32"/>
          <w:lang w:val="en-US" w:eastAsia="zh-CN"/>
        </w:rPr>
      </w:pPr>
      <w:r>
        <w:rPr>
          <w:rFonts w:hint="eastAsia" w:ascii="宋体" w:hAnsi="宋体" w:eastAsia="宋体"/>
          <w:sz w:val="32"/>
          <w:szCs w:val="32"/>
        </w:rPr>
        <w:t>年初预算为</w:t>
      </w:r>
      <w:r>
        <w:rPr>
          <w:rFonts w:hint="eastAsia" w:ascii="宋体" w:hAnsi="宋体" w:eastAsia="宋体"/>
          <w:sz w:val="32"/>
          <w:szCs w:val="32"/>
          <w:lang w:val="en-US" w:eastAsia="zh-CN"/>
        </w:rPr>
        <w:t>62.96</w:t>
      </w:r>
      <w:r>
        <w:rPr>
          <w:rFonts w:hint="eastAsia" w:ascii="宋体" w:hAnsi="宋体" w:eastAsia="宋体"/>
          <w:sz w:val="32"/>
          <w:szCs w:val="32"/>
        </w:rPr>
        <w:t>万元，支出决算为</w:t>
      </w:r>
      <w:r>
        <w:rPr>
          <w:rFonts w:hint="eastAsia" w:ascii="宋体" w:hAnsi="宋体" w:eastAsia="宋体"/>
          <w:sz w:val="32"/>
          <w:szCs w:val="32"/>
          <w:lang w:val="en-US" w:eastAsia="zh-CN"/>
        </w:rPr>
        <w:t>62.96</w:t>
      </w:r>
      <w:r>
        <w:rPr>
          <w:rFonts w:hint="eastAsia" w:ascii="宋体" w:hAnsi="宋体" w:eastAsia="宋体"/>
          <w:sz w:val="32"/>
          <w:szCs w:val="32"/>
        </w:rPr>
        <w:t>万元，完成年初预算的</w:t>
      </w:r>
      <w:r>
        <w:rPr>
          <w:rFonts w:hint="eastAsia" w:ascii="宋体" w:hAnsi="宋体" w:eastAsia="宋体"/>
          <w:sz w:val="32"/>
          <w:szCs w:val="32"/>
          <w:lang w:val="en-US" w:eastAsia="zh-CN"/>
        </w:rPr>
        <w:t>100</w:t>
      </w:r>
      <w:r>
        <w:rPr>
          <w:rFonts w:hint="eastAsia" w:ascii="宋体" w:hAnsi="宋体" w:eastAsia="宋体"/>
          <w:sz w:val="32"/>
          <w:szCs w:val="32"/>
        </w:rPr>
        <w:t>%，决算数</w:t>
      </w:r>
      <w:r>
        <w:rPr>
          <w:rFonts w:hint="eastAsia" w:ascii="宋体" w:hAnsi="宋体" w:eastAsia="宋体"/>
          <w:sz w:val="32"/>
          <w:szCs w:val="32"/>
          <w:lang w:val="en-US" w:eastAsia="zh-CN"/>
        </w:rPr>
        <w:t>等</w:t>
      </w:r>
      <w:r>
        <w:rPr>
          <w:rFonts w:hint="eastAsia" w:ascii="宋体" w:hAnsi="宋体" w:eastAsia="宋体"/>
          <w:sz w:val="32"/>
          <w:szCs w:val="32"/>
        </w:rPr>
        <w:t>于年初预算数的主要原因是：</w:t>
      </w:r>
      <w:r>
        <w:rPr>
          <w:rFonts w:hint="eastAsia" w:ascii="宋体" w:hAnsi="宋体" w:eastAsia="宋体"/>
          <w:sz w:val="32"/>
          <w:szCs w:val="32"/>
          <w:lang w:val="en-US" w:eastAsia="zh-CN"/>
        </w:rPr>
        <w:t>据实核拨。</w:t>
      </w:r>
    </w:p>
    <w:p>
      <w:pPr>
        <w:pStyle w:val="11"/>
        <w:numPr>
          <w:ilvl w:val="0"/>
          <w:numId w:val="3"/>
        </w:numPr>
        <w:ind w:firstLine="800" w:firstLineChars="250"/>
        <w:rPr>
          <w:rFonts w:hint="default" w:ascii="宋体" w:hAnsi="宋体" w:eastAsia="宋体"/>
          <w:sz w:val="32"/>
          <w:szCs w:val="32"/>
          <w:lang w:val="en-US" w:eastAsia="zh-CN"/>
        </w:rPr>
      </w:pPr>
      <w:r>
        <w:rPr>
          <w:rFonts w:hint="eastAsia" w:ascii="宋体" w:hAnsi="宋体" w:eastAsia="宋体"/>
          <w:sz w:val="32"/>
          <w:szCs w:val="32"/>
        </w:rPr>
        <w:t>社会保障和就业支出（类）</w:t>
      </w:r>
      <w:r>
        <w:rPr>
          <w:rFonts w:hint="eastAsia" w:ascii="宋体" w:hAnsi="宋体" w:eastAsia="宋体"/>
          <w:sz w:val="32"/>
          <w:szCs w:val="32"/>
          <w:lang w:val="en-US" w:eastAsia="zh-CN"/>
        </w:rPr>
        <w:t>抚恤（款）死亡抚恤（项）。</w:t>
      </w:r>
    </w:p>
    <w:p>
      <w:pPr>
        <w:pStyle w:val="11"/>
        <w:numPr>
          <w:ilvl w:val="0"/>
          <w:numId w:val="0"/>
        </w:numPr>
        <w:ind w:firstLine="640" w:firstLineChars="200"/>
        <w:rPr>
          <w:rFonts w:hint="eastAsia" w:ascii="宋体" w:hAnsi="宋体" w:eastAsia="宋体"/>
          <w:sz w:val="32"/>
          <w:szCs w:val="32"/>
          <w:lang w:val="en-US" w:eastAsia="zh-CN"/>
        </w:rPr>
      </w:pPr>
      <w:r>
        <w:rPr>
          <w:rFonts w:hint="eastAsia" w:ascii="宋体" w:hAnsi="宋体" w:eastAsia="宋体"/>
          <w:sz w:val="32"/>
          <w:szCs w:val="32"/>
        </w:rPr>
        <w:t>年初预算为</w:t>
      </w:r>
      <w:r>
        <w:rPr>
          <w:rFonts w:hint="eastAsia" w:ascii="宋体" w:hAnsi="宋体" w:eastAsia="宋体"/>
          <w:sz w:val="32"/>
          <w:szCs w:val="32"/>
          <w:lang w:val="en-US" w:eastAsia="zh-CN"/>
        </w:rPr>
        <w:t>0</w:t>
      </w:r>
      <w:r>
        <w:rPr>
          <w:rFonts w:hint="eastAsia" w:ascii="宋体" w:hAnsi="宋体" w:eastAsia="宋体"/>
          <w:sz w:val="32"/>
          <w:szCs w:val="32"/>
        </w:rPr>
        <w:t>万元，支出决算为</w:t>
      </w:r>
      <w:r>
        <w:rPr>
          <w:rFonts w:hint="eastAsia" w:ascii="宋体" w:hAnsi="宋体" w:eastAsia="宋体"/>
          <w:sz w:val="32"/>
          <w:szCs w:val="32"/>
          <w:lang w:val="en-US" w:eastAsia="zh-CN"/>
        </w:rPr>
        <w:t>21.92</w:t>
      </w:r>
      <w:r>
        <w:rPr>
          <w:rFonts w:hint="eastAsia" w:ascii="宋体" w:hAnsi="宋体" w:eastAsia="宋体"/>
          <w:sz w:val="32"/>
          <w:szCs w:val="32"/>
        </w:rPr>
        <w:t>万元，决算数</w:t>
      </w:r>
      <w:r>
        <w:rPr>
          <w:rFonts w:hint="eastAsia" w:ascii="宋体" w:hAnsi="宋体" w:eastAsia="宋体"/>
          <w:sz w:val="32"/>
          <w:szCs w:val="32"/>
          <w:lang w:val="en-US" w:eastAsia="zh-CN"/>
        </w:rPr>
        <w:t>大</w:t>
      </w:r>
      <w:r>
        <w:rPr>
          <w:rFonts w:hint="eastAsia" w:ascii="宋体" w:hAnsi="宋体" w:eastAsia="宋体"/>
          <w:sz w:val="32"/>
          <w:szCs w:val="32"/>
        </w:rPr>
        <w:t>于年初预算数的主要原因是：</w:t>
      </w:r>
      <w:r>
        <w:rPr>
          <w:rFonts w:hint="eastAsia" w:ascii="宋体" w:hAnsi="宋体" w:eastAsia="宋体"/>
          <w:sz w:val="32"/>
          <w:szCs w:val="32"/>
          <w:lang w:val="en-US" w:eastAsia="zh-CN"/>
        </w:rPr>
        <w:t>据实核拨。</w:t>
      </w:r>
    </w:p>
    <w:p>
      <w:pPr>
        <w:pStyle w:val="11"/>
        <w:numPr>
          <w:ilvl w:val="0"/>
          <w:numId w:val="0"/>
        </w:numPr>
        <w:ind w:firstLine="640" w:firstLineChars="200"/>
        <w:rPr>
          <w:rFonts w:hint="eastAsia" w:ascii="宋体" w:hAnsi="宋体" w:eastAsia="宋体"/>
          <w:sz w:val="32"/>
          <w:szCs w:val="32"/>
          <w:lang w:val="en-US" w:eastAsia="zh-CN"/>
        </w:rPr>
      </w:pPr>
      <w:r>
        <w:rPr>
          <w:rFonts w:hint="eastAsia" w:ascii="宋体" w:hAnsi="宋体" w:eastAsia="宋体"/>
          <w:sz w:val="32"/>
          <w:szCs w:val="32"/>
          <w:lang w:val="en-US" w:eastAsia="zh-CN"/>
        </w:rPr>
        <w:t>5、</w:t>
      </w:r>
      <w:r>
        <w:rPr>
          <w:rFonts w:hint="eastAsia" w:ascii="宋体" w:hAnsi="宋体" w:eastAsia="宋体"/>
          <w:sz w:val="32"/>
          <w:szCs w:val="32"/>
        </w:rPr>
        <w:t>社会保障和就业支出（类）</w:t>
      </w:r>
      <w:r>
        <w:rPr>
          <w:rFonts w:hint="eastAsia" w:ascii="宋体" w:hAnsi="宋体" w:eastAsia="宋体"/>
          <w:sz w:val="32"/>
          <w:szCs w:val="32"/>
          <w:lang w:val="en-US" w:eastAsia="zh-CN"/>
        </w:rPr>
        <w:t>社会福利（款）儿童福利（项）。</w:t>
      </w:r>
    </w:p>
    <w:p>
      <w:pPr>
        <w:pStyle w:val="11"/>
        <w:ind w:firstLine="800" w:firstLineChars="250"/>
        <w:rPr>
          <w:rFonts w:hint="eastAsia" w:ascii="宋体" w:hAnsi="宋体" w:eastAsia="宋体"/>
          <w:sz w:val="32"/>
          <w:szCs w:val="32"/>
          <w:lang w:val="en-US" w:eastAsia="zh-CN"/>
        </w:rPr>
      </w:pPr>
      <w:r>
        <w:rPr>
          <w:rFonts w:hint="eastAsia" w:ascii="宋体" w:hAnsi="宋体" w:eastAsia="宋体"/>
          <w:sz w:val="32"/>
          <w:szCs w:val="32"/>
        </w:rPr>
        <w:t>年初预算为</w:t>
      </w:r>
      <w:r>
        <w:rPr>
          <w:rFonts w:hint="eastAsia" w:ascii="宋体" w:hAnsi="宋体" w:eastAsia="宋体"/>
          <w:sz w:val="32"/>
          <w:szCs w:val="32"/>
          <w:lang w:val="en-US" w:eastAsia="zh-CN"/>
        </w:rPr>
        <w:t>290</w:t>
      </w:r>
      <w:r>
        <w:rPr>
          <w:rFonts w:hint="eastAsia" w:ascii="宋体" w:hAnsi="宋体" w:eastAsia="宋体"/>
          <w:sz w:val="32"/>
          <w:szCs w:val="32"/>
        </w:rPr>
        <w:t>万元，支出决算为</w:t>
      </w:r>
      <w:r>
        <w:rPr>
          <w:rFonts w:hint="eastAsia" w:ascii="宋体" w:hAnsi="宋体" w:eastAsia="宋体"/>
          <w:sz w:val="32"/>
          <w:szCs w:val="32"/>
          <w:lang w:val="en-US" w:eastAsia="zh-CN"/>
        </w:rPr>
        <w:t>940</w:t>
      </w:r>
      <w:r>
        <w:rPr>
          <w:rFonts w:hint="eastAsia" w:ascii="宋体" w:hAnsi="宋体" w:eastAsia="宋体"/>
          <w:sz w:val="32"/>
          <w:szCs w:val="32"/>
        </w:rPr>
        <w:t>万元，完成年初预算的</w:t>
      </w:r>
      <w:r>
        <w:rPr>
          <w:rFonts w:hint="eastAsia" w:ascii="宋体" w:hAnsi="宋体" w:eastAsia="宋体"/>
          <w:sz w:val="32"/>
          <w:szCs w:val="32"/>
          <w:lang w:val="en-US" w:eastAsia="zh-CN"/>
        </w:rPr>
        <w:t>324.14%，</w:t>
      </w:r>
      <w:r>
        <w:rPr>
          <w:rFonts w:hint="eastAsia" w:ascii="宋体" w:hAnsi="宋体" w:eastAsia="宋体"/>
          <w:sz w:val="32"/>
          <w:szCs w:val="32"/>
        </w:rPr>
        <w:t>决算数大于年初预算数的主要原因是：</w:t>
      </w:r>
      <w:r>
        <w:rPr>
          <w:rFonts w:hint="eastAsia" w:ascii="宋体" w:hAnsi="宋体" w:eastAsia="宋体"/>
          <w:sz w:val="32"/>
          <w:szCs w:val="32"/>
          <w:lang w:val="en-US" w:eastAsia="zh-CN"/>
        </w:rPr>
        <w:t>上级对加大此项工作的投入。</w:t>
      </w:r>
    </w:p>
    <w:p>
      <w:pPr>
        <w:pStyle w:val="11"/>
        <w:numPr>
          <w:ilvl w:val="0"/>
          <w:numId w:val="0"/>
        </w:numPr>
        <w:ind w:firstLine="640" w:firstLineChars="200"/>
        <w:rPr>
          <w:rFonts w:hint="default" w:ascii="宋体" w:hAnsi="宋体" w:eastAsia="宋体"/>
          <w:sz w:val="32"/>
          <w:szCs w:val="32"/>
          <w:lang w:val="en-US" w:eastAsia="zh-CN"/>
        </w:rPr>
      </w:pPr>
      <w:r>
        <w:rPr>
          <w:rFonts w:hint="eastAsia" w:ascii="宋体" w:hAnsi="宋体" w:eastAsia="宋体"/>
          <w:sz w:val="32"/>
          <w:szCs w:val="32"/>
          <w:lang w:val="en-US" w:eastAsia="zh-CN"/>
        </w:rPr>
        <w:t>6、</w:t>
      </w:r>
      <w:r>
        <w:rPr>
          <w:rFonts w:hint="eastAsia" w:ascii="宋体" w:hAnsi="宋体" w:eastAsia="宋体"/>
          <w:sz w:val="32"/>
          <w:szCs w:val="32"/>
        </w:rPr>
        <w:t>社会保障和就业支出（类）</w:t>
      </w:r>
      <w:r>
        <w:rPr>
          <w:rFonts w:hint="eastAsia" w:ascii="宋体" w:hAnsi="宋体" w:eastAsia="宋体"/>
          <w:sz w:val="32"/>
          <w:szCs w:val="32"/>
          <w:lang w:val="en-US" w:eastAsia="zh-CN"/>
        </w:rPr>
        <w:t>社会福利（款）老年福利（项）。</w:t>
      </w:r>
    </w:p>
    <w:p>
      <w:pPr>
        <w:pStyle w:val="11"/>
        <w:numPr>
          <w:ilvl w:val="0"/>
          <w:numId w:val="0"/>
        </w:numPr>
        <w:ind w:firstLine="640"/>
        <w:rPr>
          <w:rFonts w:hint="eastAsia" w:ascii="宋体" w:hAnsi="宋体" w:eastAsia="宋体"/>
          <w:sz w:val="32"/>
          <w:szCs w:val="32"/>
          <w:lang w:val="en-US" w:eastAsia="zh-CN"/>
        </w:rPr>
      </w:pPr>
      <w:r>
        <w:rPr>
          <w:rFonts w:hint="eastAsia" w:ascii="宋体" w:hAnsi="宋体" w:eastAsia="宋体"/>
          <w:sz w:val="32"/>
          <w:szCs w:val="32"/>
        </w:rPr>
        <w:t>年初预算为</w:t>
      </w:r>
      <w:r>
        <w:rPr>
          <w:rFonts w:hint="eastAsia" w:ascii="宋体" w:hAnsi="宋体" w:eastAsia="宋体"/>
          <w:sz w:val="32"/>
          <w:szCs w:val="32"/>
          <w:lang w:val="en-US" w:eastAsia="zh-CN"/>
        </w:rPr>
        <w:t>342</w:t>
      </w:r>
      <w:r>
        <w:rPr>
          <w:rFonts w:hint="eastAsia" w:ascii="宋体" w:hAnsi="宋体" w:eastAsia="宋体"/>
          <w:sz w:val="32"/>
          <w:szCs w:val="32"/>
        </w:rPr>
        <w:t>万元，支出决算为</w:t>
      </w:r>
      <w:r>
        <w:rPr>
          <w:rFonts w:hint="eastAsia" w:ascii="宋体" w:hAnsi="宋体" w:eastAsia="宋体"/>
          <w:sz w:val="32"/>
          <w:szCs w:val="32"/>
          <w:lang w:val="en-US" w:eastAsia="zh-CN"/>
        </w:rPr>
        <w:t>325</w:t>
      </w:r>
      <w:r>
        <w:rPr>
          <w:rFonts w:hint="eastAsia" w:ascii="宋体" w:hAnsi="宋体" w:eastAsia="宋体"/>
          <w:sz w:val="32"/>
          <w:szCs w:val="32"/>
        </w:rPr>
        <w:t>万元，完成年初预算的</w:t>
      </w:r>
      <w:r>
        <w:rPr>
          <w:rFonts w:hint="eastAsia" w:ascii="宋体" w:hAnsi="宋体" w:eastAsia="宋体"/>
          <w:sz w:val="32"/>
          <w:szCs w:val="32"/>
          <w:lang w:val="en-US" w:eastAsia="zh-CN"/>
        </w:rPr>
        <w:t>95%，</w:t>
      </w:r>
      <w:r>
        <w:rPr>
          <w:rFonts w:hint="eastAsia" w:ascii="宋体" w:hAnsi="宋体" w:eastAsia="宋体"/>
          <w:sz w:val="32"/>
          <w:szCs w:val="32"/>
        </w:rPr>
        <w:t>决算数</w:t>
      </w:r>
      <w:r>
        <w:rPr>
          <w:rFonts w:hint="eastAsia" w:ascii="宋体" w:hAnsi="宋体" w:eastAsia="宋体"/>
          <w:sz w:val="32"/>
          <w:szCs w:val="32"/>
          <w:lang w:val="en-US" w:eastAsia="zh-CN"/>
        </w:rPr>
        <w:t>小</w:t>
      </w:r>
      <w:r>
        <w:rPr>
          <w:rFonts w:hint="eastAsia" w:ascii="宋体" w:hAnsi="宋体" w:eastAsia="宋体"/>
          <w:sz w:val="32"/>
          <w:szCs w:val="32"/>
        </w:rPr>
        <w:t>于年初预算数的主要原因是：</w:t>
      </w:r>
      <w:r>
        <w:rPr>
          <w:rFonts w:hint="eastAsia" w:ascii="宋体" w:hAnsi="宋体" w:eastAsia="宋体"/>
          <w:sz w:val="32"/>
          <w:szCs w:val="32"/>
          <w:lang w:val="en-US" w:eastAsia="zh-CN"/>
        </w:rPr>
        <w:t>据实核拨。</w:t>
      </w:r>
    </w:p>
    <w:p>
      <w:pPr>
        <w:pStyle w:val="11"/>
        <w:numPr>
          <w:ilvl w:val="0"/>
          <w:numId w:val="0"/>
        </w:numPr>
        <w:ind w:firstLine="640"/>
        <w:rPr>
          <w:rFonts w:hint="eastAsia" w:ascii="宋体" w:hAnsi="宋体" w:eastAsia="宋体"/>
          <w:sz w:val="32"/>
          <w:szCs w:val="32"/>
          <w:lang w:val="en-US" w:eastAsia="zh-CN"/>
        </w:rPr>
      </w:pPr>
      <w:r>
        <w:rPr>
          <w:rFonts w:hint="eastAsia" w:ascii="宋体" w:hAnsi="宋体" w:eastAsia="宋体"/>
          <w:sz w:val="32"/>
          <w:szCs w:val="32"/>
          <w:lang w:val="en-US" w:eastAsia="zh-CN"/>
        </w:rPr>
        <w:t>7、</w:t>
      </w:r>
      <w:r>
        <w:rPr>
          <w:rFonts w:hint="eastAsia" w:ascii="宋体" w:hAnsi="宋体" w:eastAsia="宋体"/>
          <w:sz w:val="32"/>
          <w:szCs w:val="32"/>
        </w:rPr>
        <w:t>社会保障和就业支出（类）</w:t>
      </w:r>
      <w:r>
        <w:rPr>
          <w:rFonts w:hint="eastAsia" w:ascii="宋体" w:hAnsi="宋体" w:eastAsia="宋体"/>
          <w:sz w:val="32"/>
          <w:szCs w:val="32"/>
          <w:lang w:val="en-US" w:eastAsia="zh-CN"/>
        </w:rPr>
        <w:t>社会福利（款）殡葬（项）。</w:t>
      </w:r>
    </w:p>
    <w:p>
      <w:pPr>
        <w:pStyle w:val="11"/>
        <w:numPr>
          <w:ilvl w:val="0"/>
          <w:numId w:val="0"/>
        </w:numPr>
        <w:ind w:firstLine="640"/>
        <w:rPr>
          <w:rFonts w:hint="eastAsia" w:ascii="宋体" w:hAnsi="宋体" w:eastAsia="宋体"/>
          <w:sz w:val="32"/>
          <w:szCs w:val="32"/>
          <w:lang w:val="en-US" w:eastAsia="zh-CN"/>
        </w:rPr>
      </w:pPr>
      <w:r>
        <w:rPr>
          <w:rFonts w:hint="eastAsia" w:ascii="宋体" w:hAnsi="宋体" w:eastAsia="宋体"/>
          <w:sz w:val="32"/>
          <w:szCs w:val="32"/>
        </w:rPr>
        <w:t>年初预算为</w:t>
      </w:r>
      <w:r>
        <w:rPr>
          <w:rFonts w:hint="eastAsia" w:ascii="宋体" w:hAnsi="宋体" w:eastAsia="宋体"/>
          <w:sz w:val="32"/>
          <w:szCs w:val="32"/>
          <w:lang w:val="en-US" w:eastAsia="zh-CN"/>
        </w:rPr>
        <w:t>80</w:t>
      </w:r>
      <w:r>
        <w:rPr>
          <w:rFonts w:hint="eastAsia" w:ascii="宋体" w:hAnsi="宋体" w:eastAsia="宋体"/>
          <w:sz w:val="32"/>
          <w:szCs w:val="32"/>
        </w:rPr>
        <w:t>万元，支出决算为</w:t>
      </w:r>
      <w:r>
        <w:rPr>
          <w:rFonts w:hint="eastAsia" w:ascii="宋体" w:hAnsi="宋体" w:eastAsia="宋体"/>
          <w:sz w:val="32"/>
          <w:szCs w:val="32"/>
          <w:lang w:val="en-US" w:eastAsia="zh-CN"/>
        </w:rPr>
        <w:t>116</w:t>
      </w:r>
      <w:r>
        <w:rPr>
          <w:rFonts w:hint="eastAsia" w:ascii="宋体" w:hAnsi="宋体" w:eastAsia="宋体"/>
          <w:sz w:val="32"/>
          <w:szCs w:val="32"/>
        </w:rPr>
        <w:t>万元，完成年初预算的</w:t>
      </w:r>
      <w:r>
        <w:rPr>
          <w:rFonts w:hint="eastAsia" w:ascii="宋体" w:hAnsi="宋体" w:eastAsia="宋体"/>
          <w:sz w:val="32"/>
          <w:szCs w:val="32"/>
          <w:lang w:val="en-US" w:eastAsia="zh-CN"/>
        </w:rPr>
        <w:t>145%，</w:t>
      </w:r>
      <w:r>
        <w:rPr>
          <w:rFonts w:hint="eastAsia" w:ascii="宋体" w:hAnsi="宋体" w:eastAsia="宋体"/>
          <w:sz w:val="32"/>
          <w:szCs w:val="32"/>
        </w:rPr>
        <w:t>决算数</w:t>
      </w:r>
      <w:r>
        <w:rPr>
          <w:rFonts w:hint="eastAsia" w:ascii="宋体" w:hAnsi="宋体" w:eastAsia="宋体"/>
          <w:sz w:val="32"/>
          <w:szCs w:val="32"/>
          <w:lang w:val="en-US" w:eastAsia="zh-CN"/>
        </w:rPr>
        <w:t>大</w:t>
      </w:r>
      <w:r>
        <w:rPr>
          <w:rFonts w:hint="eastAsia" w:ascii="宋体" w:hAnsi="宋体" w:eastAsia="宋体"/>
          <w:sz w:val="32"/>
          <w:szCs w:val="32"/>
        </w:rPr>
        <w:t>于年初预算数的主要原因是：</w:t>
      </w:r>
      <w:r>
        <w:rPr>
          <w:rFonts w:hint="eastAsia" w:ascii="宋体" w:hAnsi="宋体" w:eastAsia="宋体"/>
          <w:sz w:val="32"/>
          <w:szCs w:val="32"/>
          <w:lang w:val="en-US" w:eastAsia="zh-CN"/>
        </w:rPr>
        <w:t>据实核拨。</w:t>
      </w:r>
    </w:p>
    <w:p>
      <w:pPr>
        <w:pStyle w:val="11"/>
        <w:numPr>
          <w:ilvl w:val="0"/>
          <w:numId w:val="0"/>
        </w:numPr>
        <w:ind w:firstLine="640"/>
        <w:rPr>
          <w:rFonts w:hint="eastAsia" w:ascii="宋体" w:hAnsi="宋体" w:eastAsia="宋体"/>
          <w:sz w:val="32"/>
          <w:szCs w:val="32"/>
          <w:lang w:val="en-US" w:eastAsia="zh-CN"/>
        </w:rPr>
      </w:pPr>
      <w:r>
        <w:rPr>
          <w:rFonts w:hint="eastAsia" w:ascii="宋体" w:hAnsi="宋体" w:eastAsia="宋体"/>
          <w:sz w:val="32"/>
          <w:szCs w:val="32"/>
          <w:lang w:val="en-US" w:eastAsia="zh-CN"/>
        </w:rPr>
        <w:t>8、</w:t>
      </w:r>
      <w:r>
        <w:rPr>
          <w:rFonts w:hint="eastAsia" w:ascii="宋体" w:hAnsi="宋体" w:eastAsia="宋体"/>
          <w:sz w:val="32"/>
          <w:szCs w:val="32"/>
        </w:rPr>
        <w:t>社会保障和就业支出（类）</w:t>
      </w:r>
      <w:r>
        <w:rPr>
          <w:rFonts w:hint="eastAsia" w:ascii="宋体" w:hAnsi="宋体" w:eastAsia="宋体"/>
          <w:sz w:val="32"/>
          <w:szCs w:val="32"/>
          <w:lang w:val="en-US" w:eastAsia="zh-CN"/>
        </w:rPr>
        <w:t>社会福利（款）社会福利事业单位（项）。</w:t>
      </w:r>
    </w:p>
    <w:p>
      <w:pPr>
        <w:pStyle w:val="11"/>
        <w:numPr>
          <w:ilvl w:val="0"/>
          <w:numId w:val="0"/>
        </w:numPr>
        <w:ind w:firstLine="640"/>
        <w:rPr>
          <w:rFonts w:hint="eastAsia" w:ascii="宋体" w:hAnsi="宋体" w:eastAsia="宋体"/>
          <w:sz w:val="32"/>
          <w:szCs w:val="32"/>
          <w:lang w:val="en-US" w:eastAsia="zh-CN"/>
        </w:rPr>
      </w:pPr>
      <w:r>
        <w:rPr>
          <w:rFonts w:hint="eastAsia" w:ascii="宋体" w:hAnsi="宋体" w:eastAsia="宋体"/>
          <w:sz w:val="32"/>
          <w:szCs w:val="32"/>
        </w:rPr>
        <w:t>年初预算为</w:t>
      </w:r>
      <w:r>
        <w:rPr>
          <w:rFonts w:hint="eastAsia" w:ascii="宋体" w:hAnsi="宋体" w:eastAsia="宋体"/>
          <w:sz w:val="32"/>
          <w:szCs w:val="32"/>
          <w:lang w:val="en-US" w:eastAsia="zh-CN"/>
        </w:rPr>
        <w:t>285.1</w:t>
      </w:r>
      <w:r>
        <w:rPr>
          <w:rFonts w:hint="eastAsia" w:ascii="宋体" w:hAnsi="宋体" w:eastAsia="宋体"/>
          <w:sz w:val="32"/>
          <w:szCs w:val="32"/>
        </w:rPr>
        <w:t>万元，支出决算为</w:t>
      </w:r>
      <w:r>
        <w:rPr>
          <w:rFonts w:hint="eastAsia" w:ascii="宋体" w:hAnsi="宋体" w:eastAsia="宋体"/>
          <w:sz w:val="32"/>
          <w:szCs w:val="32"/>
          <w:lang w:val="en-US" w:eastAsia="zh-CN"/>
        </w:rPr>
        <w:t>244</w:t>
      </w:r>
      <w:r>
        <w:rPr>
          <w:rFonts w:hint="eastAsia" w:ascii="宋体" w:hAnsi="宋体" w:eastAsia="宋体"/>
          <w:sz w:val="32"/>
          <w:szCs w:val="32"/>
        </w:rPr>
        <w:t>万元，完成年初预算的</w:t>
      </w:r>
      <w:r>
        <w:rPr>
          <w:rFonts w:hint="eastAsia" w:ascii="宋体" w:hAnsi="宋体" w:eastAsia="宋体"/>
          <w:sz w:val="32"/>
          <w:szCs w:val="32"/>
          <w:lang w:val="en-US" w:eastAsia="zh-CN"/>
        </w:rPr>
        <w:t>85.58%，</w:t>
      </w:r>
      <w:r>
        <w:rPr>
          <w:rFonts w:hint="eastAsia" w:ascii="宋体" w:hAnsi="宋体" w:eastAsia="宋体"/>
          <w:sz w:val="32"/>
          <w:szCs w:val="32"/>
        </w:rPr>
        <w:t>决算数</w:t>
      </w:r>
      <w:r>
        <w:rPr>
          <w:rFonts w:hint="eastAsia" w:ascii="宋体" w:hAnsi="宋体" w:eastAsia="宋体"/>
          <w:sz w:val="32"/>
          <w:szCs w:val="32"/>
          <w:lang w:val="en-US" w:eastAsia="zh-CN"/>
        </w:rPr>
        <w:t>小</w:t>
      </w:r>
      <w:r>
        <w:rPr>
          <w:rFonts w:hint="eastAsia" w:ascii="宋体" w:hAnsi="宋体" w:eastAsia="宋体"/>
          <w:sz w:val="32"/>
          <w:szCs w:val="32"/>
        </w:rPr>
        <w:t>于年初预算数的主要原因是：</w:t>
      </w:r>
      <w:r>
        <w:rPr>
          <w:rFonts w:hint="eastAsia" w:ascii="宋体" w:hAnsi="宋体" w:eastAsia="宋体"/>
          <w:sz w:val="32"/>
          <w:szCs w:val="32"/>
          <w:lang w:val="en-US" w:eastAsia="zh-CN"/>
        </w:rPr>
        <w:t>据实核拨。</w:t>
      </w:r>
    </w:p>
    <w:p>
      <w:pPr>
        <w:pStyle w:val="11"/>
        <w:numPr>
          <w:ilvl w:val="0"/>
          <w:numId w:val="0"/>
        </w:numPr>
        <w:ind w:firstLine="640"/>
        <w:rPr>
          <w:rFonts w:hint="eastAsia" w:ascii="宋体" w:hAnsi="宋体" w:eastAsia="宋体"/>
          <w:sz w:val="32"/>
          <w:szCs w:val="32"/>
          <w:lang w:val="en-US" w:eastAsia="zh-CN"/>
        </w:rPr>
      </w:pPr>
      <w:r>
        <w:rPr>
          <w:rFonts w:hint="eastAsia" w:ascii="宋体" w:hAnsi="宋体" w:eastAsia="宋体"/>
          <w:sz w:val="32"/>
          <w:szCs w:val="32"/>
          <w:lang w:val="en-US" w:eastAsia="zh-CN"/>
        </w:rPr>
        <w:t>9、</w:t>
      </w:r>
      <w:r>
        <w:rPr>
          <w:rFonts w:hint="eastAsia" w:ascii="宋体" w:hAnsi="宋体" w:eastAsia="宋体"/>
          <w:sz w:val="32"/>
          <w:szCs w:val="32"/>
        </w:rPr>
        <w:t>社会保障和就业支出（类）</w:t>
      </w:r>
      <w:r>
        <w:rPr>
          <w:rFonts w:hint="eastAsia" w:ascii="宋体" w:hAnsi="宋体" w:eastAsia="宋体"/>
          <w:sz w:val="32"/>
          <w:szCs w:val="32"/>
          <w:lang w:val="en-US" w:eastAsia="zh-CN"/>
        </w:rPr>
        <w:t>社会福利（款）养老服务（项）。</w:t>
      </w:r>
    </w:p>
    <w:p>
      <w:pPr>
        <w:pStyle w:val="11"/>
        <w:numPr>
          <w:ilvl w:val="0"/>
          <w:numId w:val="0"/>
        </w:numPr>
        <w:ind w:firstLine="640"/>
        <w:rPr>
          <w:rFonts w:hint="eastAsia" w:ascii="宋体" w:hAnsi="宋体" w:eastAsia="宋体"/>
          <w:sz w:val="32"/>
          <w:szCs w:val="32"/>
          <w:lang w:val="en-US" w:eastAsia="zh-CN"/>
        </w:rPr>
      </w:pPr>
      <w:r>
        <w:rPr>
          <w:rFonts w:hint="eastAsia" w:ascii="宋体" w:hAnsi="宋体" w:eastAsia="宋体"/>
          <w:sz w:val="32"/>
          <w:szCs w:val="32"/>
        </w:rPr>
        <w:t>年初预算为</w:t>
      </w:r>
      <w:r>
        <w:rPr>
          <w:rFonts w:hint="eastAsia" w:ascii="宋体" w:hAnsi="宋体" w:eastAsia="宋体"/>
          <w:sz w:val="32"/>
          <w:szCs w:val="32"/>
          <w:lang w:val="en-US" w:eastAsia="zh-CN"/>
        </w:rPr>
        <w:t>0</w:t>
      </w:r>
      <w:r>
        <w:rPr>
          <w:rFonts w:hint="eastAsia" w:ascii="宋体" w:hAnsi="宋体" w:eastAsia="宋体"/>
          <w:sz w:val="32"/>
          <w:szCs w:val="32"/>
        </w:rPr>
        <w:t>万元，支出决算为</w:t>
      </w:r>
      <w:r>
        <w:rPr>
          <w:rFonts w:hint="eastAsia" w:ascii="宋体" w:hAnsi="宋体" w:eastAsia="宋体"/>
          <w:sz w:val="32"/>
          <w:szCs w:val="32"/>
          <w:lang w:val="en-US" w:eastAsia="zh-CN"/>
        </w:rPr>
        <w:t>100</w:t>
      </w:r>
      <w:r>
        <w:rPr>
          <w:rFonts w:hint="eastAsia" w:ascii="宋体" w:hAnsi="宋体" w:eastAsia="宋体"/>
          <w:sz w:val="32"/>
          <w:szCs w:val="32"/>
        </w:rPr>
        <w:t>万元，决算数</w:t>
      </w:r>
      <w:r>
        <w:rPr>
          <w:rFonts w:hint="eastAsia" w:ascii="宋体" w:hAnsi="宋体" w:eastAsia="宋体"/>
          <w:sz w:val="32"/>
          <w:szCs w:val="32"/>
          <w:lang w:val="en-US" w:eastAsia="zh-CN"/>
        </w:rPr>
        <w:t>大</w:t>
      </w:r>
      <w:r>
        <w:rPr>
          <w:rFonts w:hint="eastAsia" w:ascii="宋体" w:hAnsi="宋体" w:eastAsia="宋体"/>
          <w:sz w:val="32"/>
          <w:szCs w:val="32"/>
        </w:rPr>
        <w:t>于年初预算数的主要原因是：</w:t>
      </w:r>
      <w:r>
        <w:rPr>
          <w:rFonts w:hint="eastAsia" w:ascii="宋体" w:hAnsi="宋体" w:eastAsia="宋体"/>
          <w:sz w:val="32"/>
          <w:szCs w:val="32"/>
          <w:lang w:val="en-US" w:eastAsia="zh-CN"/>
        </w:rPr>
        <w:t>上级对此项工作的投入。</w:t>
      </w:r>
    </w:p>
    <w:p>
      <w:pPr>
        <w:pStyle w:val="11"/>
        <w:numPr>
          <w:ilvl w:val="0"/>
          <w:numId w:val="0"/>
        </w:numPr>
        <w:ind w:firstLine="640"/>
        <w:rPr>
          <w:rFonts w:hint="eastAsia" w:ascii="宋体" w:hAnsi="宋体" w:eastAsia="宋体"/>
          <w:sz w:val="32"/>
          <w:szCs w:val="32"/>
          <w:lang w:val="en-US" w:eastAsia="zh-CN"/>
        </w:rPr>
      </w:pPr>
      <w:r>
        <w:rPr>
          <w:rFonts w:hint="eastAsia" w:ascii="宋体" w:hAnsi="宋体" w:eastAsia="宋体"/>
          <w:sz w:val="32"/>
          <w:szCs w:val="32"/>
          <w:lang w:val="en-US" w:eastAsia="zh-CN"/>
        </w:rPr>
        <w:t>10、</w:t>
      </w:r>
      <w:r>
        <w:rPr>
          <w:rFonts w:hint="eastAsia" w:ascii="宋体" w:hAnsi="宋体" w:eastAsia="宋体"/>
          <w:sz w:val="32"/>
          <w:szCs w:val="32"/>
        </w:rPr>
        <w:t>社会保障和就业支出（类）</w:t>
      </w:r>
      <w:r>
        <w:rPr>
          <w:rFonts w:hint="eastAsia" w:ascii="宋体" w:hAnsi="宋体" w:eastAsia="宋体"/>
          <w:sz w:val="32"/>
          <w:szCs w:val="32"/>
          <w:lang w:val="en-US" w:eastAsia="zh-CN"/>
        </w:rPr>
        <w:t>残疾人事业（款）残疾人生活和护理补贴（项）。</w:t>
      </w:r>
    </w:p>
    <w:p>
      <w:pPr>
        <w:pStyle w:val="11"/>
        <w:numPr>
          <w:ilvl w:val="0"/>
          <w:numId w:val="0"/>
        </w:numPr>
        <w:ind w:firstLine="640"/>
        <w:rPr>
          <w:rFonts w:hint="eastAsia" w:ascii="宋体" w:hAnsi="宋体" w:eastAsia="宋体"/>
          <w:sz w:val="32"/>
          <w:szCs w:val="32"/>
          <w:lang w:val="en-US" w:eastAsia="zh-CN"/>
        </w:rPr>
      </w:pPr>
      <w:r>
        <w:rPr>
          <w:rFonts w:hint="eastAsia" w:ascii="宋体" w:hAnsi="宋体" w:eastAsia="宋体"/>
          <w:sz w:val="32"/>
          <w:szCs w:val="32"/>
        </w:rPr>
        <w:t>年初预算为</w:t>
      </w:r>
      <w:r>
        <w:rPr>
          <w:rFonts w:hint="eastAsia" w:ascii="宋体" w:hAnsi="宋体" w:eastAsia="宋体"/>
          <w:sz w:val="32"/>
          <w:szCs w:val="32"/>
          <w:lang w:val="en-US" w:eastAsia="zh-CN"/>
        </w:rPr>
        <w:t>207</w:t>
      </w:r>
      <w:r>
        <w:rPr>
          <w:rFonts w:hint="eastAsia" w:ascii="宋体" w:hAnsi="宋体" w:eastAsia="宋体"/>
          <w:sz w:val="32"/>
          <w:szCs w:val="32"/>
        </w:rPr>
        <w:t>万元，支出决算为</w:t>
      </w:r>
      <w:r>
        <w:rPr>
          <w:rFonts w:hint="eastAsia" w:ascii="宋体" w:hAnsi="宋体" w:eastAsia="宋体"/>
          <w:sz w:val="32"/>
          <w:szCs w:val="32"/>
          <w:lang w:val="en-US" w:eastAsia="zh-CN"/>
        </w:rPr>
        <w:t>734.2</w:t>
      </w:r>
      <w:r>
        <w:rPr>
          <w:rFonts w:hint="eastAsia" w:ascii="宋体" w:hAnsi="宋体" w:eastAsia="宋体"/>
          <w:sz w:val="32"/>
          <w:szCs w:val="32"/>
        </w:rPr>
        <w:t>万元，完成年初预算的</w:t>
      </w:r>
      <w:r>
        <w:rPr>
          <w:rFonts w:hint="eastAsia" w:ascii="宋体" w:hAnsi="宋体" w:eastAsia="宋体"/>
          <w:sz w:val="32"/>
          <w:szCs w:val="32"/>
          <w:lang w:val="en-US" w:eastAsia="zh-CN"/>
        </w:rPr>
        <w:t>354.68%，</w:t>
      </w:r>
      <w:r>
        <w:rPr>
          <w:rFonts w:hint="eastAsia" w:ascii="宋体" w:hAnsi="宋体" w:eastAsia="宋体"/>
          <w:sz w:val="32"/>
          <w:szCs w:val="32"/>
        </w:rPr>
        <w:t>决算数</w:t>
      </w:r>
      <w:r>
        <w:rPr>
          <w:rFonts w:hint="eastAsia" w:ascii="宋体" w:hAnsi="宋体" w:eastAsia="宋体"/>
          <w:sz w:val="32"/>
          <w:szCs w:val="32"/>
          <w:lang w:val="en-US" w:eastAsia="zh-CN"/>
        </w:rPr>
        <w:t>大</w:t>
      </w:r>
      <w:r>
        <w:rPr>
          <w:rFonts w:hint="eastAsia" w:ascii="宋体" w:hAnsi="宋体" w:eastAsia="宋体"/>
          <w:sz w:val="32"/>
          <w:szCs w:val="32"/>
        </w:rPr>
        <w:t>于年初预算数的主要原因是：</w:t>
      </w:r>
      <w:r>
        <w:rPr>
          <w:rFonts w:hint="eastAsia" w:ascii="宋体" w:hAnsi="宋体" w:eastAsia="宋体"/>
          <w:sz w:val="32"/>
          <w:szCs w:val="32"/>
          <w:lang w:val="en-US" w:eastAsia="zh-CN"/>
        </w:rPr>
        <w:t>据实核拨。</w:t>
      </w:r>
    </w:p>
    <w:p>
      <w:pPr>
        <w:pStyle w:val="11"/>
        <w:numPr>
          <w:ilvl w:val="0"/>
          <w:numId w:val="0"/>
        </w:numPr>
        <w:ind w:firstLine="640"/>
        <w:rPr>
          <w:rFonts w:hint="eastAsia" w:ascii="宋体" w:hAnsi="宋体" w:eastAsia="宋体"/>
          <w:sz w:val="32"/>
          <w:szCs w:val="32"/>
          <w:lang w:val="en-US" w:eastAsia="zh-CN"/>
        </w:rPr>
      </w:pPr>
      <w:r>
        <w:rPr>
          <w:rFonts w:hint="eastAsia" w:ascii="宋体" w:hAnsi="宋体" w:eastAsia="宋体"/>
          <w:sz w:val="32"/>
          <w:szCs w:val="32"/>
          <w:lang w:val="en-US" w:eastAsia="zh-CN"/>
        </w:rPr>
        <w:t>11、</w:t>
      </w:r>
      <w:r>
        <w:rPr>
          <w:rFonts w:hint="eastAsia" w:ascii="宋体" w:hAnsi="宋体" w:eastAsia="宋体"/>
          <w:sz w:val="32"/>
          <w:szCs w:val="32"/>
        </w:rPr>
        <w:t>社会保障和就业支出（类）</w:t>
      </w:r>
      <w:r>
        <w:rPr>
          <w:rFonts w:hint="eastAsia" w:ascii="宋体" w:hAnsi="宋体" w:eastAsia="宋体"/>
          <w:sz w:val="32"/>
          <w:szCs w:val="32"/>
          <w:lang w:val="en-US" w:eastAsia="zh-CN"/>
        </w:rPr>
        <w:t>最低生活保障（款）城市最低生活保障金支出（项）。</w:t>
      </w:r>
    </w:p>
    <w:p>
      <w:pPr>
        <w:pStyle w:val="11"/>
        <w:numPr>
          <w:ilvl w:val="0"/>
          <w:numId w:val="0"/>
        </w:numPr>
        <w:ind w:firstLine="640"/>
        <w:rPr>
          <w:rFonts w:hint="eastAsia" w:ascii="宋体" w:hAnsi="宋体" w:eastAsia="宋体"/>
          <w:sz w:val="32"/>
          <w:szCs w:val="32"/>
          <w:lang w:val="en-US" w:eastAsia="zh-CN"/>
        </w:rPr>
      </w:pPr>
      <w:r>
        <w:rPr>
          <w:rFonts w:hint="eastAsia" w:ascii="宋体" w:hAnsi="宋体" w:eastAsia="宋体"/>
          <w:sz w:val="32"/>
          <w:szCs w:val="32"/>
        </w:rPr>
        <w:t>年初预算为</w:t>
      </w:r>
      <w:r>
        <w:rPr>
          <w:rFonts w:hint="eastAsia" w:ascii="宋体" w:hAnsi="宋体" w:eastAsia="宋体"/>
          <w:sz w:val="32"/>
          <w:szCs w:val="32"/>
          <w:lang w:val="en-US" w:eastAsia="zh-CN"/>
        </w:rPr>
        <w:t>300</w:t>
      </w:r>
      <w:r>
        <w:rPr>
          <w:rFonts w:hint="eastAsia" w:ascii="宋体" w:hAnsi="宋体" w:eastAsia="宋体"/>
          <w:sz w:val="32"/>
          <w:szCs w:val="32"/>
        </w:rPr>
        <w:t>万元，支出决算为</w:t>
      </w:r>
      <w:r>
        <w:rPr>
          <w:rFonts w:hint="eastAsia" w:ascii="宋体" w:hAnsi="宋体" w:eastAsia="宋体"/>
          <w:sz w:val="32"/>
          <w:szCs w:val="32"/>
          <w:lang w:val="en-US" w:eastAsia="zh-CN"/>
        </w:rPr>
        <w:t>1579</w:t>
      </w:r>
      <w:r>
        <w:rPr>
          <w:rFonts w:hint="eastAsia" w:ascii="宋体" w:hAnsi="宋体" w:eastAsia="宋体"/>
          <w:sz w:val="32"/>
          <w:szCs w:val="32"/>
        </w:rPr>
        <w:t>万元，完成年初预算的</w:t>
      </w:r>
      <w:r>
        <w:rPr>
          <w:rFonts w:hint="eastAsia" w:ascii="宋体" w:hAnsi="宋体" w:eastAsia="宋体"/>
          <w:sz w:val="32"/>
          <w:szCs w:val="32"/>
          <w:lang w:val="en-US" w:eastAsia="zh-CN"/>
        </w:rPr>
        <w:t>526.33%，</w:t>
      </w:r>
      <w:r>
        <w:rPr>
          <w:rFonts w:hint="eastAsia" w:ascii="宋体" w:hAnsi="宋体" w:eastAsia="宋体"/>
          <w:sz w:val="32"/>
          <w:szCs w:val="32"/>
        </w:rPr>
        <w:t>决算数</w:t>
      </w:r>
      <w:r>
        <w:rPr>
          <w:rFonts w:hint="eastAsia" w:ascii="宋体" w:hAnsi="宋体" w:eastAsia="宋体"/>
          <w:sz w:val="32"/>
          <w:szCs w:val="32"/>
          <w:lang w:val="en-US" w:eastAsia="zh-CN"/>
        </w:rPr>
        <w:t>大</w:t>
      </w:r>
      <w:r>
        <w:rPr>
          <w:rFonts w:hint="eastAsia" w:ascii="宋体" w:hAnsi="宋体" w:eastAsia="宋体"/>
          <w:sz w:val="32"/>
          <w:szCs w:val="32"/>
        </w:rPr>
        <w:t>于年初预算数的主要原因是：</w:t>
      </w:r>
      <w:r>
        <w:rPr>
          <w:rFonts w:hint="eastAsia" w:ascii="宋体" w:hAnsi="宋体" w:eastAsia="宋体"/>
          <w:sz w:val="32"/>
          <w:szCs w:val="32"/>
          <w:lang w:val="en-US" w:eastAsia="zh-CN"/>
        </w:rPr>
        <w:t>上级加大对此项工作的投入。</w:t>
      </w:r>
    </w:p>
    <w:p>
      <w:pPr>
        <w:pStyle w:val="11"/>
        <w:numPr>
          <w:ilvl w:val="0"/>
          <w:numId w:val="0"/>
        </w:numPr>
        <w:ind w:firstLine="640"/>
        <w:rPr>
          <w:rFonts w:hint="eastAsia" w:ascii="宋体" w:hAnsi="宋体" w:eastAsia="宋体"/>
          <w:sz w:val="32"/>
          <w:szCs w:val="32"/>
          <w:lang w:val="en-US" w:eastAsia="zh-CN"/>
        </w:rPr>
      </w:pPr>
      <w:r>
        <w:rPr>
          <w:rFonts w:hint="eastAsia" w:ascii="宋体" w:hAnsi="宋体" w:eastAsia="宋体"/>
          <w:sz w:val="32"/>
          <w:szCs w:val="32"/>
          <w:lang w:val="en-US" w:eastAsia="zh-CN"/>
        </w:rPr>
        <w:t>12、</w:t>
      </w:r>
      <w:r>
        <w:rPr>
          <w:rFonts w:hint="eastAsia" w:ascii="宋体" w:hAnsi="宋体" w:eastAsia="宋体"/>
          <w:sz w:val="32"/>
          <w:szCs w:val="32"/>
        </w:rPr>
        <w:t>社会保障和就业支出（类）</w:t>
      </w:r>
      <w:r>
        <w:rPr>
          <w:rFonts w:hint="eastAsia" w:ascii="宋体" w:hAnsi="宋体" w:eastAsia="宋体"/>
          <w:sz w:val="32"/>
          <w:szCs w:val="32"/>
          <w:lang w:val="en-US" w:eastAsia="zh-CN"/>
        </w:rPr>
        <w:t>最低生活保障（款）农村最低生活保障金支出（项）。</w:t>
      </w:r>
    </w:p>
    <w:p>
      <w:pPr>
        <w:pStyle w:val="11"/>
        <w:numPr>
          <w:ilvl w:val="0"/>
          <w:numId w:val="0"/>
        </w:numPr>
        <w:ind w:firstLine="640"/>
        <w:rPr>
          <w:rFonts w:hint="eastAsia" w:ascii="宋体" w:hAnsi="宋体" w:eastAsia="宋体"/>
          <w:sz w:val="32"/>
          <w:szCs w:val="32"/>
          <w:lang w:val="en-US" w:eastAsia="zh-CN"/>
        </w:rPr>
      </w:pPr>
      <w:r>
        <w:rPr>
          <w:rFonts w:hint="eastAsia" w:ascii="宋体" w:hAnsi="宋体" w:eastAsia="宋体"/>
          <w:sz w:val="32"/>
          <w:szCs w:val="32"/>
        </w:rPr>
        <w:t>年初预算为</w:t>
      </w:r>
      <w:r>
        <w:rPr>
          <w:rFonts w:hint="eastAsia" w:ascii="宋体" w:hAnsi="宋体" w:eastAsia="宋体"/>
          <w:sz w:val="32"/>
          <w:szCs w:val="32"/>
          <w:lang w:val="en-US" w:eastAsia="zh-CN"/>
        </w:rPr>
        <w:t>680</w:t>
      </w:r>
      <w:r>
        <w:rPr>
          <w:rFonts w:hint="eastAsia" w:ascii="宋体" w:hAnsi="宋体" w:eastAsia="宋体"/>
          <w:sz w:val="32"/>
          <w:szCs w:val="32"/>
        </w:rPr>
        <w:t>万元，支出决算为</w:t>
      </w:r>
      <w:r>
        <w:rPr>
          <w:rFonts w:hint="eastAsia" w:ascii="宋体" w:hAnsi="宋体" w:eastAsia="宋体"/>
          <w:sz w:val="32"/>
          <w:szCs w:val="32"/>
          <w:lang w:val="en-US" w:eastAsia="zh-CN"/>
        </w:rPr>
        <w:t>3966</w:t>
      </w:r>
      <w:r>
        <w:rPr>
          <w:rFonts w:hint="eastAsia" w:ascii="宋体" w:hAnsi="宋体" w:eastAsia="宋体"/>
          <w:sz w:val="32"/>
          <w:szCs w:val="32"/>
        </w:rPr>
        <w:t>万元，完成年初预算的</w:t>
      </w:r>
      <w:r>
        <w:rPr>
          <w:rFonts w:hint="eastAsia" w:ascii="宋体" w:hAnsi="宋体" w:eastAsia="宋体"/>
          <w:sz w:val="32"/>
          <w:szCs w:val="32"/>
          <w:lang w:val="en-US" w:eastAsia="zh-CN"/>
        </w:rPr>
        <w:t>583.23%，</w:t>
      </w:r>
      <w:r>
        <w:rPr>
          <w:rFonts w:hint="eastAsia" w:ascii="宋体" w:hAnsi="宋体" w:eastAsia="宋体"/>
          <w:sz w:val="32"/>
          <w:szCs w:val="32"/>
        </w:rPr>
        <w:t>决算数</w:t>
      </w:r>
      <w:r>
        <w:rPr>
          <w:rFonts w:hint="eastAsia" w:ascii="宋体" w:hAnsi="宋体" w:eastAsia="宋体"/>
          <w:sz w:val="32"/>
          <w:szCs w:val="32"/>
          <w:lang w:val="en-US" w:eastAsia="zh-CN"/>
        </w:rPr>
        <w:t>大</w:t>
      </w:r>
      <w:r>
        <w:rPr>
          <w:rFonts w:hint="eastAsia" w:ascii="宋体" w:hAnsi="宋体" w:eastAsia="宋体"/>
          <w:sz w:val="32"/>
          <w:szCs w:val="32"/>
        </w:rPr>
        <w:t>于年初预算数的主要原因是：</w:t>
      </w:r>
      <w:r>
        <w:rPr>
          <w:rFonts w:hint="eastAsia" w:ascii="宋体" w:hAnsi="宋体" w:eastAsia="宋体"/>
          <w:sz w:val="32"/>
          <w:szCs w:val="32"/>
          <w:lang w:val="en-US" w:eastAsia="zh-CN"/>
        </w:rPr>
        <w:t>上级加大对此项工作的投入。</w:t>
      </w:r>
    </w:p>
    <w:p>
      <w:pPr>
        <w:pStyle w:val="11"/>
        <w:numPr>
          <w:ilvl w:val="0"/>
          <w:numId w:val="0"/>
        </w:numPr>
        <w:ind w:firstLine="640"/>
        <w:rPr>
          <w:rFonts w:hint="eastAsia" w:ascii="宋体" w:hAnsi="宋体" w:eastAsia="宋体"/>
          <w:sz w:val="32"/>
          <w:szCs w:val="32"/>
          <w:lang w:val="en-US" w:eastAsia="zh-CN"/>
        </w:rPr>
      </w:pPr>
      <w:r>
        <w:rPr>
          <w:rFonts w:hint="eastAsia" w:ascii="宋体" w:hAnsi="宋体" w:eastAsia="宋体"/>
          <w:sz w:val="32"/>
          <w:szCs w:val="32"/>
          <w:lang w:val="en-US" w:eastAsia="zh-CN"/>
        </w:rPr>
        <w:t>13、</w:t>
      </w:r>
      <w:r>
        <w:rPr>
          <w:rFonts w:hint="eastAsia" w:ascii="宋体" w:hAnsi="宋体" w:eastAsia="宋体"/>
          <w:sz w:val="32"/>
          <w:szCs w:val="32"/>
        </w:rPr>
        <w:t>社会保障和就业支出（类）</w:t>
      </w:r>
      <w:r>
        <w:rPr>
          <w:rFonts w:hint="eastAsia" w:ascii="宋体" w:hAnsi="宋体" w:eastAsia="宋体"/>
          <w:sz w:val="32"/>
          <w:szCs w:val="32"/>
          <w:lang w:val="en-US" w:eastAsia="zh-CN"/>
        </w:rPr>
        <w:t>临时救助（款）临时救助支出（项）。</w:t>
      </w:r>
    </w:p>
    <w:p>
      <w:pPr>
        <w:pStyle w:val="11"/>
        <w:numPr>
          <w:ilvl w:val="0"/>
          <w:numId w:val="0"/>
        </w:numPr>
        <w:ind w:firstLine="640"/>
        <w:rPr>
          <w:rFonts w:hint="eastAsia" w:ascii="宋体" w:hAnsi="宋体" w:eastAsia="宋体"/>
          <w:sz w:val="32"/>
          <w:szCs w:val="32"/>
          <w:lang w:val="en-US" w:eastAsia="zh-CN"/>
        </w:rPr>
      </w:pPr>
      <w:r>
        <w:rPr>
          <w:rFonts w:hint="eastAsia" w:ascii="宋体" w:hAnsi="宋体" w:eastAsia="宋体"/>
          <w:sz w:val="32"/>
          <w:szCs w:val="32"/>
        </w:rPr>
        <w:t>年初预算为</w:t>
      </w:r>
      <w:r>
        <w:rPr>
          <w:rFonts w:hint="eastAsia" w:ascii="宋体" w:hAnsi="宋体" w:eastAsia="宋体"/>
          <w:sz w:val="32"/>
          <w:szCs w:val="32"/>
          <w:lang w:val="en-US" w:eastAsia="zh-CN"/>
        </w:rPr>
        <w:t>0</w:t>
      </w:r>
      <w:r>
        <w:rPr>
          <w:rFonts w:hint="eastAsia" w:ascii="宋体" w:hAnsi="宋体" w:eastAsia="宋体"/>
          <w:sz w:val="32"/>
          <w:szCs w:val="32"/>
        </w:rPr>
        <w:t>万元，支出决算为</w:t>
      </w:r>
      <w:r>
        <w:rPr>
          <w:rFonts w:hint="eastAsia" w:ascii="宋体" w:hAnsi="宋体" w:eastAsia="宋体"/>
          <w:sz w:val="32"/>
          <w:szCs w:val="32"/>
          <w:lang w:val="en-US" w:eastAsia="zh-CN"/>
        </w:rPr>
        <w:t>608</w:t>
      </w:r>
      <w:r>
        <w:rPr>
          <w:rFonts w:hint="eastAsia" w:ascii="宋体" w:hAnsi="宋体" w:eastAsia="宋体"/>
          <w:sz w:val="32"/>
          <w:szCs w:val="32"/>
        </w:rPr>
        <w:t>万元，决算数</w:t>
      </w:r>
      <w:r>
        <w:rPr>
          <w:rFonts w:hint="eastAsia" w:ascii="宋体" w:hAnsi="宋体" w:eastAsia="宋体"/>
          <w:sz w:val="32"/>
          <w:szCs w:val="32"/>
          <w:lang w:val="en-US" w:eastAsia="zh-CN"/>
        </w:rPr>
        <w:t>大</w:t>
      </w:r>
      <w:r>
        <w:rPr>
          <w:rFonts w:hint="eastAsia" w:ascii="宋体" w:hAnsi="宋体" w:eastAsia="宋体"/>
          <w:sz w:val="32"/>
          <w:szCs w:val="32"/>
        </w:rPr>
        <w:t>于年初预算数的主要原因是：</w:t>
      </w:r>
      <w:r>
        <w:rPr>
          <w:rFonts w:hint="eastAsia" w:ascii="宋体" w:hAnsi="宋体" w:eastAsia="宋体"/>
          <w:sz w:val="32"/>
          <w:szCs w:val="32"/>
          <w:lang w:val="en-US" w:eastAsia="zh-CN"/>
        </w:rPr>
        <w:t>上级对此项工作的投入。</w:t>
      </w:r>
    </w:p>
    <w:p>
      <w:pPr>
        <w:pStyle w:val="11"/>
        <w:numPr>
          <w:ilvl w:val="0"/>
          <w:numId w:val="0"/>
        </w:numPr>
        <w:ind w:firstLine="640"/>
        <w:rPr>
          <w:rFonts w:hint="eastAsia" w:ascii="宋体" w:hAnsi="宋体" w:eastAsia="宋体"/>
          <w:sz w:val="32"/>
          <w:szCs w:val="32"/>
          <w:lang w:val="en-US" w:eastAsia="zh-CN"/>
        </w:rPr>
      </w:pPr>
      <w:r>
        <w:rPr>
          <w:rFonts w:hint="eastAsia" w:ascii="宋体" w:hAnsi="宋体" w:eastAsia="宋体"/>
          <w:sz w:val="32"/>
          <w:szCs w:val="32"/>
          <w:lang w:val="en-US" w:eastAsia="zh-CN"/>
        </w:rPr>
        <w:t>14、</w:t>
      </w:r>
      <w:r>
        <w:rPr>
          <w:rFonts w:hint="eastAsia" w:ascii="宋体" w:hAnsi="宋体" w:eastAsia="宋体"/>
          <w:sz w:val="32"/>
          <w:szCs w:val="32"/>
        </w:rPr>
        <w:t>社会保障和就业支出（类）</w:t>
      </w:r>
      <w:r>
        <w:rPr>
          <w:rFonts w:hint="eastAsia" w:ascii="宋体" w:hAnsi="宋体" w:eastAsia="宋体"/>
          <w:sz w:val="32"/>
          <w:szCs w:val="32"/>
          <w:lang w:val="en-US" w:eastAsia="zh-CN"/>
        </w:rPr>
        <w:t>临时救助（款）流浪乞讨人员救助支出（项）。</w:t>
      </w:r>
    </w:p>
    <w:p>
      <w:pPr>
        <w:pStyle w:val="11"/>
        <w:numPr>
          <w:ilvl w:val="0"/>
          <w:numId w:val="0"/>
        </w:numPr>
        <w:ind w:firstLine="640"/>
        <w:rPr>
          <w:rFonts w:hint="default" w:ascii="宋体" w:hAnsi="宋体" w:eastAsia="宋体"/>
          <w:sz w:val="32"/>
          <w:szCs w:val="32"/>
          <w:lang w:val="en-US" w:eastAsia="zh-CN"/>
        </w:rPr>
      </w:pPr>
      <w:r>
        <w:rPr>
          <w:rFonts w:hint="eastAsia" w:ascii="宋体" w:hAnsi="宋体" w:eastAsia="宋体"/>
          <w:sz w:val="32"/>
          <w:szCs w:val="32"/>
        </w:rPr>
        <w:t>年初预算为</w:t>
      </w:r>
      <w:r>
        <w:rPr>
          <w:rFonts w:hint="eastAsia" w:ascii="宋体" w:hAnsi="宋体" w:eastAsia="宋体"/>
          <w:sz w:val="32"/>
          <w:szCs w:val="32"/>
          <w:lang w:val="en-US" w:eastAsia="zh-CN"/>
        </w:rPr>
        <w:t>0</w:t>
      </w:r>
      <w:r>
        <w:rPr>
          <w:rFonts w:hint="eastAsia" w:ascii="宋体" w:hAnsi="宋体" w:eastAsia="宋体"/>
          <w:sz w:val="32"/>
          <w:szCs w:val="32"/>
        </w:rPr>
        <w:t>万元，支出决算为</w:t>
      </w:r>
      <w:r>
        <w:rPr>
          <w:rFonts w:hint="eastAsia" w:ascii="宋体" w:hAnsi="宋体" w:eastAsia="宋体"/>
          <w:sz w:val="32"/>
          <w:szCs w:val="32"/>
          <w:lang w:val="en-US" w:eastAsia="zh-CN"/>
        </w:rPr>
        <w:t>60</w:t>
      </w:r>
      <w:r>
        <w:rPr>
          <w:rFonts w:hint="eastAsia" w:ascii="宋体" w:hAnsi="宋体" w:eastAsia="宋体"/>
          <w:sz w:val="32"/>
          <w:szCs w:val="32"/>
        </w:rPr>
        <w:t>万元，决算数</w:t>
      </w:r>
      <w:r>
        <w:rPr>
          <w:rFonts w:hint="eastAsia" w:ascii="宋体" w:hAnsi="宋体" w:eastAsia="宋体"/>
          <w:sz w:val="32"/>
          <w:szCs w:val="32"/>
          <w:lang w:val="en-US" w:eastAsia="zh-CN"/>
        </w:rPr>
        <w:t>大</w:t>
      </w:r>
      <w:r>
        <w:rPr>
          <w:rFonts w:hint="eastAsia" w:ascii="宋体" w:hAnsi="宋体" w:eastAsia="宋体"/>
          <w:sz w:val="32"/>
          <w:szCs w:val="32"/>
        </w:rPr>
        <w:t>于年初预算数的主要原因是：</w:t>
      </w:r>
      <w:r>
        <w:rPr>
          <w:rFonts w:hint="eastAsia" w:ascii="宋体" w:hAnsi="宋体" w:eastAsia="宋体"/>
          <w:sz w:val="32"/>
          <w:szCs w:val="32"/>
          <w:lang w:val="en-US" w:eastAsia="zh-CN"/>
        </w:rPr>
        <w:t>上级对此项工作的投入。</w:t>
      </w:r>
    </w:p>
    <w:p>
      <w:pPr>
        <w:pStyle w:val="11"/>
        <w:numPr>
          <w:ilvl w:val="0"/>
          <w:numId w:val="0"/>
        </w:numPr>
        <w:ind w:firstLine="640"/>
        <w:rPr>
          <w:rFonts w:hint="eastAsia" w:ascii="宋体" w:hAnsi="宋体" w:eastAsia="宋体"/>
          <w:sz w:val="32"/>
          <w:szCs w:val="32"/>
          <w:lang w:val="en-US" w:eastAsia="zh-CN"/>
        </w:rPr>
      </w:pPr>
      <w:r>
        <w:rPr>
          <w:rFonts w:hint="eastAsia" w:ascii="宋体" w:hAnsi="宋体" w:eastAsia="宋体"/>
          <w:sz w:val="32"/>
          <w:szCs w:val="32"/>
          <w:lang w:val="en-US" w:eastAsia="zh-CN"/>
        </w:rPr>
        <w:t>15、</w:t>
      </w:r>
      <w:r>
        <w:rPr>
          <w:rFonts w:hint="eastAsia" w:ascii="宋体" w:hAnsi="宋体" w:eastAsia="宋体"/>
          <w:sz w:val="32"/>
          <w:szCs w:val="32"/>
        </w:rPr>
        <w:t>社会保障和就业支出（类）</w:t>
      </w:r>
      <w:r>
        <w:rPr>
          <w:rFonts w:hint="eastAsia" w:ascii="宋体" w:hAnsi="宋体" w:eastAsia="宋体"/>
          <w:sz w:val="32"/>
          <w:szCs w:val="32"/>
          <w:lang w:val="en-US" w:eastAsia="zh-CN"/>
        </w:rPr>
        <w:t>特困人员救助供养（款）城市特困人员救助供养支出（项）</w:t>
      </w:r>
    </w:p>
    <w:p>
      <w:pPr>
        <w:pStyle w:val="11"/>
        <w:numPr>
          <w:ilvl w:val="0"/>
          <w:numId w:val="0"/>
        </w:numPr>
        <w:ind w:firstLine="640"/>
        <w:rPr>
          <w:rFonts w:hint="default" w:ascii="宋体" w:hAnsi="宋体" w:eastAsia="宋体"/>
          <w:sz w:val="32"/>
          <w:szCs w:val="32"/>
          <w:lang w:val="en-US" w:eastAsia="zh-CN"/>
        </w:rPr>
      </w:pPr>
      <w:r>
        <w:rPr>
          <w:rFonts w:hint="eastAsia" w:ascii="宋体" w:hAnsi="宋体" w:eastAsia="宋体"/>
          <w:sz w:val="32"/>
          <w:szCs w:val="32"/>
        </w:rPr>
        <w:t>年初预算为</w:t>
      </w:r>
      <w:r>
        <w:rPr>
          <w:rFonts w:hint="eastAsia" w:ascii="宋体" w:hAnsi="宋体" w:eastAsia="宋体"/>
          <w:sz w:val="32"/>
          <w:szCs w:val="32"/>
          <w:lang w:val="en-US" w:eastAsia="zh-CN"/>
        </w:rPr>
        <w:t>0</w:t>
      </w:r>
      <w:r>
        <w:rPr>
          <w:rFonts w:hint="eastAsia" w:ascii="宋体" w:hAnsi="宋体" w:eastAsia="宋体"/>
          <w:sz w:val="32"/>
          <w:szCs w:val="32"/>
        </w:rPr>
        <w:t>万元，支出决算为</w:t>
      </w:r>
      <w:r>
        <w:rPr>
          <w:rFonts w:hint="eastAsia" w:ascii="宋体" w:hAnsi="宋体" w:eastAsia="宋体"/>
          <w:sz w:val="32"/>
          <w:szCs w:val="32"/>
          <w:lang w:val="en-US" w:eastAsia="zh-CN"/>
        </w:rPr>
        <w:t>144</w:t>
      </w:r>
      <w:r>
        <w:rPr>
          <w:rFonts w:hint="eastAsia" w:ascii="宋体" w:hAnsi="宋体" w:eastAsia="宋体"/>
          <w:sz w:val="32"/>
          <w:szCs w:val="32"/>
        </w:rPr>
        <w:t>万元，决算数</w:t>
      </w:r>
      <w:r>
        <w:rPr>
          <w:rFonts w:hint="eastAsia" w:ascii="宋体" w:hAnsi="宋体" w:eastAsia="宋体"/>
          <w:sz w:val="32"/>
          <w:szCs w:val="32"/>
          <w:lang w:val="en-US" w:eastAsia="zh-CN"/>
        </w:rPr>
        <w:t>大</w:t>
      </w:r>
      <w:r>
        <w:rPr>
          <w:rFonts w:hint="eastAsia" w:ascii="宋体" w:hAnsi="宋体" w:eastAsia="宋体"/>
          <w:sz w:val="32"/>
          <w:szCs w:val="32"/>
        </w:rPr>
        <w:t>于年初预算数的主要原因是：</w:t>
      </w:r>
      <w:r>
        <w:rPr>
          <w:rFonts w:hint="eastAsia" w:ascii="宋体" w:hAnsi="宋体" w:eastAsia="宋体"/>
          <w:sz w:val="32"/>
          <w:szCs w:val="32"/>
          <w:lang w:val="en-US" w:eastAsia="zh-CN"/>
        </w:rPr>
        <w:t>上级对此项工作的投入。</w:t>
      </w:r>
    </w:p>
    <w:p>
      <w:pPr>
        <w:pStyle w:val="11"/>
        <w:numPr>
          <w:ilvl w:val="0"/>
          <w:numId w:val="0"/>
        </w:numPr>
        <w:ind w:firstLine="640"/>
        <w:rPr>
          <w:rFonts w:hint="eastAsia" w:ascii="宋体" w:hAnsi="宋体" w:eastAsia="宋体"/>
          <w:sz w:val="32"/>
          <w:szCs w:val="32"/>
          <w:lang w:val="en-US" w:eastAsia="zh-CN"/>
        </w:rPr>
      </w:pPr>
      <w:r>
        <w:rPr>
          <w:rFonts w:hint="eastAsia" w:ascii="宋体" w:hAnsi="宋体" w:eastAsia="宋体"/>
          <w:sz w:val="32"/>
          <w:szCs w:val="32"/>
          <w:lang w:val="en-US" w:eastAsia="zh-CN"/>
        </w:rPr>
        <w:t>16、</w:t>
      </w:r>
      <w:r>
        <w:rPr>
          <w:rFonts w:hint="eastAsia" w:ascii="宋体" w:hAnsi="宋体" w:eastAsia="宋体"/>
          <w:sz w:val="32"/>
          <w:szCs w:val="32"/>
        </w:rPr>
        <w:t>社会保障和就业支出（类）</w:t>
      </w:r>
      <w:r>
        <w:rPr>
          <w:rFonts w:hint="eastAsia" w:ascii="宋体" w:hAnsi="宋体" w:eastAsia="宋体"/>
          <w:sz w:val="32"/>
          <w:szCs w:val="32"/>
          <w:lang w:val="en-US" w:eastAsia="zh-CN"/>
        </w:rPr>
        <w:t>特困人员救助供养（款）农村特困人员救助供养支出（项）</w:t>
      </w:r>
    </w:p>
    <w:p>
      <w:pPr>
        <w:pStyle w:val="11"/>
        <w:numPr>
          <w:ilvl w:val="0"/>
          <w:numId w:val="0"/>
        </w:numPr>
        <w:ind w:firstLine="640"/>
        <w:rPr>
          <w:rFonts w:hint="eastAsia" w:ascii="宋体" w:hAnsi="宋体" w:eastAsia="宋体"/>
          <w:sz w:val="32"/>
          <w:szCs w:val="32"/>
          <w:lang w:val="en-US" w:eastAsia="zh-CN"/>
        </w:rPr>
      </w:pPr>
      <w:r>
        <w:rPr>
          <w:rFonts w:hint="eastAsia" w:ascii="宋体" w:hAnsi="宋体" w:eastAsia="宋体"/>
          <w:sz w:val="32"/>
          <w:szCs w:val="32"/>
        </w:rPr>
        <w:t>年初预算为</w:t>
      </w:r>
      <w:r>
        <w:rPr>
          <w:rFonts w:hint="eastAsia" w:ascii="宋体" w:hAnsi="宋体" w:eastAsia="宋体"/>
          <w:sz w:val="32"/>
          <w:szCs w:val="32"/>
          <w:lang w:val="en-US" w:eastAsia="zh-CN"/>
        </w:rPr>
        <w:t>2500</w:t>
      </w:r>
      <w:r>
        <w:rPr>
          <w:rFonts w:hint="eastAsia" w:ascii="宋体" w:hAnsi="宋体" w:eastAsia="宋体"/>
          <w:sz w:val="32"/>
          <w:szCs w:val="32"/>
        </w:rPr>
        <w:t>万元，支出决算为</w:t>
      </w:r>
      <w:r>
        <w:rPr>
          <w:rFonts w:hint="eastAsia" w:ascii="宋体" w:hAnsi="宋体" w:eastAsia="宋体"/>
          <w:sz w:val="32"/>
          <w:szCs w:val="32"/>
          <w:lang w:val="en-US" w:eastAsia="zh-CN"/>
        </w:rPr>
        <w:t>4414</w:t>
      </w:r>
      <w:r>
        <w:rPr>
          <w:rFonts w:hint="eastAsia" w:ascii="宋体" w:hAnsi="宋体" w:eastAsia="宋体"/>
          <w:sz w:val="32"/>
          <w:szCs w:val="32"/>
        </w:rPr>
        <w:t>万元，完成年初预算的</w:t>
      </w:r>
      <w:r>
        <w:rPr>
          <w:rFonts w:hint="eastAsia" w:ascii="宋体" w:hAnsi="宋体" w:eastAsia="宋体"/>
          <w:sz w:val="32"/>
          <w:szCs w:val="32"/>
          <w:lang w:val="en-US" w:eastAsia="zh-CN"/>
        </w:rPr>
        <w:t>176.56%</w:t>
      </w:r>
      <w:r>
        <w:rPr>
          <w:rFonts w:hint="eastAsia" w:ascii="宋体" w:hAnsi="宋体" w:eastAsia="宋体"/>
          <w:sz w:val="32"/>
          <w:szCs w:val="32"/>
        </w:rPr>
        <w:t>决算数</w:t>
      </w:r>
      <w:r>
        <w:rPr>
          <w:rFonts w:hint="eastAsia" w:ascii="宋体" w:hAnsi="宋体" w:eastAsia="宋体"/>
          <w:sz w:val="32"/>
          <w:szCs w:val="32"/>
          <w:lang w:val="en-US" w:eastAsia="zh-CN"/>
        </w:rPr>
        <w:t>大</w:t>
      </w:r>
      <w:r>
        <w:rPr>
          <w:rFonts w:hint="eastAsia" w:ascii="宋体" w:hAnsi="宋体" w:eastAsia="宋体"/>
          <w:sz w:val="32"/>
          <w:szCs w:val="32"/>
        </w:rPr>
        <w:t>于年初预算数的主要原因是：</w:t>
      </w:r>
      <w:r>
        <w:rPr>
          <w:rFonts w:hint="eastAsia" w:ascii="宋体" w:hAnsi="宋体" w:eastAsia="宋体"/>
          <w:sz w:val="32"/>
          <w:szCs w:val="32"/>
          <w:lang w:val="en-US" w:eastAsia="zh-CN"/>
        </w:rPr>
        <w:t>上级加大对此项工作的投入。</w:t>
      </w:r>
    </w:p>
    <w:p>
      <w:pPr>
        <w:pStyle w:val="11"/>
        <w:numPr>
          <w:ilvl w:val="0"/>
          <w:numId w:val="0"/>
        </w:numPr>
        <w:ind w:firstLine="640"/>
        <w:rPr>
          <w:rFonts w:hint="eastAsia" w:ascii="宋体" w:hAnsi="宋体" w:eastAsia="宋体"/>
          <w:sz w:val="32"/>
          <w:szCs w:val="32"/>
          <w:lang w:val="en-US" w:eastAsia="zh-CN"/>
        </w:rPr>
      </w:pPr>
      <w:r>
        <w:rPr>
          <w:rFonts w:hint="eastAsia" w:ascii="宋体" w:hAnsi="宋体" w:eastAsia="宋体"/>
          <w:sz w:val="32"/>
          <w:szCs w:val="32"/>
          <w:lang w:val="en-US" w:eastAsia="zh-CN"/>
        </w:rPr>
        <w:t>17、</w:t>
      </w:r>
      <w:r>
        <w:rPr>
          <w:rFonts w:hint="eastAsia" w:ascii="宋体" w:hAnsi="宋体" w:eastAsia="宋体"/>
          <w:sz w:val="32"/>
          <w:szCs w:val="32"/>
        </w:rPr>
        <w:t>社会保障和就业支出（类）</w:t>
      </w:r>
      <w:r>
        <w:rPr>
          <w:rFonts w:hint="eastAsia" w:ascii="宋体" w:hAnsi="宋体" w:eastAsia="宋体"/>
          <w:sz w:val="32"/>
          <w:szCs w:val="32"/>
          <w:lang w:val="en-US" w:eastAsia="zh-CN"/>
        </w:rPr>
        <w:t>其他生活救助（款）其他农村生活救助（项）。</w:t>
      </w:r>
    </w:p>
    <w:p>
      <w:pPr>
        <w:pStyle w:val="11"/>
        <w:numPr>
          <w:ilvl w:val="0"/>
          <w:numId w:val="0"/>
        </w:numPr>
        <w:ind w:firstLine="640"/>
        <w:rPr>
          <w:rFonts w:hint="eastAsia" w:ascii="宋体" w:hAnsi="宋体" w:eastAsia="宋体"/>
          <w:sz w:val="32"/>
          <w:szCs w:val="32"/>
          <w:lang w:val="en-US" w:eastAsia="zh-CN"/>
        </w:rPr>
      </w:pPr>
      <w:r>
        <w:rPr>
          <w:rFonts w:hint="eastAsia" w:ascii="宋体" w:hAnsi="宋体" w:eastAsia="宋体"/>
          <w:sz w:val="32"/>
          <w:szCs w:val="32"/>
        </w:rPr>
        <w:t>年初预算为</w:t>
      </w:r>
      <w:r>
        <w:rPr>
          <w:rFonts w:hint="eastAsia" w:ascii="宋体" w:hAnsi="宋体" w:eastAsia="宋体"/>
          <w:sz w:val="32"/>
          <w:szCs w:val="32"/>
          <w:lang w:val="en-US" w:eastAsia="zh-CN"/>
        </w:rPr>
        <w:t>0</w:t>
      </w:r>
      <w:r>
        <w:rPr>
          <w:rFonts w:hint="eastAsia" w:ascii="宋体" w:hAnsi="宋体" w:eastAsia="宋体"/>
          <w:sz w:val="32"/>
          <w:szCs w:val="32"/>
        </w:rPr>
        <w:t>万元，支出决算为</w:t>
      </w:r>
      <w:r>
        <w:rPr>
          <w:rFonts w:hint="eastAsia" w:ascii="宋体" w:hAnsi="宋体" w:eastAsia="宋体"/>
          <w:sz w:val="32"/>
          <w:szCs w:val="32"/>
          <w:lang w:val="en-US" w:eastAsia="zh-CN"/>
        </w:rPr>
        <w:t>61.53</w:t>
      </w:r>
      <w:r>
        <w:rPr>
          <w:rFonts w:hint="eastAsia" w:ascii="宋体" w:hAnsi="宋体" w:eastAsia="宋体"/>
          <w:sz w:val="32"/>
          <w:szCs w:val="32"/>
        </w:rPr>
        <w:t>万元，决算数</w:t>
      </w:r>
      <w:r>
        <w:rPr>
          <w:rFonts w:hint="eastAsia" w:ascii="宋体" w:hAnsi="宋体" w:eastAsia="宋体"/>
          <w:sz w:val="32"/>
          <w:szCs w:val="32"/>
          <w:lang w:val="en-US" w:eastAsia="zh-CN"/>
        </w:rPr>
        <w:t>大</w:t>
      </w:r>
      <w:r>
        <w:rPr>
          <w:rFonts w:hint="eastAsia" w:ascii="宋体" w:hAnsi="宋体" w:eastAsia="宋体"/>
          <w:sz w:val="32"/>
          <w:szCs w:val="32"/>
        </w:rPr>
        <w:t>于年初预算数的主要原因是：</w:t>
      </w:r>
      <w:r>
        <w:rPr>
          <w:rFonts w:hint="eastAsia" w:ascii="宋体" w:hAnsi="宋体" w:eastAsia="宋体"/>
          <w:sz w:val="32"/>
          <w:szCs w:val="32"/>
          <w:lang w:val="en-US" w:eastAsia="zh-CN"/>
        </w:rPr>
        <w:t>上级对此项工作的投入。</w:t>
      </w:r>
    </w:p>
    <w:p>
      <w:pPr>
        <w:pStyle w:val="11"/>
        <w:numPr>
          <w:ilvl w:val="0"/>
          <w:numId w:val="0"/>
        </w:numPr>
        <w:ind w:firstLine="640"/>
        <w:rPr>
          <w:rFonts w:hint="eastAsia" w:ascii="宋体" w:hAnsi="宋体" w:eastAsia="宋体"/>
          <w:sz w:val="32"/>
          <w:szCs w:val="32"/>
          <w:lang w:val="en-US" w:eastAsia="zh-CN"/>
        </w:rPr>
      </w:pPr>
      <w:r>
        <w:rPr>
          <w:rFonts w:hint="eastAsia" w:ascii="宋体" w:hAnsi="宋体" w:eastAsia="宋体"/>
          <w:sz w:val="32"/>
          <w:szCs w:val="32"/>
          <w:lang w:val="en-US" w:eastAsia="zh-CN"/>
        </w:rPr>
        <w:t>18、卫生健康支出（类）行政事业单位医疗（款）行政单位医疗（项）。</w:t>
      </w:r>
    </w:p>
    <w:p>
      <w:pPr>
        <w:pStyle w:val="11"/>
        <w:numPr>
          <w:ilvl w:val="0"/>
          <w:numId w:val="0"/>
        </w:numPr>
        <w:ind w:firstLine="640" w:firstLineChars="200"/>
        <w:rPr>
          <w:rFonts w:hint="default" w:ascii="宋体" w:hAnsi="宋体" w:eastAsia="宋体"/>
          <w:sz w:val="32"/>
          <w:szCs w:val="32"/>
          <w:lang w:val="en-US" w:eastAsia="zh-CN"/>
        </w:rPr>
      </w:pPr>
      <w:r>
        <w:rPr>
          <w:rFonts w:hint="eastAsia" w:ascii="宋体" w:hAnsi="宋体" w:eastAsia="宋体"/>
          <w:sz w:val="32"/>
          <w:szCs w:val="32"/>
        </w:rPr>
        <w:t>年初预算为</w:t>
      </w:r>
      <w:r>
        <w:rPr>
          <w:rFonts w:hint="eastAsia" w:ascii="宋体" w:hAnsi="宋体" w:eastAsia="宋体"/>
          <w:sz w:val="32"/>
          <w:szCs w:val="32"/>
          <w:lang w:val="en-US" w:eastAsia="zh-CN"/>
        </w:rPr>
        <w:t>31.48</w:t>
      </w:r>
      <w:r>
        <w:rPr>
          <w:rFonts w:hint="eastAsia" w:ascii="宋体" w:hAnsi="宋体" w:eastAsia="宋体"/>
          <w:sz w:val="32"/>
          <w:szCs w:val="32"/>
        </w:rPr>
        <w:t>万元，支出决算为</w:t>
      </w:r>
      <w:r>
        <w:rPr>
          <w:rFonts w:hint="eastAsia" w:ascii="宋体" w:hAnsi="宋体" w:eastAsia="宋体"/>
          <w:sz w:val="32"/>
          <w:szCs w:val="32"/>
          <w:lang w:val="en-US" w:eastAsia="zh-CN"/>
        </w:rPr>
        <w:t>31.48</w:t>
      </w:r>
      <w:r>
        <w:rPr>
          <w:rFonts w:hint="eastAsia" w:ascii="宋体" w:hAnsi="宋体" w:eastAsia="宋体"/>
          <w:sz w:val="32"/>
          <w:szCs w:val="32"/>
        </w:rPr>
        <w:t>万元，完成年初预算的</w:t>
      </w:r>
      <w:r>
        <w:rPr>
          <w:rFonts w:hint="eastAsia" w:ascii="宋体" w:hAnsi="宋体" w:eastAsia="宋体"/>
          <w:sz w:val="32"/>
          <w:szCs w:val="32"/>
          <w:lang w:val="en-US" w:eastAsia="zh-CN"/>
        </w:rPr>
        <w:t>100</w:t>
      </w:r>
      <w:r>
        <w:rPr>
          <w:rFonts w:hint="eastAsia" w:ascii="宋体" w:hAnsi="宋体" w:eastAsia="宋体"/>
          <w:sz w:val="32"/>
          <w:szCs w:val="32"/>
        </w:rPr>
        <w:t>%，决算数</w:t>
      </w:r>
      <w:r>
        <w:rPr>
          <w:rFonts w:hint="eastAsia" w:ascii="宋体" w:hAnsi="宋体" w:eastAsia="宋体"/>
          <w:sz w:val="32"/>
          <w:szCs w:val="32"/>
          <w:lang w:val="en-US" w:eastAsia="zh-CN"/>
        </w:rPr>
        <w:t>等</w:t>
      </w:r>
      <w:r>
        <w:rPr>
          <w:rFonts w:hint="eastAsia" w:ascii="宋体" w:hAnsi="宋体" w:eastAsia="宋体"/>
          <w:sz w:val="32"/>
          <w:szCs w:val="32"/>
        </w:rPr>
        <w:t>于年初预算数的主要原因是：</w:t>
      </w:r>
      <w:r>
        <w:rPr>
          <w:rFonts w:hint="eastAsia" w:ascii="宋体" w:hAnsi="宋体" w:eastAsia="宋体"/>
          <w:sz w:val="32"/>
          <w:szCs w:val="32"/>
          <w:lang w:val="en-US" w:eastAsia="zh-CN"/>
        </w:rPr>
        <w:t>据实核拨。</w:t>
      </w:r>
    </w:p>
    <w:p>
      <w:pPr>
        <w:pStyle w:val="11"/>
        <w:rPr>
          <w:rFonts w:hAnsi="黑体"/>
          <w:b/>
          <w:sz w:val="32"/>
          <w:szCs w:val="32"/>
        </w:rPr>
      </w:pPr>
      <w:r>
        <w:rPr>
          <w:rFonts w:hint="eastAsia" w:hAnsi="黑体"/>
          <w:b/>
          <w:sz w:val="32"/>
          <w:szCs w:val="32"/>
        </w:rPr>
        <w:t>六、一般公共预算财政拨款基本支出决算情况说明</w:t>
      </w:r>
    </w:p>
    <w:p>
      <w:pPr>
        <w:pStyle w:val="11"/>
        <w:ind w:firstLine="640" w:firstLineChars="200"/>
        <w:rPr>
          <w:rFonts w:ascii="宋体" w:hAnsi="宋体" w:eastAsia="宋体"/>
          <w:i/>
          <w:color w:val="FF0000"/>
          <w:sz w:val="32"/>
          <w:szCs w:val="32"/>
        </w:rPr>
      </w:pPr>
      <w:r>
        <w:rPr>
          <w:rFonts w:hint="eastAsia" w:ascii="宋体" w:hAnsi="宋体" w:eastAsia="宋体"/>
          <w:sz w:val="32"/>
          <w:szCs w:val="32"/>
        </w:rPr>
        <w:t>2021年度财政拨款基本支出</w:t>
      </w:r>
      <w:r>
        <w:rPr>
          <w:rFonts w:hint="eastAsia" w:ascii="宋体" w:hAnsi="宋体" w:eastAsia="宋体"/>
          <w:sz w:val="32"/>
          <w:szCs w:val="32"/>
          <w:lang w:val="en-US" w:eastAsia="zh-CN"/>
        </w:rPr>
        <w:t>660.09</w:t>
      </w:r>
      <w:r>
        <w:rPr>
          <w:rFonts w:hint="eastAsia" w:ascii="宋体" w:hAnsi="宋体" w:eastAsia="宋体"/>
          <w:sz w:val="32"/>
          <w:szCs w:val="32"/>
        </w:rPr>
        <w:t>万元，其中：人员经费</w:t>
      </w:r>
      <w:r>
        <w:rPr>
          <w:rFonts w:hint="eastAsia" w:ascii="宋体" w:hAnsi="宋体" w:eastAsia="宋体"/>
          <w:sz w:val="32"/>
          <w:szCs w:val="32"/>
          <w:lang w:val="en-US" w:eastAsia="zh-CN"/>
        </w:rPr>
        <w:t>555.81</w:t>
      </w:r>
      <w:r>
        <w:rPr>
          <w:rFonts w:hint="eastAsia" w:ascii="宋体" w:hAnsi="宋体" w:eastAsia="宋体"/>
          <w:sz w:val="32"/>
          <w:szCs w:val="32"/>
        </w:rPr>
        <w:t>万元，占基本支出的</w:t>
      </w:r>
      <w:r>
        <w:rPr>
          <w:rFonts w:hint="eastAsia" w:ascii="宋体" w:hAnsi="宋体" w:eastAsia="宋体"/>
          <w:sz w:val="32"/>
          <w:szCs w:val="32"/>
          <w:lang w:val="en-US" w:eastAsia="zh-CN"/>
        </w:rPr>
        <w:t>84.2</w:t>
      </w:r>
      <w:r>
        <w:rPr>
          <w:rFonts w:hint="eastAsia" w:ascii="宋体" w:hAnsi="宋体" w:eastAsia="宋体"/>
          <w:sz w:val="32"/>
          <w:szCs w:val="32"/>
        </w:rPr>
        <w:t>%,主要包括基本工资、津贴补贴、奖金、</w:t>
      </w:r>
      <w:r>
        <w:rPr>
          <w:rFonts w:hint="eastAsia" w:ascii="宋体" w:hAnsi="宋体" w:eastAsia="宋体"/>
          <w:sz w:val="32"/>
          <w:szCs w:val="32"/>
          <w:lang w:val="en-US" w:eastAsia="zh-CN"/>
        </w:rPr>
        <w:t>社会保障缴费等</w:t>
      </w:r>
      <w:r>
        <w:rPr>
          <w:rFonts w:hint="eastAsia" w:ascii="宋体" w:hAnsi="宋体" w:eastAsia="宋体"/>
          <w:sz w:val="32"/>
          <w:szCs w:val="32"/>
        </w:rPr>
        <w:t>；公用经费</w:t>
      </w:r>
      <w:r>
        <w:rPr>
          <w:rFonts w:hint="eastAsia" w:ascii="宋体" w:hAnsi="宋体" w:eastAsia="宋体"/>
          <w:sz w:val="32"/>
          <w:szCs w:val="32"/>
          <w:lang w:val="en-US" w:eastAsia="zh-CN"/>
        </w:rPr>
        <w:t>104.28</w:t>
      </w:r>
      <w:r>
        <w:rPr>
          <w:rFonts w:hint="eastAsia" w:ascii="宋体" w:hAnsi="宋体" w:eastAsia="宋体"/>
          <w:sz w:val="32"/>
          <w:szCs w:val="32"/>
        </w:rPr>
        <w:t>万元，占基本支出的</w:t>
      </w:r>
      <w:r>
        <w:rPr>
          <w:rFonts w:hint="eastAsia" w:ascii="宋体" w:hAnsi="宋体" w:eastAsia="宋体"/>
          <w:sz w:val="32"/>
          <w:szCs w:val="32"/>
          <w:lang w:val="en-US" w:eastAsia="zh-CN"/>
        </w:rPr>
        <w:t>15.8</w:t>
      </w:r>
      <w:r>
        <w:rPr>
          <w:rFonts w:hint="eastAsia" w:ascii="宋体" w:hAnsi="宋体" w:eastAsia="宋体"/>
          <w:sz w:val="32"/>
          <w:szCs w:val="32"/>
        </w:rPr>
        <w:t>%，主要包括办公费、印刷费、</w:t>
      </w:r>
      <w:r>
        <w:rPr>
          <w:rFonts w:hint="eastAsia" w:ascii="宋体" w:hAnsi="宋体" w:eastAsia="宋体"/>
          <w:sz w:val="32"/>
          <w:szCs w:val="32"/>
          <w:lang w:val="en-US" w:eastAsia="zh-CN"/>
        </w:rPr>
        <w:t>会议费、培训费、公务接待费、公务用车运行维护费等</w:t>
      </w:r>
      <w:r>
        <w:rPr>
          <w:rFonts w:hint="eastAsia" w:ascii="宋体" w:hAnsi="宋体" w:eastAsia="宋体"/>
          <w:sz w:val="32"/>
          <w:szCs w:val="32"/>
        </w:rPr>
        <w:t>。</w:t>
      </w:r>
    </w:p>
    <w:p>
      <w:pPr>
        <w:pStyle w:val="11"/>
        <w:rPr>
          <w:rFonts w:hAnsi="黑体"/>
          <w:b/>
          <w:sz w:val="32"/>
          <w:szCs w:val="32"/>
        </w:rPr>
      </w:pPr>
      <w:r>
        <w:rPr>
          <w:rFonts w:hint="eastAsia" w:hAnsi="黑体"/>
          <w:b/>
          <w:sz w:val="32"/>
          <w:szCs w:val="32"/>
        </w:rPr>
        <w:t>七、一般公共预算财政拨款“三公”经费支出决算情况说明</w:t>
      </w:r>
    </w:p>
    <w:p>
      <w:pPr>
        <w:pStyle w:val="11"/>
        <w:rPr>
          <w:rFonts w:ascii="宋体" w:hAnsi="宋体" w:eastAsia="宋体"/>
          <w:b/>
          <w:sz w:val="32"/>
          <w:szCs w:val="32"/>
        </w:rPr>
      </w:pPr>
      <w:r>
        <w:rPr>
          <w:rFonts w:hint="eastAsia" w:ascii="宋体" w:hAnsi="宋体" w:eastAsia="宋体"/>
          <w:b/>
          <w:sz w:val="32"/>
          <w:szCs w:val="32"/>
        </w:rPr>
        <w:t>（一）“三公”经费财政拨款支出决算总体情况说明</w:t>
      </w:r>
    </w:p>
    <w:p>
      <w:pPr>
        <w:pStyle w:val="11"/>
        <w:ind w:firstLine="800" w:firstLineChars="250"/>
        <w:rPr>
          <w:rFonts w:hint="eastAsia" w:ascii="宋体" w:hAnsi="宋体" w:eastAsia="宋体"/>
          <w:sz w:val="32"/>
          <w:szCs w:val="32"/>
        </w:rPr>
      </w:pPr>
      <w:r>
        <w:rPr>
          <w:rFonts w:hint="eastAsia" w:ascii="宋体" w:hAnsi="宋体" w:eastAsia="宋体"/>
          <w:sz w:val="32"/>
          <w:szCs w:val="32"/>
        </w:rPr>
        <w:t>2021年度“三公”经费财政拨款支出预算为</w:t>
      </w:r>
      <w:r>
        <w:rPr>
          <w:rFonts w:hint="eastAsia" w:ascii="宋体" w:hAnsi="宋体" w:eastAsia="宋体"/>
          <w:sz w:val="32"/>
          <w:szCs w:val="32"/>
          <w:lang w:val="en-US" w:eastAsia="zh-CN"/>
        </w:rPr>
        <w:t>14.5</w:t>
      </w:r>
      <w:r>
        <w:rPr>
          <w:rFonts w:hint="eastAsia" w:ascii="宋体" w:hAnsi="宋体" w:eastAsia="宋体"/>
          <w:sz w:val="32"/>
          <w:szCs w:val="32"/>
        </w:rPr>
        <w:t>万元，支出决算为</w:t>
      </w:r>
      <w:r>
        <w:rPr>
          <w:rFonts w:hint="eastAsia" w:ascii="宋体" w:hAnsi="宋体" w:eastAsia="宋体"/>
          <w:sz w:val="32"/>
          <w:szCs w:val="32"/>
          <w:lang w:val="en-US" w:eastAsia="zh-CN"/>
        </w:rPr>
        <w:t>13.7</w:t>
      </w:r>
      <w:r>
        <w:rPr>
          <w:rFonts w:hint="eastAsia" w:ascii="宋体" w:hAnsi="宋体" w:eastAsia="宋体"/>
          <w:sz w:val="32"/>
          <w:szCs w:val="32"/>
        </w:rPr>
        <w:t>万元，完成预算的</w:t>
      </w:r>
      <w:r>
        <w:rPr>
          <w:rFonts w:hint="eastAsia" w:ascii="宋体" w:hAnsi="宋体" w:eastAsia="宋体"/>
          <w:sz w:val="32"/>
          <w:szCs w:val="32"/>
          <w:lang w:val="en-US" w:eastAsia="zh-CN"/>
        </w:rPr>
        <w:t>94.48</w:t>
      </w:r>
      <w:r>
        <w:rPr>
          <w:rFonts w:hint="eastAsia" w:ascii="宋体" w:hAnsi="宋体" w:eastAsia="宋体"/>
          <w:sz w:val="32"/>
          <w:szCs w:val="32"/>
        </w:rPr>
        <w:t>%，其中：</w:t>
      </w:r>
    </w:p>
    <w:p>
      <w:pPr>
        <w:pStyle w:val="11"/>
        <w:ind w:firstLine="800" w:firstLineChars="250"/>
        <w:rPr>
          <w:rFonts w:hint="eastAsia" w:asciiTheme="minorEastAsia" w:hAnsiTheme="minorEastAsia" w:eastAsiaTheme="minorEastAsia"/>
          <w:sz w:val="32"/>
          <w:szCs w:val="32"/>
        </w:rPr>
      </w:pPr>
      <w:r>
        <w:rPr>
          <w:rFonts w:hint="eastAsia" w:ascii="宋体" w:hAnsi="宋体" w:eastAsia="宋体" w:cs="宋体"/>
          <w:color w:val="000000"/>
          <w:sz w:val="32"/>
          <w:szCs w:val="32"/>
        </w:rPr>
        <w:t>因公出国（境）费支出预算为0万元，支出决算为0万元，</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2021年度我单位未开展因公出国（出境）活动。</w:t>
      </w:r>
    </w:p>
    <w:p>
      <w:pPr>
        <w:pStyle w:val="11"/>
        <w:ind w:firstLine="800" w:firstLineChars="250"/>
        <w:rPr>
          <w:rFonts w:ascii="宋体" w:hAnsi="宋体" w:eastAsia="宋体"/>
          <w:sz w:val="32"/>
          <w:szCs w:val="32"/>
        </w:rPr>
      </w:pPr>
      <w:r>
        <w:rPr>
          <w:rFonts w:hint="eastAsia" w:ascii="宋体" w:hAnsi="宋体" w:eastAsia="宋体"/>
          <w:sz w:val="32"/>
          <w:szCs w:val="32"/>
        </w:rPr>
        <w:t>公务接待费支出预算为</w:t>
      </w:r>
      <w:r>
        <w:rPr>
          <w:rFonts w:hint="eastAsia" w:ascii="宋体" w:hAnsi="宋体" w:eastAsia="宋体"/>
          <w:sz w:val="32"/>
          <w:szCs w:val="32"/>
          <w:lang w:val="en-US" w:eastAsia="zh-CN"/>
        </w:rPr>
        <w:t>10</w:t>
      </w:r>
      <w:r>
        <w:rPr>
          <w:rFonts w:hint="eastAsia" w:ascii="宋体" w:hAnsi="宋体" w:eastAsia="宋体"/>
          <w:sz w:val="32"/>
          <w:szCs w:val="32"/>
        </w:rPr>
        <w:t>万元，支出决算为</w:t>
      </w:r>
      <w:r>
        <w:rPr>
          <w:rFonts w:hint="eastAsia" w:ascii="宋体" w:hAnsi="宋体" w:eastAsia="宋体"/>
          <w:sz w:val="32"/>
          <w:szCs w:val="32"/>
          <w:lang w:val="en-US" w:eastAsia="zh-CN"/>
        </w:rPr>
        <w:t>9.5</w:t>
      </w:r>
      <w:r>
        <w:rPr>
          <w:rFonts w:hint="eastAsia" w:ascii="宋体" w:hAnsi="宋体" w:eastAsia="宋体"/>
          <w:sz w:val="32"/>
          <w:szCs w:val="32"/>
        </w:rPr>
        <w:t>万元，完成预算的</w:t>
      </w:r>
      <w:r>
        <w:rPr>
          <w:rFonts w:hint="eastAsia" w:ascii="宋体" w:hAnsi="宋体" w:eastAsia="宋体"/>
          <w:sz w:val="32"/>
          <w:szCs w:val="32"/>
          <w:lang w:val="en-US" w:eastAsia="zh-CN"/>
        </w:rPr>
        <w:t>95</w:t>
      </w:r>
      <w:r>
        <w:rPr>
          <w:rFonts w:hint="eastAsia" w:ascii="宋体" w:hAnsi="宋体" w:eastAsia="宋体"/>
          <w:sz w:val="32"/>
          <w:szCs w:val="32"/>
        </w:rPr>
        <w:t>%，决算数小于预算数的主要原因是</w:t>
      </w:r>
      <w:r>
        <w:rPr>
          <w:rFonts w:hint="eastAsia" w:ascii="宋体" w:hAnsi="宋体" w:eastAsia="宋体"/>
          <w:sz w:val="32"/>
          <w:szCs w:val="32"/>
          <w:lang w:val="en-US" w:eastAsia="zh-CN"/>
        </w:rPr>
        <w:t>厉行节约，压减开支</w:t>
      </w:r>
      <w:r>
        <w:rPr>
          <w:rFonts w:hint="eastAsia" w:ascii="宋体" w:hAnsi="宋体" w:eastAsia="宋体"/>
          <w:sz w:val="32"/>
          <w:szCs w:val="32"/>
        </w:rPr>
        <w:t>，与上年相比减少</w:t>
      </w:r>
      <w:r>
        <w:rPr>
          <w:rFonts w:hint="eastAsia" w:ascii="宋体" w:hAnsi="宋体" w:eastAsia="宋体"/>
          <w:sz w:val="32"/>
          <w:szCs w:val="32"/>
          <w:lang w:val="en-US" w:eastAsia="zh-CN"/>
        </w:rPr>
        <w:t>0.5</w:t>
      </w:r>
      <w:r>
        <w:rPr>
          <w:rFonts w:hint="eastAsia" w:ascii="宋体" w:hAnsi="宋体" w:eastAsia="宋体"/>
          <w:sz w:val="32"/>
          <w:szCs w:val="32"/>
        </w:rPr>
        <w:t>万元，减少</w:t>
      </w:r>
      <w:r>
        <w:rPr>
          <w:rFonts w:hint="eastAsia" w:ascii="宋体" w:hAnsi="宋体" w:eastAsia="宋体"/>
          <w:sz w:val="32"/>
          <w:szCs w:val="32"/>
          <w:lang w:val="en-US" w:eastAsia="zh-CN"/>
        </w:rPr>
        <w:t>5</w:t>
      </w:r>
      <w:r>
        <w:rPr>
          <w:rFonts w:hint="eastAsia" w:ascii="宋体" w:hAnsi="宋体" w:eastAsia="宋体"/>
          <w:sz w:val="32"/>
          <w:szCs w:val="32"/>
        </w:rPr>
        <w:t>%,减少的主要原因是</w:t>
      </w:r>
      <w:r>
        <w:rPr>
          <w:rFonts w:hint="eastAsia" w:ascii="宋体" w:hAnsi="宋体" w:eastAsia="宋体"/>
          <w:sz w:val="32"/>
          <w:szCs w:val="32"/>
          <w:lang w:val="en-US" w:eastAsia="zh-CN"/>
        </w:rPr>
        <w:t>厉行节约，压减开支</w:t>
      </w:r>
      <w:r>
        <w:rPr>
          <w:rFonts w:hint="eastAsia" w:ascii="宋体" w:hAnsi="宋体" w:eastAsia="宋体"/>
          <w:sz w:val="32"/>
          <w:szCs w:val="32"/>
        </w:rPr>
        <w:t>。</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本年度本单位无公务用车购置</w:t>
      </w:r>
      <w:r>
        <w:rPr>
          <w:rFonts w:hint="eastAsia" w:asciiTheme="minorEastAsia" w:hAnsiTheme="minorEastAsia" w:eastAsiaTheme="minorEastAsia"/>
          <w:sz w:val="32"/>
          <w:szCs w:val="32"/>
        </w:rPr>
        <w:t>。</w:t>
      </w:r>
    </w:p>
    <w:p>
      <w:pPr>
        <w:pStyle w:val="11"/>
        <w:ind w:firstLine="640" w:firstLineChars="200"/>
        <w:rPr>
          <w:rFonts w:ascii="宋体" w:hAnsi="宋体" w:eastAsia="宋体"/>
          <w:sz w:val="32"/>
          <w:szCs w:val="32"/>
        </w:rPr>
      </w:pPr>
      <w:bookmarkStart w:id="3" w:name="_GoBack"/>
      <w:bookmarkEnd w:id="3"/>
      <w:r>
        <w:rPr>
          <w:rFonts w:hint="eastAsia" w:ascii="宋体" w:hAnsi="宋体" w:eastAsia="宋体"/>
          <w:sz w:val="32"/>
          <w:szCs w:val="32"/>
        </w:rPr>
        <w:t>公务用车运行维护费支出预算为</w:t>
      </w:r>
      <w:r>
        <w:rPr>
          <w:rFonts w:hint="eastAsia" w:ascii="宋体" w:hAnsi="宋体" w:eastAsia="宋体"/>
          <w:sz w:val="32"/>
          <w:szCs w:val="32"/>
          <w:lang w:val="en-US" w:eastAsia="zh-CN"/>
        </w:rPr>
        <w:t>4.5</w:t>
      </w:r>
      <w:r>
        <w:rPr>
          <w:rFonts w:hint="eastAsia" w:ascii="宋体" w:hAnsi="宋体" w:eastAsia="宋体"/>
          <w:sz w:val="32"/>
          <w:szCs w:val="32"/>
        </w:rPr>
        <w:t>万元，支出决算为</w:t>
      </w:r>
      <w:r>
        <w:rPr>
          <w:rFonts w:hint="eastAsia" w:ascii="宋体" w:hAnsi="宋体" w:eastAsia="宋体"/>
          <w:sz w:val="32"/>
          <w:szCs w:val="32"/>
          <w:lang w:val="en-US" w:eastAsia="zh-CN"/>
        </w:rPr>
        <w:t>4.2</w:t>
      </w:r>
      <w:r>
        <w:rPr>
          <w:rFonts w:hint="eastAsia" w:ascii="宋体" w:hAnsi="宋体" w:eastAsia="宋体"/>
          <w:sz w:val="32"/>
          <w:szCs w:val="32"/>
        </w:rPr>
        <w:t>万元，完成预算的</w:t>
      </w:r>
      <w:r>
        <w:rPr>
          <w:rFonts w:hint="eastAsia" w:ascii="宋体" w:hAnsi="宋体" w:eastAsia="宋体"/>
          <w:sz w:val="32"/>
          <w:szCs w:val="32"/>
          <w:lang w:val="en-US" w:eastAsia="zh-CN"/>
        </w:rPr>
        <w:t>93.33</w:t>
      </w:r>
      <w:r>
        <w:rPr>
          <w:rFonts w:hint="eastAsia" w:ascii="宋体" w:hAnsi="宋体" w:eastAsia="宋体"/>
          <w:sz w:val="32"/>
          <w:szCs w:val="32"/>
        </w:rPr>
        <w:t>%，决算数小于预算数的主要原因是</w:t>
      </w:r>
      <w:r>
        <w:rPr>
          <w:rFonts w:hint="eastAsia" w:ascii="宋体" w:hAnsi="宋体" w:eastAsia="宋体"/>
          <w:sz w:val="32"/>
          <w:szCs w:val="32"/>
          <w:lang w:val="en-US" w:eastAsia="zh-CN"/>
        </w:rPr>
        <w:t>厉行节约，压减开支</w:t>
      </w:r>
      <w:r>
        <w:rPr>
          <w:rFonts w:hint="eastAsia" w:ascii="宋体" w:hAnsi="宋体" w:eastAsia="宋体"/>
          <w:sz w:val="32"/>
          <w:szCs w:val="32"/>
        </w:rPr>
        <w:t>，与上年相比减少</w:t>
      </w:r>
      <w:r>
        <w:rPr>
          <w:rFonts w:hint="eastAsia" w:ascii="宋体" w:hAnsi="宋体" w:eastAsia="宋体"/>
          <w:sz w:val="32"/>
          <w:szCs w:val="32"/>
          <w:lang w:val="en-US" w:eastAsia="zh-CN"/>
        </w:rPr>
        <w:t>0.8</w:t>
      </w:r>
      <w:r>
        <w:rPr>
          <w:rFonts w:hint="eastAsia" w:ascii="宋体" w:hAnsi="宋体" w:eastAsia="宋体"/>
          <w:sz w:val="32"/>
          <w:szCs w:val="32"/>
        </w:rPr>
        <w:t>万元，减少</w:t>
      </w:r>
      <w:r>
        <w:rPr>
          <w:rFonts w:hint="eastAsia" w:ascii="宋体" w:hAnsi="宋体" w:eastAsia="宋体"/>
          <w:sz w:val="32"/>
          <w:szCs w:val="32"/>
          <w:lang w:val="en-US" w:eastAsia="zh-CN"/>
        </w:rPr>
        <w:t>16</w:t>
      </w:r>
      <w:r>
        <w:rPr>
          <w:rFonts w:hint="eastAsia" w:ascii="宋体" w:hAnsi="宋体" w:eastAsia="宋体"/>
          <w:sz w:val="32"/>
          <w:szCs w:val="32"/>
        </w:rPr>
        <w:t>%,减少的主要原因是</w:t>
      </w:r>
      <w:r>
        <w:rPr>
          <w:rFonts w:hint="eastAsia" w:ascii="宋体" w:hAnsi="宋体" w:eastAsia="宋体"/>
          <w:sz w:val="32"/>
          <w:szCs w:val="32"/>
          <w:lang w:val="en-US" w:eastAsia="zh-CN"/>
        </w:rPr>
        <w:t>厉行节约，压减开支</w:t>
      </w:r>
      <w:r>
        <w:rPr>
          <w:rFonts w:hint="eastAsia" w:ascii="宋体" w:hAnsi="宋体" w:eastAsia="宋体"/>
          <w:sz w:val="32"/>
          <w:szCs w:val="32"/>
        </w:rPr>
        <w:t>。</w:t>
      </w:r>
    </w:p>
    <w:p>
      <w:pPr>
        <w:pStyle w:val="11"/>
        <w:rPr>
          <w:rFonts w:ascii="宋体" w:hAnsi="宋体" w:eastAsia="宋体"/>
          <w:b/>
          <w:sz w:val="32"/>
          <w:szCs w:val="32"/>
        </w:rPr>
      </w:pPr>
      <w:r>
        <w:rPr>
          <w:rFonts w:hint="eastAsia" w:ascii="宋体" w:hAnsi="宋体" w:eastAsia="宋体"/>
          <w:b/>
          <w:sz w:val="32"/>
          <w:szCs w:val="32"/>
        </w:rPr>
        <w:t>（二）“三公”经费财政拨款支出决算具体情况说明</w:t>
      </w:r>
    </w:p>
    <w:p>
      <w:pPr>
        <w:pStyle w:val="11"/>
        <w:ind w:firstLine="640" w:firstLineChars="200"/>
        <w:rPr>
          <w:rFonts w:ascii="宋体" w:hAnsi="宋体" w:eastAsia="宋体"/>
          <w:sz w:val="32"/>
          <w:szCs w:val="32"/>
        </w:rPr>
      </w:pPr>
      <w:r>
        <w:rPr>
          <w:rFonts w:hint="eastAsia" w:ascii="宋体" w:hAnsi="宋体" w:eastAsia="宋体"/>
          <w:sz w:val="32"/>
          <w:szCs w:val="32"/>
        </w:rPr>
        <w:t>2021年度“三公”经费财政拨款支出决算中，公务接待费支出决算</w:t>
      </w:r>
      <w:r>
        <w:rPr>
          <w:rFonts w:hint="eastAsia" w:ascii="宋体" w:hAnsi="宋体" w:eastAsia="宋体"/>
          <w:sz w:val="32"/>
          <w:szCs w:val="32"/>
          <w:lang w:val="en-US" w:eastAsia="zh-CN"/>
        </w:rPr>
        <w:t>9.5</w:t>
      </w:r>
      <w:r>
        <w:rPr>
          <w:rFonts w:hint="eastAsia" w:ascii="宋体" w:hAnsi="宋体" w:eastAsia="宋体"/>
          <w:sz w:val="32"/>
          <w:szCs w:val="32"/>
        </w:rPr>
        <w:t>万元，占</w:t>
      </w:r>
      <w:r>
        <w:rPr>
          <w:rFonts w:hint="eastAsia" w:ascii="宋体" w:hAnsi="宋体" w:eastAsia="宋体"/>
          <w:sz w:val="32"/>
          <w:szCs w:val="32"/>
          <w:lang w:val="en-US" w:eastAsia="zh-CN"/>
        </w:rPr>
        <w:t>69.34</w:t>
      </w:r>
      <w:r>
        <w:rPr>
          <w:rFonts w:hint="eastAsia" w:ascii="宋体" w:hAnsi="宋体" w:eastAsia="宋体"/>
          <w:sz w:val="32"/>
          <w:szCs w:val="32"/>
        </w:rPr>
        <w:t>%,因公出国（境）费支出决算</w:t>
      </w:r>
      <w:r>
        <w:rPr>
          <w:rFonts w:hint="eastAsia" w:ascii="宋体" w:hAnsi="宋体" w:eastAsia="宋体"/>
          <w:sz w:val="32"/>
          <w:szCs w:val="32"/>
          <w:lang w:val="en-US" w:eastAsia="zh-CN"/>
        </w:rPr>
        <w:t>0</w:t>
      </w:r>
      <w:r>
        <w:rPr>
          <w:rFonts w:hint="eastAsia" w:ascii="宋体" w:hAnsi="宋体" w:eastAsia="宋体"/>
          <w:sz w:val="32"/>
          <w:szCs w:val="32"/>
        </w:rPr>
        <w:t>万元，占</w:t>
      </w:r>
      <w:r>
        <w:rPr>
          <w:rFonts w:hint="eastAsia" w:ascii="宋体" w:hAnsi="宋体" w:eastAsia="宋体"/>
          <w:sz w:val="32"/>
          <w:szCs w:val="32"/>
          <w:lang w:val="en-US" w:eastAsia="zh-CN"/>
        </w:rPr>
        <w:t>0</w:t>
      </w:r>
      <w:r>
        <w:rPr>
          <w:rFonts w:hint="eastAsia" w:ascii="宋体" w:hAnsi="宋体" w:eastAsia="宋体"/>
          <w:sz w:val="32"/>
          <w:szCs w:val="32"/>
        </w:rPr>
        <w:t>%,公务用车购置费及运行维护费支出决算</w:t>
      </w:r>
      <w:r>
        <w:rPr>
          <w:rFonts w:hint="eastAsia" w:ascii="宋体" w:hAnsi="宋体" w:eastAsia="宋体"/>
          <w:sz w:val="32"/>
          <w:szCs w:val="32"/>
          <w:lang w:val="en-US" w:eastAsia="zh-CN"/>
        </w:rPr>
        <w:t>4.2</w:t>
      </w:r>
      <w:r>
        <w:rPr>
          <w:rFonts w:hint="eastAsia" w:ascii="宋体" w:hAnsi="宋体" w:eastAsia="宋体"/>
          <w:sz w:val="32"/>
          <w:szCs w:val="32"/>
        </w:rPr>
        <w:t>万元，占</w:t>
      </w:r>
      <w:r>
        <w:rPr>
          <w:rFonts w:hint="eastAsia" w:ascii="宋体" w:hAnsi="宋体" w:eastAsia="宋体"/>
          <w:sz w:val="32"/>
          <w:szCs w:val="32"/>
          <w:lang w:val="en-US" w:eastAsia="zh-CN"/>
        </w:rPr>
        <w:t>30.66</w:t>
      </w:r>
      <w:r>
        <w:rPr>
          <w:rFonts w:hint="eastAsia" w:ascii="宋体" w:hAnsi="宋体" w:eastAsia="宋体"/>
          <w:sz w:val="32"/>
          <w:szCs w:val="32"/>
        </w:rPr>
        <w:t>%。其中：</w:t>
      </w:r>
    </w:p>
    <w:p>
      <w:pPr>
        <w:pStyle w:val="11"/>
        <w:ind w:firstLine="640" w:firstLineChars="200"/>
        <w:rPr>
          <w:rFonts w:hint="eastAsia" w:ascii="宋体" w:hAnsi="宋体" w:eastAsia="宋体"/>
          <w:sz w:val="32"/>
          <w:szCs w:val="32"/>
          <w:lang w:eastAsia="zh-CN"/>
        </w:rPr>
      </w:pPr>
      <w:r>
        <w:rPr>
          <w:rFonts w:hint="eastAsia" w:ascii="宋体" w:hAnsi="宋体" w:eastAsia="宋体"/>
          <w:sz w:val="32"/>
          <w:szCs w:val="32"/>
          <w:lang w:val="en-US" w:eastAsia="zh-CN"/>
        </w:rPr>
        <w:t>1、</w:t>
      </w:r>
      <w:r>
        <w:rPr>
          <w:rFonts w:hint="eastAsia" w:ascii="宋体" w:hAnsi="宋体" w:eastAsia="宋体"/>
          <w:sz w:val="32"/>
          <w:szCs w:val="32"/>
        </w:rPr>
        <w:t>因公出国（境）费支出决算为0万元，全年安排因公出国（境）团组0个，累计0人次，我单位202</w:t>
      </w:r>
      <w:r>
        <w:rPr>
          <w:rFonts w:hint="eastAsia" w:ascii="宋体" w:hAnsi="宋体" w:eastAsia="宋体"/>
          <w:sz w:val="32"/>
          <w:szCs w:val="32"/>
          <w:lang w:val="en-US" w:eastAsia="zh-CN"/>
        </w:rPr>
        <w:t>1</w:t>
      </w:r>
      <w:r>
        <w:rPr>
          <w:rFonts w:hint="eastAsia" w:ascii="宋体" w:hAnsi="宋体" w:eastAsia="宋体"/>
          <w:sz w:val="32"/>
          <w:szCs w:val="32"/>
        </w:rPr>
        <w:t>年度无因公出国（境）费支出</w:t>
      </w:r>
      <w:r>
        <w:rPr>
          <w:rFonts w:hint="eastAsia" w:ascii="宋体" w:hAnsi="宋体" w:eastAsia="宋体"/>
          <w:sz w:val="32"/>
          <w:szCs w:val="32"/>
          <w:lang w:eastAsia="zh-CN"/>
        </w:rPr>
        <w:t>。</w:t>
      </w:r>
    </w:p>
    <w:p>
      <w:pPr>
        <w:pStyle w:val="11"/>
        <w:keepNext w:val="0"/>
        <w:keepLines w:val="0"/>
        <w:pageBreakBefore w:val="0"/>
        <w:widowControl w:val="0"/>
        <w:numPr>
          <w:ilvl w:val="0"/>
          <w:numId w:val="0"/>
        </w:numPr>
        <w:kinsoku/>
        <w:wordWrap/>
        <w:overflowPunct/>
        <w:topLinePunct w:val="0"/>
        <w:autoSpaceDE w:val="0"/>
        <w:autoSpaceDN w:val="0"/>
        <w:bidi w:val="0"/>
        <w:adjustRightInd w:val="0"/>
        <w:snapToGrid/>
        <w:ind w:firstLine="640" w:firstLineChars="200"/>
        <w:textAlignment w:val="auto"/>
        <w:rPr>
          <w:rFonts w:ascii="宋体" w:hAnsi="宋体" w:eastAsia="宋体"/>
          <w:sz w:val="32"/>
          <w:szCs w:val="32"/>
        </w:rPr>
      </w:pPr>
      <w:r>
        <w:rPr>
          <w:rFonts w:hint="eastAsia" w:ascii="宋体" w:hAnsi="宋体" w:eastAsia="宋体"/>
          <w:sz w:val="32"/>
          <w:szCs w:val="32"/>
          <w:lang w:val="en-US" w:eastAsia="zh-CN"/>
        </w:rPr>
        <w:t>2、</w:t>
      </w:r>
      <w:r>
        <w:rPr>
          <w:rFonts w:hint="eastAsia" w:ascii="宋体" w:hAnsi="宋体" w:eastAsia="宋体"/>
          <w:sz w:val="32"/>
          <w:szCs w:val="32"/>
        </w:rPr>
        <w:t>公务接待费支出决算为</w:t>
      </w:r>
      <w:r>
        <w:rPr>
          <w:rFonts w:hint="eastAsia" w:ascii="宋体" w:hAnsi="宋体" w:eastAsia="宋体"/>
          <w:sz w:val="32"/>
          <w:szCs w:val="32"/>
          <w:lang w:val="en-US" w:eastAsia="zh-CN"/>
        </w:rPr>
        <w:t>9.5</w:t>
      </w:r>
      <w:r>
        <w:rPr>
          <w:rFonts w:hint="eastAsia" w:ascii="宋体" w:hAnsi="宋体" w:eastAsia="宋体"/>
          <w:sz w:val="32"/>
          <w:szCs w:val="32"/>
        </w:rPr>
        <w:t>万元，全年共接待来访团组</w:t>
      </w:r>
      <w:r>
        <w:rPr>
          <w:rFonts w:hint="eastAsia" w:ascii="宋体" w:hAnsi="宋体" w:eastAsia="宋体"/>
          <w:sz w:val="32"/>
          <w:szCs w:val="32"/>
          <w:lang w:val="en-US" w:eastAsia="zh-CN"/>
        </w:rPr>
        <w:t>110</w:t>
      </w:r>
      <w:r>
        <w:rPr>
          <w:rFonts w:hint="eastAsia" w:ascii="宋体" w:hAnsi="宋体" w:eastAsia="宋体"/>
          <w:sz w:val="32"/>
          <w:szCs w:val="32"/>
        </w:rPr>
        <w:t>个、来宾</w:t>
      </w:r>
      <w:r>
        <w:rPr>
          <w:rFonts w:hint="eastAsia" w:ascii="宋体" w:hAnsi="宋体" w:eastAsia="宋体"/>
          <w:sz w:val="32"/>
          <w:szCs w:val="32"/>
          <w:lang w:val="en-US" w:eastAsia="zh-CN"/>
        </w:rPr>
        <w:t>605</w:t>
      </w:r>
      <w:r>
        <w:rPr>
          <w:rFonts w:hint="eastAsia" w:ascii="宋体" w:hAnsi="宋体" w:eastAsia="宋体"/>
          <w:sz w:val="32"/>
          <w:szCs w:val="32"/>
        </w:rPr>
        <w:t>人次，主要是</w:t>
      </w:r>
      <w:r>
        <w:rPr>
          <w:rFonts w:hint="eastAsia" w:ascii="宋体" w:hAnsi="宋体" w:eastAsia="宋体"/>
          <w:sz w:val="32"/>
          <w:szCs w:val="32"/>
          <w:lang w:val="en-US" w:eastAsia="zh-CN"/>
        </w:rPr>
        <w:t>同市其他县区及邻省交界县区互相学习交流</w:t>
      </w:r>
      <w:r>
        <w:rPr>
          <w:rFonts w:hint="eastAsia" w:ascii="宋体" w:hAnsi="宋体" w:eastAsia="宋体"/>
          <w:sz w:val="32"/>
          <w:szCs w:val="32"/>
        </w:rPr>
        <w:t>发生的接待支出。</w:t>
      </w:r>
    </w:p>
    <w:p>
      <w:pPr>
        <w:ind w:firstLine="800" w:firstLineChars="250"/>
        <w:rPr>
          <w:rFonts w:ascii="宋体" w:hAnsi="宋体" w:cs="黑体"/>
          <w:color w:val="000000"/>
          <w:kern w:val="0"/>
          <w:sz w:val="32"/>
          <w:szCs w:val="32"/>
        </w:rPr>
      </w:pPr>
      <w:r>
        <w:rPr>
          <w:rFonts w:hint="eastAsia" w:ascii="宋体" w:hAnsi="宋体"/>
          <w:sz w:val="32"/>
          <w:szCs w:val="32"/>
        </w:rPr>
        <w:t>3、公务用车购置费及运行维护费支出决算为</w:t>
      </w:r>
      <w:r>
        <w:rPr>
          <w:rFonts w:hint="eastAsia" w:ascii="宋体" w:hAnsi="宋体"/>
          <w:sz w:val="32"/>
          <w:szCs w:val="32"/>
          <w:lang w:val="en-US" w:eastAsia="zh-CN"/>
        </w:rPr>
        <w:t>4.2</w:t>
      </w:r>
      <w:r>
        <w:rPr>
          <w:rFonts w:hint="eastAsia" w:ascii="宋体" w:hAnsi="宋体"/>
          <w:sz w:val="32"/>
          <w:szCs w:val="32"/>
        </w:rPr>
        <w:t>万元，其中：公务用车购置费</w:t>
      </w:r>
      <w:r>
        <w:rPr>
          <w:rFonts w:hint="eastAsia" w:ascii="宋体" w:hAnsi="宋体"/>
          <w:sz w:val="32"/>
          <w:szCs w:val="32"/>
          <w:lang w:val="en-US" w:eastAsia="zh-CN"/>
        </w:rPr>
        <w:t>0</w:t>
      </w:r>
      <w:r>
        <w:rPr>
          <w:rFonts w:hint="eastAsia" w:ascii="宋体" w:hAnsi="宋体"/>
          <w:sz w:val="32"/>
          <w:szCs w:val="32"/>
        </w:rPr>
        <w:t>万元</w:t>
      </w:r>
      <w:r>
        <w:rPr>
          <w:rFonts w:hint="eastAsia" w:ascii="宋体" w:hAnsi="宋体"/>
          <w:sz w:val="32"/>
          <w:szCs w:val="32"/>
          <w:lang w:eastAsia="zh-CN"/>
        </w:rPr>
        <w:t>，</w:t>
      </w:r>
      <w:r>
        <w:rPr>
          <w:rFonts w:hint="eastAsia" w:ascii="宋体" w:hAnsi="宋体"/>
          <w:sz w:val="32"/>
          <w:szCs w:val="32"/>
        </w:rPr>
        <w:t>公务用车购置</w:t>
      </w:r>
      <w:r>
        <w:rPr>
          <w:rFonts w:hint="eastAsia" w:ascii="宋体" w:hAnsi="宋体"/>
          <w:sz w:val="32"/>
          <w:szCs w:val="32"/>
          <w:lang w:val="en-US" w:eastAsia="zh-CN"/>
        </w:rPr>
        <w:t>0辆。</w:t>
      </w:r>
      <w:r>
        <w:rPr>
          <w:rFonts w:hint="eastAsia" w:ascii="宋体" w:hAnsi="宋体"/>
          <w:sz w:val="32"/>
          <w:szCs w:val="32"/>
        </w:rPr>
        <w:t>公务用车运行维护费</w:t>
      </w:r>
      <w:r>
        <w:rPr>
          <w:rFonts w:hint="eastAsia" w:ascii="宋体" w:hAnsi="宋体"/>
          <w:sz w:val="32"/>
          <w:szCs w:val="32"/>
          <w:lang w:val="en-US" w:eastAsia="zh-CN"/>
        </w:rPr>
        <w:t>4.2</w:t>
      </w:r>
      <w:r>
        <w:rPr>
          <w:rFonts w:hint="eastAsia" w:ascii="宋体" w:hAnsi="宋体"/>
          <w:sz w:val="32"/>
          <w:szCs w:val="32"/>
        </w:rPr>
        <w:t>万元，主要是</w:t>
      </w:r>
      <w:r>
        <w:rPr>
          <w:rFonts w:hint="eastAsia" w:ascii="宋体" w:hAnsi="宋体"/>
          <w:sz w:val="32"/>
          <w:szCs w:val="32"/>
          <w:lang w:val="en-US" w:eastAsia="zh-CN"/>
        </w:rPr>
        <w:t>公务用车加油、维修</w:t>
      </w:r>
      <w:r>
        <w:rPr>
          <w:rFonts w:hint="eastAsia" w:ascii="宋体" w:hAnsi="宋体"/>
          <w:sz w:val="32"/>
          <w:szCs w:val="32"/>
        </w:rPr>
        <w:t>支出，截止2021年12月31日，我单位开支财政拨款的公务用车保有量为</w:t>
      </w:r>
      <w:r>
        <w:rPr>
          <w:rFonts w:hint="eastAsia" w:ascii="宋体" w:hAnsi="宋体"/>
          <w:sz w:val="32"/>
          <w:szCs w:val="32"/>
          <w:lang w:val="en-US" w:eastAsia="zh-CN"/>
        </w:rPr>
        <w:t>1</w:t>
      </w:r>
      <w:r>
        <w:rPr>
          <w:rFonts w:hint="eastAsia" w:ascii="宋体" w:hAnsi="宋体"/>
          <w:sz w:val="32"/>
          <w:szCs w:val="32"/>
        </w:rPr>
        <w:t>辆。</w:t>
      </w:r>
    </w:p>
    <w:p>
      <w:pPr>
        <w:pStyle w:val="11"/>
        <w:rPr>
          <w:rFonts w:hAnsi="黑体"/>
          <w:b/>
          <w:sz w:val="32"/>
          <w:szCs w:val="32"/>
        </w:rPr>
      </w:pPr>
      <w:r>
        <w:rPr>
          <w:rFonts w:hint="eastAsia" w:hAnsi="黑体"/>
          <w:b/>
          <w:sz w:val="32"/>
          <w:szCs w:val="32"/>
        </w:rPr>
        <w:t>八、政府性基金预算收入支出决算情况</w:t>
      </w:r>
    </w:p>
    <w:p>
      <w:pPr>
        <w:pStyle w:val="11"/>
        <w:rPr>
          <w:rFonts w:hint="eastAsia" w:ascii="宋体" w:hAnsi="宋体" w:eastAsia="宋体"/>
          <w:i/>
          <w:color w:val="FF0000"/>
          <w:sz w:val="32"/>
          <w:szCs w:val="32"/>
          <w:lang w:eastAsia="zh-CN"/>
        </w:rPr>
      </w:pPr>
      <w:r>
        <w:rPr>
          <w:rFonts w:hint="eastAsia" w:ascii="宋体" w:hAnsi="宋体" w:eastAsia="宋体"/>
          <w:sz w:val="32"/>
          <w:szCs w:val="32"/>
        </w:rPr>
        <w:t xml:space="preserve">     2021年度政府性基金预算财政拨款收入</w:t>
      </w:r>
      <w:r>
        <w:rPr>
          <w:rFonts w:hint="eastAsia" w:ascii="宋体" w:hAnsi="宋体" w:eastAsia="宋体"/>
          <w:sz w:val="32"/>
          <w:szCs w:val="32"/>
          <w:lang w:val="en-US" w:eastAsia="zh-CN"/>
        </w:rPr>
        <w:t>212.68</w:t>
      </w:r>
      <w:r>
        <w:rPr>
          <w:rFonts w:hint="eastAsia" w:ascii="宋体" w:hAnsi="宋体" w:eastAsia="宋体"/>
          <w:sz w:val="32"/>
          <w:szCs w:val="32"/>
        </w:rPr>
        <w:t>万元；年初结转和结余</w:t>
      </w:r>
      <w:r>
        <w:rPr>
          <w:rFonts w:hint="eastAsia" w:ascii="宋体" w:hAnsi="宋体" w:eastAsia="宋体"/>
          <w:sz w:val="32"/>
          <w:szCs w:val="32"/>
          <w:lang w:val="en-US" w:eastAsia="zh-CN"/>
        </w:rPr>
        <w:t>0</w:t>
      </w:r>
      <w:r>
        <w:rPr>
          <w:rFonts w:hint="eastAsia" w:ascii="宋体" w:hAnsi="宋体" w:eastAsia="宋体"/>
          <w:sz w:val="32"/>
          <w:szCs w:val="32"/>
        </w:rPr>
        <w:t>万元；支出</w:t>
      </w:r>
      <w:r>
        <w:rPr>
          <w:rFonts w:hint="eastAsia" w:ascii="宋体" w:hAnsi="宋体" w:eastAsia="宋体"/>
          <w:sz w:val="32"/>
          <w:szCs w:val="32"/>
          <w:lang w:val="en-US" w:eastAsia="zh-CN"/>
        </w:rPr>
        <w:t>212.68</w:t>
      </w:r>
      <w:r>
        <w:rPr>
          <w:rFonts w:hint="eastAsia" w:ascii="宋体" w:hAnsi="宋体" w:eastAsia="宋体"/>
          <w:sz w:val="32"/>
          <w:szCs w:val="32"/>
        </w:rPr>
        <w:t>万元，其中基本支出</w:t>
      </w:r>
      <w:r>
        <w:rPr>
          <w:rFonts w:hint="eastAsia" w:ascii="宋体" w:hAnsi="宋体" w:eastAsia="宋体"/>
          <w:sz w:val="32"/>
          <w:szCs w:val="32"/>
          <w:lang w:val="en-US" w:eastAsia="zh-CN"/>
        </w:rPr>
        <w:t>0</w:t>
      </w:r>
      <w:r>
        <w:rPr>
          <w:rFonts w:hint="eastAsia" w:ascii="宋体" w:hAnsi="宋体" w:eastAsia="宋体"/>
          <w:sz w:val="32"/>
          <w:szCs w:val="32"/>
        </w:rPr>
        <w:t>万元，项目支出</w:t>
      </w:r>
      <w:r>
        <w:rPr>
          <w:rFonts w:hint="eastAsia" w:ascii="宋体" w:hAnsi="宋体" w:eastAsia="宋体"/>
          <w:sz w:val="32"/>
          <w:szCs w:val="32"/>
          <w:lang w:val="en-US" w:eastAsia="zh-CN"/>
        </w:rPr>
        <w:t>212.68</w:t>
      </w:r>
      <w:r>
        <w:rPr>
          <w:rFonts w:hint="eastAsia" w:ascii="宋体" w:hAnsi="宋体" w:eastAsia="宋体"/>
          <w:sz w:val="32"/>
          <w:szCs w:val="32"/>
        </w:rPr>
        <w:t>万元；年末结转和结余</w:t>
      </w:r>
      <w:r>
        <w:rPr>
          <w:rFonts w:hint="eastAsia" w:ascii="宋体" w:hAnsi="宋体" w:eastAsia="宋体"/>
          <w:sz w:val="32"/>
          <w:szCs w:val="32"/>
          <w:lang w:val="en-US" w:eastAsia="zh-CN"/>
        </w:rPr>
        <w:t>0</w:t>
      </w:r>
      <w:r>
        <w:rPr>
          <w:rFonts w:hint="eastAsia" w:ascii="宋体" w:hAnsi="宋体" w:eastAsia="宋体"/>
          <w:sz w:val="32"/>
          <w:szCs w:val="32"/>
        </w:rPr>
        <w:t>万元。具体情况如下</w:t>
      </w:r>
      <w:r>
        <w:rPr>
          <w:rFonts w:hint="eastAsia" w:ascii="宋体" w:hAnsi="宋体" w:eastAsia="宋体"/>
          <w:sz w:val="32"/>
          <w:szCs w:val="32"/>
          <w:lang w:eastAsia="zh-CN"/>
        </w:rPr>
        <w:t>：</w:t>
      </w:r>
    </w:p>
    <w:p>
      <w:pPr>
        <w:pStyle w:val="11"/>
        <w:ind w:firstLine="640" w:firstLineChars="200"/>
        <w:rPr>
          <w:rFonts w:ascii="宋体" w:hAnsi="宋体" w:eastAsia="宋体"/>
          <w:sz w:val="32"/>
          <w:szCs w:val="32"/>
        </w:rPr>
      </w:pPr>
      <w:r>
        <w:rPr>
          <w:rFonts w:hint="eastAsia" w:ascii="宋体" w:hAnsi="宋体" w:eastAsia="宋体"/>
          <w:sz w:val="32"/>
          <w:szCs w:val="32"/>
        </w:rPr>
        <w:t>1、</w:t>
      </w:r>
      <w:r>
        <w:rPr>
          <w:rFonts w:hint="eastAsia" w:ascii="宋体" w:hAnsi="宋体" w:eastAsia="宋体"/>
          <w:sz w:val="32"/>
          <w:szCs w:val="32"/>
          <w:lang w:val="en-US" w:eastAsia="zh-CN"/>
        </w:rPr>
        <w:t>其他支出</w:t>
      </w:r>
      <w:r>
        <w:rPr>
          <w:rFonts w:hint="eastAsia" w:ascii="宋体" w:hAnsi="宋体" w:eastAsia="宋体"/>
          <w:sz w:val="32"/>
          <w:szCs w:val="32"/>
        </w:rPr>
        <w:t>（类）</w:t>
      </w:r>
      <w:r>
        <w:rPr>
          <w:rFonts w:hint="eastAsia" w:ascii="宋体" w:hAnsi="宋体" w:eastAsia="宋体"/>
          <w:sz w:val="32"/>
          <w:szCs w:val="32"/>
          <w:lang w:val="en-US" w:eastAsia="zh-CN"/>
        </w:rPr>
        <w:t>彩票公益金安排的支出</w:t>
      </w:r>
      <w:r>
        <w:rPr>
          <w:rFonts w:hint="eastAsia" w:ascii="宋体" w:hAnsi="宋体" w:eastAsia="宋体"/>
          <w:sz w:val="32"/>
          <w:szCs w:val="32"/>
        </w:rPr>
        <w:t>（款）</w:t>
      </w:r>
      <w:r>
        <w:rPr>
          <w:rFonts w:hint="eastAsia" w:ascii="宋体" w:hAnsi="宋体" w:eastAsia="宋体"/>
          <w:sz w:val="32"/>
          <w:szCs w:val="32"/>
          <w:lang w:val="en-US" w:eastAsia="zh-CN"/>
        </w:rPr>
        <w:t>用于社会福利的彩票公益金支出</w:t>
      </w:r>
      <w:r>
        <w:rPr>
          <w:rFonts w:hint="eastAsia" w:ascii="宋体" w:hAnsi="宋体" w:eastAsia="宋体"/>
          <w:sz w:val="32"/>
          <w:szCs w:val="32"/>
        </w:rPr>
        <w:t>（项）。</w:t>
      </w:r>
    </w:p>
    <w:p>
      <w:pPr>
        <w:pStyle w:val="11"/>
        <w:ind w:firstLine="800" w:firstLineChars="250"/>
        <w:rPr>
          <w:rFonts w:hint="default" w:ascii="宋体" w:hAnsi="宋体" w:eastAsia="宋体"/>
          <w:sz w:val="32"/>
          <w:szCs w:val="32"/>
          <w:lang w:val="en-US" w:eastAsia="zh-CN"/>
        </w:rPr>
      </w:pPr>
      <w:r>
        <w:rPr>
          <w:rFonts w:hint="eastAsia" w:ascii="宋体" w:hAnsi="宋体" w:eastAsia="宋体"/>
          <w:sz w:val="32"/>
          <w:szCs w:val="32"/>
        </w:rPr>
        <w:t>年初预算为</w:t>
      </w:r>
      <w:r>
        <w:rPr>
          <w:rFonts w:hint="eastAsia" w:ascii="宋体" w:hAnsi="宋体" w:eastAsia="宋体"/>
          <w:sz w:val="32"/>
          <w:szCs w:val="32"/>
          <w:lang w:val="en-US" w:eastAsia="zh-CN"/>
        </w:rPr>
        <w:t>0</w:t>
      </w:r>
      <w:r>
        <w:rPr>
          <w:rFonts w:hint="eastAsia" w:ascii="宋体" w:hAnsi="宋体" w:eastAsia="宋体"/>
          <w:sz w:val="32"/>
          <w:szCs w:val="32"/>
        </w:rPr>
        <w:t>万元，支出决算为</w:t>
      </w:r>
      <w:r>
        <w:rPr>
          <w:rFonts w:hint="eastAsia" w:ascii="宋体" w:hAnsi="宋体" w:eastAsia="宋体"/>
          <w:sz w:val="32"/>
          <w:szCs w:val="32"/>
          <w:lang w:val="en-US" w:eastAsia="zh-CN"/>
        </w:rPr>
        <w:t>212.68</w:t>
      </w:r>
      <w:r>
        <w:rPr>
          <w:rFonts w:hint="eastAsia" w:ascii="宋体" w:hAnsi="宋体" w:eastAsia="宋体"/>
          <w:sz w:val="32"/>
          <w:szCs w:val="32"/>
        </w:rPr>
        <w:t>万元，决算数大于年初预算数的主要原因是：</w:t>
      </w:r>
      <w:r>
        <w:rPr>
          <w:rFonts w:hint="eastAsia" w:ascii="宋体" w:hAnsi="宋体" w:eastAsia="宋体"/>
          <w:sz w:val="32"/>
          <w:szCs w:val="32"/>
          <w:lang w:val="en-US" w:eastAsia="zh-CN"/>
        </w:rPr>
        <w:t>上级对此项工作的投入。</w:t>
      </w:r>
    </w:p>
    <w:p>
      <w:pPr>
        <w:pStyle w:val="11"/>
        <w:rPr>
          <w:rFonts w:hAnsi="黑体"/>
          <w:b/>
          <w:sz w:val="32"/>
          <w:szCs w:val="32"/>
        </w:rPr>
      </w:pPr>
      <w:r>
        <w:rPr>
          <w:rFonts w:hint="eastAsia" w:hAnsi="黑体"/>
          <w:b/>
          <w:sz w:val="32"/>
          <w:szCs w:val="32"/>
        </w:rPr>
        <w:t>九、机关运行经费支出说明</w:t>
      </w:r>
    </w:p>
    <w:p>
      <w:pPr>
        <w:pStyle w:val="11"/>
        <w:ind w:firstLine="640" w:firstLineChars="200"/>
        <w:rPr>
          <w:rFonts w:ascii="宋体" w:hAnsi="宋体" w:eastAsia="宋体"/>
          <w:sz w:val="32"/>
          <w:szCs w:val="32"/>
        </w:rPr>
      </w:pPr>
      <w:r>
        <w:rPr>
          <w:rFonts w:hint="eastAsia" w:ascii="宋体" w:hAnsi="宋体" w:eastAsia="宋体"/>
          <w:sz w:val="32"/>
          <w:szCs w:val="32"/>
        </w:rPr>
        <w:t>本部门2021年度机关运行经费支出</w:t>
      </w:r>
      <w:r>
        <w:rPr>
          <w:rFonts w:hint="eastAsia" w:ascii="宋体" w:hAnsi="宋体" w:eastAsia="宋体"/>
          <w:sz w:val="32"/>
          <w:szCs w:val="32"/>
          <w:lang w:val="en-US" w:eastAsia="zh-CN"/>
        </w:rPr>
        <w:t>104.28</w:t>
      </w:r>
      <w:r>
        <w:rPr>
          <w:rFonts w:hint="eastAsia" w:ascii="宋体" w:hAnsi="宋体" w:eastAsia="宋体"/>
          <w:sz w:val="32"/>
          <w:szCs w:val="32"/>
        </w:rPr>
        <w:t>万元，比年初预算数减少</w:t>
      </w:r>
      <w:r>
        <w:rPr>
          <w:rFonts w:hint="eastAsia" w:ascii="宋体" w:hAnsi="宋体" w:eastAsia="宋体"/>
          <w:sz w:val="32"/>
          <w:szCs w:val="32"/>
          <w:lang w:val="en-US" w:eastAsia="zh-CN"/>
        </w:rPr>
        <w:t>9.72</w:t>
      </w:r>
      <w:r>
        <w:rPr>
          <w:rFonts w:hint="eastAsia" w:ascii="宋体" w:hAnsi="宋体" w:eastAsia="宋体"/>
          <w:sz w:val="32"/>
          <w:szCs w:val="32"/>
        </w:rPr>
        <w:t>万元，降低</w:t>
      </w:r>
      <w:r>
        <w:rPr>
          <w:rFonts w:hint="eastAsia" w:ascii="宋体" w:hAnsi="宋体" w:eastAsia="宋体"/>
          <w:sz w:val="32"/>
          <w:szCs w:val="32"/>
          <w:lang w:val="en-US" w:eastAsia="zh-CN"/>
        </w:rPr>
        <w:t>9.32</w:t>
      </w:r>
      <w:r>
        <w:rPr>
          <w:rFonts w:hint="eastAsia" w:ascii="宋体" w:hAnsi="宋体" w:eastAsia="宋体"/>
          <w:sz w:val="32"/>
          <w:szCs w:val="32"/>
        </w:rPr>
        <w:t>%。主要原因是：</w:t>
      </w:r>
      <w:r>
        <w:rPr>
          <w:rFonts w:hint="eastAsia" w:ascii="宋体" w:hAnsi="宋体" w:eastAsia="宋体"/>
          <w:sz w:val="32"/>
          <w:szCs w:val="32"/>
          <w:lang w:val="en-US" w:eastAsia="zh-CN"/>
        </w:rPr>
        <w:t>厉行节约，压减开支</w:t>
      </w:r>
      <w:r>
        <w:rPr>
          <w:rFonts w:hint="eastAsia" w:ascii="宋体" w:hAnsi="宋体" w:eastAsia="宋体"/>
          <w:sz w:val="32"/>
          <w:szCs w:val="32"/>
        </w:rPr>
        <w:t>。</w:t>
      </w:r>
    </w:p>
    <w:p>
      <w:pPr>
        <w:pStyle w:val="11"/>
        <w:rPr>
          <w:rFonts w:hAnsi="黑体"/>
          <w:b/>
          <w:sz w:val="32"/>
          <w:szCs w:val="32"/>
        </w:rPr>
      </w:pPr>
      <w:r>
        <w:rPr>
          <w:rFonts w:hint="eastAsia" w:hAnsi="黑体"/>
          <w:b/>
          <w:sz w:val="32"/>
          <w:szCs w:val="32"/>
        </w:rPr>
        <w:t>十、一般性支出情况说明</w:t>
      </w:r>
    </w:p>
    <w:p>
      <w:pPr>
        <w:keepNext w:val="0"/>
        <w:keepLines w:val="0"/>
        <w:pageBreakBefore w:val="0"/>
        <w:widowControl w:val="0"/>
        <w:kinsoku/>
        <w:wordWrap/>
        <w:overflowPunct/>
        <w:topLinePunct w:val="0"/>
        <w:bidi w:val="0"/>
        <w:snapToGrid/>
        <w:spacing w:line="600" w:lineRule="exact"/>
        <w:ind w:firstLine="640" w:firstLineChars="200"/>
        <w:jc w:val="left"/>
        <w:textAlignment w:val="auto"/>
        <w:rPr>
          <w:rFonts w:ascii="宋体" w:hAnsi="宋体" w:eastAsia="宋体"/>
          <w:sz w:val="32"/>
          <w:szCs w:val="32"/>
        </w:rPr>
      </w:pPr>
      <w:r>
        <w:rPr>
          <w:rFonts w:hint="eastAsia" w:ascii="宋体" w:hAnsi="宋体" w:eastAsia="宋体"/>
          <w:sz w:val="32"/>
          <w:szCs w:val="32"/>
        </w:rPr>
        <w:t>2021年本部门开支会议费</w:t>
      </w:r>
      <w:r>
        <w:rPr>
          <w:rFonts w:hint="eastAsia" w:ascii="宋体" w:hAnsi="宋体" w:eastAsia="宋体"/>
          <w:sz w:val="32"/>
          <w:szCs w:val="32"/>
          <w:lang w:val="en-US" w:eastAsia="zh-CN"/>
        </w:rPr>
        <w:t>3.5</w:t>
      </w:r>
      <w:r>
        <w:rPr>
          <w:rFonts w:hint="eastAsia" w:ascii="宋体" w:hAnsi="宋体" w:eastAsia="宋体"/>
          <w:sz w:val="32"/>
          <w:szCs w:val="32"/>
        </w:rPr>
        <w:t>万元，用于召开</w:t>
      </w:r>
      <w:r>
        <w:rPr>
          <w:rFonts w:hint="eastAsia" w:ascii="宋体" w:hAnsi="宋体" w:eastAsia="宋体"/>
          <w:sz w:val="32"/>
          <w:szCs w:val="32"/>
          <w:lang w:val="en-US" w:eastAsia="zh-CN"/>
        </w:rPr>
        <w:t>全县民政工作</w:t>
      </w:r>
      <w:r>
        <w:rPr>
          <w:rFonts w:hint="eastAsia" w:ascii="宋体" w:hAnsi="宋体" w:eastAsia="宋体"/>
          <w:sz w:val="32"/>
          <w:szCs w:val="32"/>
        </w:rPr>
        <w:t>会议，人数</w:t>
      </w:r>
      <w:r>
        <w:rPr>
          <w:rFonts w:hint="eastAsia" w:ascii="宋体" w:hAnsi="宋体" w:eastAsia="宋体"/>
          <w:sz w:val="32"/>
          <w:szCs w:val="32"/>
          <w:lang w:val="en-US" w:eastAsia="zh-CN"/>
        </w:rPr>
        <w:t>180</w:t>
      </w:r>
      <w:r>
        <w:rPr>
          <w:rFonts w:hint="eastAsia" w:ascii="宋体" w:hAnsi="宋体" w:eastAsia="宋体"/>
          <w:sz w:val="32"/>
          <w:szCs w:val="32"/>
        </w:rPr>
        <w:t>人</w:t>
      </w:r>
      <w:r>
        <w:rPr>
          <w:rFonts w:hint="eastAsia" w:ascii="宋体" w:hAnsi="宋体" w:eastAsia="宋体"/>
          <w:sz w:val="32"/>
          <w:szCs w:val="32"/>
          <w:lang w:val="en-US" w:eastAsia="zh-CN"/>
        </w:rPr>
        <w:t>次</w:t>
      </w:r>
      <w:r>
        <w:rPr>
          <w:rFonts w:hint="eastAsia" w:ascii="宋体" w:hAnsi="宋体" w:eastAsia="宋体"/>
          <w:sz w:val="32"/>
          <w:szCs w:val="32"/>
        </w:rPr>
        <w:t>，内容为</w:t>
      </w:r>
      <w:r>
        <w:rPr>
          <w:rFonts w:hint="eastAsia" w:ascii="宋体" w:hAnsi="宋体" w:eastAsia="宋体"/>
          <w:sz w:val="32"/>
          <w:szCs w:val="32"/>
          <w:lang w:val="en-US" w:eastAsia="zh-CN"/>
        </w:rPr>
        <w:t>召开全县范围的民政工作会议，表璋上年度优秀及安排本年度工作</w:t>
      </w:r>
      <w:r>
        <w:rPr>
          <w:rFonts w:hint="eastAsia" w:ascii="宋体" w:hAnsi="宋体" w:eastAsia="宋体"/>
          <w:sz w:val="32"/>
          <w:szCs w:val="32"/>
        </w:rPr>
        <w:t>；开支培训费</w:t>
      </w:r>
      <w:r>
        <w:rPr>
          <w:rFonts w:hint="eastAsia" w:ascii="宋体" w:hAnsi="宋体" w:eastAsia="宋体"/>
          <w:sz w:val="32"/>
          <w:szCs w:val="32"/>
          <w:lang w:val="en-US" w:eastAsia="zh-CN"/>
        </w:rPr>
        <w:t>4.5</w:t>
      </w:r>
      <w:r>
        <w:rPr>
          <w:rFonts w:hint="eastAsia" w:ascii="宋体" w:hAnsi="宋体" w:eastAsia="宋体"/>
          <w:sz w:val="32"/>
          <w:szCs w:val="32"/>
        </w:rPr>
        <w:t>万元，用于开展</w:t>
      </w:r>
      <w:r>
        <w:rPr>
          <w:rFonts w:hint="eastAsia" w:ascii="宋体" w:hAnsi="宋体" w:eastAsia="宋体"/>
          <w:sz w:val="32"/>
          <w:szCs w:val="32"/>
          <w:lang w:val="en-US" w:eastAsia="zh-CN"/>
        </w:rPr>
        <w:t>乡镇民政相关工作</w:t>
      </w:r>
      <w:r>
        <w:rPr>
          <w:rFonts w:hint="eastAsia" w:ascii="宋体" w:hAnsi="宋体" w:eastAsia="宋体"/>
          <w:sz w:val="32"/>
          <w:szCs w:val="32"/>
        </w:rPr>
        <w:t>培训，人数</w:t>
      </w:r>
      <w:r>
        <w:rPr>
          <w:rFonts w:hint="eastAsia" w:ascii="宋体" w:hAnsi="宋体" w:eastAsia="宋体"/>
          <w:sz w:val="32"/>
          <w:szCs w:val="32"/>
          <w:lang w:val="en-US" w:eastAsia="zh-CN"/>
        </w:rPr>
        <w:t>220</w:t>
      </w:r>
      <w:r>
        <w:rPr>
          <w:rFonts w:hint="eastAsia" w:ascii="宋体" w:hAnsi="宋体" w:eastAsia="宋体"/>
          <w:sz w:val="32"/>
          <w:szCs w:val="32"/>
        </w:rPr>
        <w:t>人</w:t>
      </w:r>
      <w:r>
        <w:rPr>
          <w:rFonts w:hint="eastAsia" w:ascii="宋体" w:hAnsi="宋体" w:eastAsia="宋体"/>
          <w:sz w:val="32"/>
          <w:szCs w:val="32"/>
          <w:lang w:val="en-US" w:eastAsia="zh-CN"/>
        </w:rPr>
        <w:t>次</w:t>
      </w:r>
      <w:r>
        <w:rPr>
          <w:rFonts w:hint="eastAsia" w:ascii="宋体" w:hAnsi="宋体" w:eastAsia="宋体"/>
          <w:sz w:val="32"/>
          <w:szCs w:val="32"/>
        </w:rPr>
        <w:t>，内容为</w:t>
      </w:r>
      <w:r>
        <w:rPr>
          <w:rFonts w:hint="eastAsia" w:ascii="宋体" w:hAnsi="宋体" w:eastAsia="宋体"/>
          <w:sz w:val="32"/>
          <w:szCs w:val="32"/>
          <w:lang w:val="en-US" w:eastAsia="zh-CN"/>
        </w:rPr>
        <w:t>对乡镇民政工作人员开展养老、安全生产等相关的业务培训</w:t>
      </w:r>
      <w:r>
        <w:rPr>
          <w:rFonts w:hint="eastAsia" w:ascii="宋体" w:hAnsi="宋体"/>
          <w:sz w:val="32"/>
          <w:szCs w:val="32"/>
          <w:lang w:val="en-US" w:eastAsia="zh-CN"/>
        </w:rPr>
        <w:t>；</w:t>
      </w:r>
      <w:r>
        <w:rPr>
          <w:rFonts w:hint="eastAsia" w:ascii="宋体" w:hAnsi="宋体" w:eastAsia="宋体" w:cs="宋体"/>
          <w:i w:val="0"/>
          <w:caps w:val="0"/>
          <w:color w:val="auto"/>
          <w:spacing w:val="0"/>
          <w:sz w:val="32"/>
          <w:szCs w:val="32"/>
          <w:shd w:val="clear" w:color="auto" w:fill="FFFFFF"/>
        </w:rPr>
        <w:t>未举办节庆、晚会、论坛、赛事等活动</w:t>
      </w:r>
      <w:r>
        <w:rPr>
          <w:rFonts w:hint="eastAsia" w:ascii="宋体" w:hAnsi="宋体" w:eastAsia="宋体" w:cs="宋体"/>
          <w:i w:val="0"/>
          <w:caps w:val="0"/>
          <w:color w:val="auto"/>
          <w:spacing w:val="0"/>
          <w:sz w:val="32"/>
          <w:szCs w:val="32"/>
          <w:shd w:val="clear" w:color="auto" w:fill="FFFFFF"/>
          <w:lang w:eastAsia="zh-CN"/>
        </w:rPr>
        <w:t>。</w:t>
      </w:r>
    </w:p>
    <w:p>
      <w:pPr>
        <w:pStyle w:val="11"/>
        <w:rPr>
          <w:rFonts w:hAnsi="黑体"/>
          <w:b/>
          <w:sz w:val="32"/>
          <w:szCs w:val="32"/>
        </w:rPr>
      </w:pPr>
      <w:r>
        <w:rPr>
          <w:rFonts w:hint="eastAsia" w:hAnsi="黑体"/>
          <w:b/>
          <w:sz w:val="32"/>
          <w:szCs w:val="32"/>
        </w:rPr>
        <w:t>十一、政府采购支出说明</w:t>
      </w:r>
    </w:p>
    <w:p>
      <w:pPr>
        <w:pStyle w:val="11"/>
        <w:ind w:firstLine="640" w:firstLineChars="200"/>
        <w:rPr>
          <w:rFonts w:ascii="宋体" w:hAnsi="宋体" w:eastAsia="宋体"/>
          <w:sz w:val="32"/>
          <w:szCs w:val="32"/>
        </w:rPr>
      </w:pPr>
      <w:r>
        <w:rPr>
          <w:rFonts w:hint="eastAsia" w:ascii="宋体" w:hAnsi="宋体" w:eastAsia="宋体"/>
          <w:sz w:val="32"/>
          <w:szCs w:val="32"/>
        </w:rPr>
        <w:t>本部门2021年度政府采购支出总额</w:t>
      </w:r>
      <w:r>
        <w:rPr>
          <w:rFonts w:hint="eastAsia" w:ascii="宋体" w:hAnsi="宋体" w:eastAsia="宋体"/>
          <w:sz w:val="32"/>
          <w:szCs w:val="32"/>
          <w:lang w:val="en-US" w:eastAsia="zh-CN"/>
        </w:rPr>
        <w:t>350</w:t>
      </w:r>
      <w:r>
        <w:rPr>
          <w:rFonts w:hint="eastAsia" w:ascii="宋体" w:hAnsi="宋体" w:eastAsia="宋体"/>
          <w:sz w:val="32"/>
          <w:szCs w:val="32"/>
        </w:rPr>
        <w:t>万元，其中：政府采购货物支出</w:t>
      </w:r>
      <w:r>
        <w:rPr>
          <w:rFonts w:hint="eastAsia" w:ascii="宋体" w:hAnsi="宋体" w:eastAsia="宋体"/>
          <w:sz w:val="32"/>
          <w:szCs w:val="32"/>
          <w:lang w:val="en-US" w:eastAsia="zh-CN"/>
        </w:rPr>
        <w:t>200</w:t>
      </w:r>
      <w:r>
        <w:rPr>
          <w:rFonts w:hint="eastAsia" w:ascii="宋体" w:hAnsi="宋体" w:eastAsia="宋体"/>
          <w:sz w:val="32"/>
          <w:szCs w:val="32"/>
        </w:rPr>
        <w:t>万元、政府采购工程支出</w:t>
      </w:r>
      <w:r>
        <w:rPr>
          <w:rFonts w:hint="eastAsia" w:ascii="宋体" w:hAnsi="宋体" w:eastAsia="宋体"/>
          <w:sz w:val="32"/>
          <w:szCs w:val="32"/>
          <w:lang w:val="en-US" w:eastAsia="zh-CN"/>
        </w:rPr>
        <w:t>0</w:t>
      </w:r>
      <w:r>
        <w:rPr>
          <w:rFonts w:hint="eastAsia" w:ascii="宋体" w:hAnsi="宋体" w:eastAsia="宋体"/>
          <w:sz w:val="32"/>
          <w:szCs w:val="32"/>
        </w:rPr>
        <w:t xml:space="preserve"> 万元、政府采购服务支出</w:t>
      </w:r>
      <w:r>
        <w:rPr>
          <w:rFonts w:hint="eastAsia" w:ascii="宋体" w:hAnsi="宋体" w:eastAsia="宋体"/>
          <w:sz w:val="32"/>
          <w:szCs w:val="32"/>
          <w:lang w:val="en-US" w:eastAsia="zh-CN"/>
        </w:rPr>
        <w:t>150</w:t>
      </w:r>
      <w:r>
        <w:rPr>
          <w:rFonts w:hint="eastAsia" w:ascii="宋体" w:hAnsi="宋体" w:eastAsia="宋体"/>
          <w:sz w:val="32"/>
          <w:szCs w:val="32"/>
        </w:rPr>
        <w:t>万元。授予中小企业合同金额</w:t>
      </w:r>
      <w:r>
        <w:rPr>
          <w:rFonts w:hint="eastAsia" w:ascii="宋体" w:hAnsi="宋体" w:eastAsia="宋体"/>
          <w:sz w:val="32"/>
          <w:szCs w:val="32"/>
          <w:lang w:val="en-US" w:eastAsia="zh-CN"/>
        </w:rPr>
        <w:t>350</w:t>
      </w:r>
      <w:r>
        <w:rPr>
          <w:rFonts w:hint="eastAsia" w:ascii="宋体" w:hAnsi="宋体" w:eastAsia="宋体"/>
          <w:sz w:val="32"/>
          <w:szCs w:val="32"/>
        </w:rPr>
        <w:t>万元，占政府采购支出总额的</w:t>
      </w:r>
      <w:r>
        <w:rPr>
          <w:rFonts w:hint="eastAsia" w:ascii="宋体" w:hAnsi="宋体" w:eastAsia="宋体"/>
          <w:sz w:val="32"/>
          <w:szCs w:val="32"/>
          <w:lang w:val="en-US" w:eastAsia="zh-CN"/>
        </w:rPr>
        <w:t>100</w:t>
      </w:r>
      <w:r>
        <w:rPr>
          <w:rFonts w:hint="eastAsia" w:ascii="宋体" w:hAnsi="宋体" w:eastAsia="宋体"/>
          <w:sz w:val="32"/>
          <w:szCs w:val="32"/>
        </w:rPr>
        <w:t>%，其中：授予小微企业合同金额</w:t>
      </w:r>
      <w:r>
        <w:rPr>
          <w:rFonts w:hint="eastAsia" w:ascii="宋体" w:hAnsi="宋体" w:eastAsia="宋体"/>
          <w:sz w:val="32"/>
          <w:szCs w:val="32"/>
          <w:lang w:val="en-US" w:eastAsia="zh-CN"/>
        </w:rPr>
        <w:t>150</w:t>
      </w:r>
      <w:r>
        <w:rPr>
          <w:rFonts w:hint="eastAsia" w:ascii="宋体" w:hAnsi="宋体" w:eastAsia="宋体"/>
          <w:sz w:val="32"/>
          <w:szCs w:val="32"/>
        </w:rPr>
        <w:t>万元，占授予中小企业合同金额的</w:t>
      </w:r>
      <w:r>
        <w:rPr>
          <w:rFonts w:hint="eastAsia" w:ascii="宋体" w:hAnsi="宋体" w:eastAsia="宋体"/>
          <w:sz w:val="32"/>
          <w:szCs w:val="32"/>
          <w:lang w:val="en-US" w:eastAsia="zh-CN"/>
        </w:rPr>
        <w:t>42.85</w:t>
      </w:r>
      <w:r>
        <w:rPr>
          <w:rFonts w:hint="eastAsia" w:ascii="宋体" w:hAnsi="宋体" w:eastAsia="宋体"/>
          <w:sz w:val="32"/>
          <w:szCs w:val="32"/>
        </w:rPr>
        <w:t>%；货物采购授予中小企业合同金额占货物支出金额的</w:t>
      </w:r>
      <w:r>
        <w:rPr>
          <w:rFonts w:hint="eastAsia" w:ascii="宋体" w:hAnsi="宋体" w:eastAsia="宋体"/>
          <w:sz w:val="32"/>
          <w:szCs w:val="32"/>
          <w:lang w:val="en-US" w:eastAsia="zh-CN"/>
        </w:rPr>
        <w:t>0</w:t>
      </w:r>
      <w:r>
        <w:rPr>
          <w:rFonts w:hint="eastAsia" w:ascii="宋体" w:hAnsi="宋体" w:eastAsia="宋体"/>
          <w:sz w:val="32"/>
          <w:szCs w:val="32"/>
        </w:rPr>
        <w:t>%，工程采购授予中小企业合同金额占工程支出金额的</w:t>
      </w:r>
      <w:r>
        <w:rPr>
          <w:rFonts w:hint="eastAsia" w:ascii="宋体" w:hAnsi="宋体" w:eastAsia="宋体"/>
          <w:sz w:val="32"/>
          <w:szCs w:val="32"/>
          <w:lang w:val="en-US" w:eastAsia="zh-CN"/>
        </w:rPr>
        <w:t>0</w:t>
      </w:r>
      <w:r>
        <w:rPr>
          <w:rFonts w:hint="eastAsia" w:ascii="宋体" w:hAnsi="宋体" w:eastAsia="宋体"/>
          <w:sz w:val="32"/>
          <w:szCs w:val="32"/>
        </w:rPr>
        <w:t>%，服务采购授予中小企业合同金额占服务支出金额的</w:t>
      </w:r>
      <w:r>
        <w:rPr>
          <w:rFonts w:hint="eastAsia" w:ascii="宋体" w:hAnsi="宋体" w:eastAsia="宋体"/>
          <w:sz w:val="32"/>
          <w:szCs w:val="32"/>
          <w:lang w:val="en-US" w:eastAsia="zh-CN"/>
        </w:rPr>
        <w:t>0</w:t>
      </w:r>
      <w:r>
        <w:rPr>
          <w:rFonts w:hint="eastAsia" w:ascii="宋体" w:hAnsi="宋体" w:eastAsia="宋体"/>
          <w:sz w:val="32"/>
          <w:szCs w:val="32"/>
        </w:rPr>
        <w:t>%。</w:t>
      </w:r>
    </w:p>
    <w:p>
      <w:pPr>
        <w:pStyle w:val="11"/>
        <w:rPr>
          <w:rFonts w:hAnsi="黑体"/>
          <w:b/>
          <w:sz w:val="32"/>
          <w:szCs w:val="32"/>
        </w:rPr>
      </w:pPr>
      <w:r>
        <w:rPr>
          <w:rFonts w:hint="eastAsia" w:hAnsi="黑体"/>
          <w:b/>
          <w:sz w:val="32"/>
          <w:szCs w:val="32"/>
        </w:rPr>
        <w:t>十二、国有资产占用情况说明</w:t>
      </w:r>
    </w:p>
    <w:p>
      <w:pPr>
        <w:pStyle w:val="11"/>
        <w:ind w:firstLine="640" w:firstLineChars="200"/>
        <w:rPr>
          <w:rFonts w:ascii="宋体" w:hAnsi="宋体" w:eastAsia="宋体"/>
          <w:sz w:val="32"/>
          <w:szCs w:val="32"/>
        </w:rPr>
      </w:pPr>
      <w:r>
        <w:rPr>
          <w:rFonts w:hint="eastAsia" w:ascii="宋体" w:hAnsi="宋体" w:eastAsia="宋体"/>
          <w:sz w:val="32"/>
          <w:szCs w:val="32"/>
        </w:rPr>
        <w:t>截至2021年12月31日，部门（单位）共有车辆</w:t>
      </w:r>
      <w:r>
        <w:rPr>
          <w:rFonts w:hint="eastAsia" w:ascii="宋体" w:hAnsi="宋体" w:eastAsia="宋体"/>
          <w:sz w:val="32"/>
          <w:szCs w:val="32"/>
          <w:lang w:val="en-US" w:eastAsia="zh-CN"/>
        </w:rPr>
        <w:t>1</w:t>
      </w:r>
      <w:r>
        <w:rPr>
          <w:rFonts w:hint="eastAsia" w:ascii="宋体" w:hAnsi="宋体" w:eastAsia="宋体"/>
          <w:sz w:val="32"/>
          <w:szCs w:val="32"/>
        </w:rPr>
        <w:t>辆，其中，其他用车</w:t>
      </w:r>
      <w:r>
        <w:rPr>
          <w:rFonts w:hint="eastAsia" w:ascii="宋体" w:hAnsi="宋体" w:eastAsia="宋体"/>
          <w:sz w:val="32"/>
          <w:szCs w:val="32"/>
          <w:lang w:val="en-US" w:eastAsia="zh-CN"/>
        </w:rPr>
        <w:t>1</w:t>
      </w:r>
      <w:r>
        <w:rPr>
          <w:rFonts w:hint="eastAsia" w:ascii="宋体" w:hAnsi="宋体" w:eastAsia="宋体"/>
          <w:sz w:val="32"/>
          <w:szCs w:val="32"/>
        </w:rPr>
        <w:t>辆，其他用车主要是</w:t>
      </w:r>
      <w:r>
        <w:rPr>
          <w:rFonts w:hint="eastAsia" w:ascii="宋体" w:hAnsi="宋体" w:eastAsia="宋体"/>
          <w:sz w:val="32"/>
          <w:szCs w:val="32"/>
          <w:lang w:val="en-US" w:eastAsia="zh-CN"/>
        </w:rPr>
        <w:t>公务下乡出差</w:t>
      </w:r>
      <w:r>
        <w:rPr>
          <w:rFonts w:hint="eastAsia" w:ascii="宋体" w:hAnsi="宋体" w:eastAsia="宋体"/>
          <w:sz w:val="32"/>
          <w:szCs w:val="32"/>
        </w:rPr>
        <w:t>；单位价值50万元以上通用设备</w:t>
      </w:r>
      <w:r>
        <w:rPr>
          <w:rFonts w:hint="eastAsia" w:ascii="宋体" w:hAnsi="宋体" w:eastAsia="宋体"/>
          <w:sz w:val="32"/>
          <w:szCs w:val="32"/>
          <w:lang w:val="en-US" w:eastAsia="zh-CN"/>
        </w:rPr>
        <w:t>0</w:t>
      </w:r>
      <w:r>
        <w:rPr>
          <w:rFonts w:hint="eastAsia" w:ascii="宋体" w:hAnsi="宋体" w:eastAsia="宋体"/>
          <w:sz w:val="32"/>
          <w:szCs w:val="32"/>
        </w:rPr>
        <w:t>台（套）；单位价值100万元以上专用设备</w:t>
      </w:r>
      <w:r>
        <w:rPr>
          <w:rFonts w:hint="eastAsia" w:ascii="宋体" w:hAnsi="宋体" w:eastAsia="宋体"/>
          <w:sz w:val="32"/>
          <w:szCs w:val="32"/>
          <w:lang w:val="en-US" w:eastAsia="zh-CN"/>
        </w:rPr>
        <w:t>0</w:t>
      </w:r>
      <w:r>
        <w:rPr>
          <w:rFonts w:hint="eastAsia" w:ascii="宋体" w:hAnsi="宋体" w:eastAsia="宋体"/>
          <w:sz w:val="32"/>
          <w:szCs w:val="32"/>
        </w:rPr>
        <w:t>台（套）。</w:t>
      </w:r>
    </w:p>
    <w:p>
      <w:pPr>
        <w:pStyle w:val="11"/>
        <w:rPr>
          <w:rFonts w:hAnsi="黑体"/>
          <w:b/>
          <w:sz w:val="32"/>
          <w:szCs w:val="32"/>
        </w:rPr>
      </w:pPr>
      <w:r>
        <w:rPr>
          <w:rFonts w:hint="eastAsia" w:hAnsi="黑体"/>
          <w:b/>
          <w:sz w:val="32"/>
          <w:szCs w:val="32"/>
        </w:rPr>
        <w:t>十三、2021年度预算绩效情况说明</w:t>
      </w:r>
    </w:p>
    <w:p>
      <w:pPr>
        <w:autoSpaceDE w:val="0"/>
        <w:autoSpaceDN w:val="0"/>
        <w:adjustRightInd w:val="0"/>
        <w:ind w:firstLine="640" w:firstLineChars="200"/>
        <w:jc w:val="left"/>
        <w:rPr>
          <w:rFonts w:ascii="宋体" w:hAnsi="宋体" w:cs="黑体"/>
          <w:color w:val="000000"/>
          <w:kern w:val="0"/>
          <w:sz w:val="32"/>
          <w:szCs w:val="32"/>
        </w:rPr>
      </w:pPr>
      <w:r>
        <w:rPr>
          <w:rFonts w:hint="eastAsia" w:ascii="宋体" w:hAnsi="宋体" w:cs="黑体"/>
          <w:b/>
          <w:color w:val="000000"/>
          <w:kern w:val="0"/>
          <w:sz w:val="32"/>
          <w:szCs w:val="32"/>
        </w:rPr>
        <w:t>（1）绩效管理评价工作开展情况</w:t>
      </w:r>
      <w:r>
        <w:rPr>
          <w:rFonts w:hint="eastAsia" w:ascii="宋体" w:hAnsi="宋体" w:cs="黑体"/>
          <w:color w:val="000000"/>
          <w:kern w:val="0"/>
          <w:sz w:val="32"/>
          <w:szCs w:val="32"/>
        </w:rPr>
        <w:t>。</w:t>
      </w:r>
    </w:p>
    <w:p>
      <w:pPr>
        <w:autoSpaceDE w:val="0"/>
        <w:autoSpaceDN w:val="0"/>
        <w:adjustRightInd w:val="0"/>
        <w:ind w:firstLine="640" w:firstLineChars="200"/>
        <w:jc w:val="left"/>
        <w:rPr>
          <w:rFonts w:ascii="宋体" w:hAnsi="宋体" w:cs="黑体"/>
          <w:color w:val="000000"/>
          <w:kern w:val="0"/>
          <w:sz w:val="32"/>
          <w:szCs w:val="32"/>
        </w:rPr>
      </w:pPr>
      <w:r>
        <w:rPr>
          <w:rFonts w:hint="eastAsia" w:ascii="宋体" w:hAnsi="宋体" w:cs="黑体"/>
          <w:color w:val="000000"/>
          <w:kern w:val="0"/>
          <w:sz w:val="32"/>
          <w:szCs w:val="32"/>
        </w:rPr>
        <w:t>根据预算绩效管理要求，我部门组织对</w:t>
      </w:r>
      <w:r>
        <w:rPr>
          <w:rFonts w:ascii="宋体" w:hAnsi="宋体" w:cs="黑体"/>
          <w:color w:val="000000"/>
          <w:kern w:val="0"/>
          <w:sz w:val="32"/>
          <w:szCs w:val="32"/>
        </w:rPr>
        <w:t xml:space="preserve">2021 </w:t>
      </w:r>
      <w:r>
        <w:rPr>
          <w:rFonts w:hint="eastAsia" w:ascii="宋体" w:hAnsi="宋体" w:cs="黑体"/>
          <w:color w:val="000000"/>
          <w:kern w:val="0"/>
          <w:sz w:val="32"/>
          <w:szCs w:val="32"/>
        </w:rPr>
        <w:t>年度一般公共预算项目支出全面开展绩效自评，其中，一级项目</w:t>
      </w:r>
      <w:r>
        <w:rPr>
          <w:rFonts w:hint="eastAsia" w:ascii="宋体" w:hAnsi="宋体" w:cs="黑体"/>
          <w:color w:val="000000"/>
          <w:kern w:val="0"/>
          <w:sz w:val="32"/>
          <w:szCs w:val="32"/>
          <w:lang w:val="en-US" w:eastAsia="zh-CN"/>
        </w:rPr>
        <w:t>1</w:t>
      </w:r>
      <w:r>
        <w:rPr>
          <w:rFonts w:hint="eastAsia" w:ascii="宋体" w:hAnsi="宋体" w:cs="黑体"/>
          <w:color w:val="000000"/>
          <w:kern w:val="0"/>
          <w:sz w:val="32"/>
          <w:szCs w:val="32"/>
        </w:rPr>
        <w:t>个，二级项目</w:t>
      </w:r>
      <w:r>
        <w:rPr>
          <w:rFonts w:hint="eastAsia" w:ascii="宋体" w:hAnsi="宋体" w:cs="黑体"/>
          <w:color w:val="000000"/>
          <w:kern w:val="0"/>
          <w:sz w:val="32"/>
          <w:szCs w:val="32"/>
          <w:lang w:val="en-US" w:eastAsia="zh-CN"/>
        </w:rPr>
        <w:t>15</w:t>
      </w:r>
      <w:r>
        <w:rPr>
          <w:rFonts w:ascii="宋体" w:hAnsi="宋体" w:cs="黑体"/>
          <w:color w:val="000000"/>
          <w:kern w:val="0"/>
          <w:sz w:val="32"/>
          <w:szCs w:val="32"/>
        </w:rPr>
        <w:t xml:space="preserve"> </w:t>
      </w:r>
      <w:r>
        <w:rPr>
          <w:rFonts w:hint="eastAsia" w:ascii="宋体" w:hAnsi="宋体" w:cs="黑体"/>
          <w:color w:val="000000"/>
          <w:kern w:val="0"/>
          <w:sz w:val="32"/>
          <w:szCs w:val="32"/>
        </w:rPr>
        <w:t>个，共涉及资金</w:t>
      </w:r>
      <w:r>
        <w:rPr>
          <w:rFonts w:hint="eastAsia" w:ascii="宋体" w:hAnsi="宋体" w:cs="黑体"/>
          <w:color w:val="000000"/>
          <w:kern w:val="0"/>
          <w:sz w:val="32"/>
          <w:szCs w:val="32"/>
          <w:lang w:val="en-US" w:eastAsia="zh-CN"/>
        </w:rPr>
        <w:t>13594.33</w:t>
      </w:r>
      <w:r>
        <w:rPr>
          <w:rFonts w:ascii="宋体" w:hAnsi="宋体" w:cs="黑体"/>
          <w:color w:val="000000"/>
          <w:kern w:val="0"/>
          <w:sz w:val="32"/>
          <w:szCs w:val="32"/>
        </w:rPr>
        <w:t xml:space="preserve"> </w:t>
      </w:r>
      <w:r>
        <w:rPr>
          <w:rFonts w:hint="eastAsia" w:ascii="宋体" w:hAnsi="宋体" w:cs="黑体"/>
          <w:color w:val="000000"/>
          <w:kern w:val="0"/>
          <w:sz w:val="32"/>
          <w:szCs w:val="32"/>
        </w:rPr>
        <w:t>万元，占一般公共预算项目支出总额的</w:t>
      </w:r>
      <w:r>
        <w:rPr>
          <w:rFonts w:hint="eastAsia" w:ascii="宋体" w:hAnsi="宋体" w:cs="黑体"/>
          <w:color w:val="000000"/>
          <w:kern w:val="0"/>
          <w:sz w:val="32"/>
          <w:szCs w:val="32"/>
          <w:lang w:val="en-US" w:eastAsia="zh-CN"/>
        </w:rPr>
        <w:t>96.81</w:t>
      </w:r>
      <w:r>
        <w:rPr>
          <w:rFonts w:ascii="宋体" w:hAnsi="宋体" w:cs="黑体"/>
          <w:color w:val="000000"/>
          <w:kern w:val="0"/>
          <w:sz w:val="32"/>
          <w:szCs w:val="32"/>
        </w:rPr>
        <w:t>%</w:t>
      </w:r>
      <w:r>
        <w:rPr>
          <w:rFonts w:hint="eastAsia" w:ascii="宋体" w:hAnsi="宋体" w:cs="黑体"/>
          <w:color w:val="000000"/>
          <w:kern w:val="0"/>
          <w:sz w:val="32"/>
          <w:szCs w:val="32"/>
        </w:rPr>
        <w:t>。组织对</w:t>
      </w:r>
      <w:r>
        <w:rPr>
          <w:rFonts w:ascii="宋体" w:hAnsi="宋体" w:cs="黑体"/>
          <w:color w:val="000000"/>
          <w:kern w:val="0"/>
          <w:sz w:val="32"/>
          <w:szCs w:val="32"/>
        </w:rPr>
        <w:t>2021</w:t>
      </w:r>
      <w:r>
        <w:rPr>
          <w:rFonts w:hint="eastAsia" w:ascii="宋体" w:hAnsi="宋体" w:cs="黑体"/>
          <w:color w:val="000000"/>
          <w:kern w:val="0"/>
          <w:sz w:val="32"/>
          <w:szCs w:val="32"/>
        </w:rPr>
        <w:t>年度</w:t>
      </w:r>
      <w:r>
        <w:rPr>
          <w:rFonts w:hint="eastAsia" w:ascii="宋体" w:hAnsi="宋体" w:cs="黑体"/>
          <w:color w:val="000000"/>
          <w:kern w:val="0"/>
          <w:sz w:val="32"/>
          <w:szCs w:val="32"/>
          <w:lang w:val="en-US" w:eastAsia="zh-CN"/>
        </w:rPr>
        <w:t>用于社会福利的彩票公益金支出</w:t>
      </w:r>
      <w:r>
        <w:rPr>
          <w:rFonts w:hint="eastAsia" w:ascii="宋体" w:hAnsi="宋体" w:cs="黑体"/>
          <w:color w:val="000000"/>
          <w:kern w:val="0"/>
          <w:sz w:val="32"/>
          <w:szCs w:val="32"/>
        </w:rPr>
        <w:t>等</w:t>
      </w:r>
      <w:r>
        <w:rPr>
          <w:rFonts w:hint="eastAsia" w:ascii="宋体" w:hAnsi="宋体" w:cs="黑体"/>
          <w:color w:val="000000"/>
          <w:kern w:val="0"/>
          <w:sz w:val="32"/>
          <w:szCs w:val="32"/>
          <w:lang w:val="en-US" w:eastAsia="zh-CN"/>
        </w:rPr>
        <w:t>1</w:t>
      </w:r>
      <w:r>
        <w:rPr>
          <w:rFonts w:hint="eastAsia" w:ascii="宋体" w:hAnsi="宋体" w:cs="黑体"/>
          <w:color w:val="000000"/>
          <w:kern w:val="0"/>
          <w:sz w:val="32"/>
          <w:szCs w:val="32"/>
        </w:rPr>
        <w:t>个政府性基金预算项目支出开展绩效自评，共涉及资金</w:t>
      </w:r>
      <w:r>
        <w:rPr>
          <w:rFonts w:hint="eastAsia" w:ascii="宋体" w:hAnsi="宋体" w:cs="黑体"/>
          <w:color w:val="000000"/>
          <w:kern w:val="0"/>
          <w:sz w:val="32"/>
          <w:szCs w:val="32"/>
          <w:lang w:val="en-US" w:eastAsia="zh-CN"/>
        </w:rPr>
        <w:t>212.68</w:t>
      </w:r>
      <w:r>
        <w:rPr>
          <w:rFonts w:ascii="宋体" w:hAnsi="宋体" w:cs="黑体"/>
          <w:color w:val="000000"/>
          <w:kern w:val="0"/>
          <w:sz w:val="32"/>
          <w:szCs w:val="32"/>
        </w:rPr>
        <w:t xml:space="preserve"> </w:t>
      </w:r>
      <w:r>
        <w:rPr>
          <w:rFonts w:hint="eastAsia" w:ascii="宋体" w:hAnsi="宋体" w:cs="黑体"/>
          <w:color w:val="000000"/>
          <w:kern w:val="0"/>
          <w:sz w:val="32"/>
          <w:szCs w:val="32"/>
        </w:rPr>
        <w:t>万元，占政府性基金预算项目支出总额的</w:t>
      </w:r>
      <w:r>
        <w:rPr>
          <w:rFonts w:hint="eastAsia" w:ascii="宋体" w:hAnsi="宋体" w:cs="黑体"/>
          <w:color w:val="000000"/>
          <w:kern w:val="0"/>
          <w:sz w:val="32"/>
          <w:szCs w:val="32"/>
          <w:lang w:val="en-US" w:eastAsia="zh-CN"/>
        </w:rPr>
        <w:t>100</w:t>
      </w:r>
      <w:r>
        <w:rPr>
          <w:rFonts w:ascii="宋体" w:hAnsi="宋体" w:cs="黑体"/>
          <w:color w:val="000000"/>
          <w:kern w:val="0"/>
          <w:sz w:val="32"/>
          <w:szCs w:val="32"/>
        </w:rPr>
        <w:t>%</w:t>
      </w:r>
      <w:r>
        <w:rPr>
          <w:rFonts w:hint="eastAsia" w:ascii="宋体" w:hAnsi="宋体" w:cs="黑体"/>
          <w:color w:val="000000"/>
          <w:kern w:val="0"/>
          <w:sz w:val="32"/>
          <w:szCs w:val="32"/>
        </w:rPr>
        <w:t>。</w:t>
      </w:r>
    </w:p>
    <w:p>
      <w:pPr>
        <w:autoSpaceDE w:val="0"/>
        <w:autoSpaceDN w:val="0"/>
        <w:adjustRightInd w:val="0"/>
        <w:ind w:firstLine="640" w:firstLineChars="200"/>
        <w:jc w:val="left"/>
        <w:rPr>
          <w:rFonts w:ascii="宋体" w:hAnsi="宋体" w:cs="黑体"/>
          <w:color w:val="000000"/>
          <w:kern w:val="0"/>
          <w:sz w:val="32"/>
          <w:szCs w:val="32"/>
        </w:rPr>
      </w:pPr>
      <w:r>
        <w:rPr>
          <w:rFonts w:hint="eastAsia" w:ascii="宋体" w:hAnsi="宋体" w:cs="黑体"/>
          <w:color w:val="000000"/>
          <w:kern w:val="0"/>
          <w:sz w:val="32"/>
          <w:szCs w:val="32"/>
        </w:rPr>
        <w:t>组织对“</w:t>
      </w:r>
      <w:r>
        <w:rPr>
          <w:rFonts w:hint="eastAsia" w:ascii="宋体" w:hAnsi="宋体" w:cs="黑体"/>
          <w:color w:val="000000"/>
          <w:kern w:val="0"/>
          <w:sz w:val="32"/>
          <w:szCs w:val="32"/>
          <w:lang w:val="en-US" w:eastAsia="zh-CN"/>
        </w:rPr>
        <w:t>最低生活保障</w:t>
      </w:r>
      <w:r>
        <w:rPr>
          <w:rFonts w:hint="eastAsia" w:ascii="宋体" w:hAnsi="宋体" w:cs="黑体"/>
          <w:color w:val="000000"/>
          <w:kern w:val="0"/>
          <w:sz w:val="32"/>
          <w:szCs w:val="32"/>
        </w:rPr>
        <w:t>”“</w:t>
      </w:r>
      <w:r>
        <w:rPr>
          <w:rFonts w:hint="eastAsia" w:ascii="宋体" w:hAnsi="宋体" w:cs="黑体"/>
          <w:color w:val="000000"/>
          <w:kern w:val="0"/>
          <w:sz w:val="32"/>
          <w:szCs w:val="32"/>
          <w:lang w:val="en-US" w:eastAsia="zh-CN"/>
        </w:rPr>
        <w:t>特困供养</w:t>
      </w:r>
      <w:r>
        <w:rPr>
          <w:rFonts w:hint="eastAsia" w:ascii="宋体" w:hAnsi="宋体" w:cs="黑体"/>
          <w:color w:val="000000"/>
          <w:kern w:val="0"/>
          <w:sz w:val="32"/>
          <w:szCs w:val="32"/>
        </w:rPr>
        <w:t>”</w:t>
      </w:r>
      <w:r>
        <w:rPr>
          <w:rFonts w:hint="eastAsia" w:ascii="宋体" w:hAnsi="宋体" w:cs="黑体"/>
          <w:color w:val="000000"/>
          <w:kern w:val="0"/>
          <w:sz w:val="32"/>
          <w:szCs w:val="32"/>
          <w:lang w:eastAsia="zh-CN"/>
        </w:rPr>
        <w:t>“</w:t>
      </w:r>
      <w:r>
        <w:rPr>
          <w:rFonts w:hint="eastAsia" w:ascii="宋体" w:hAnsi="宋体" w:cs="黑体"/>
          <w:color w:val="000000"/>
          <w:kern w:val="0"/>
          <w:sz w:val="32"/>
          <w:szCs w:val="32"/>
          <w:lang w:val="en-US" w:eastAsia="zh-CN"/>
        </w:rPr>
        <w:t>养老服务”</w:t>
      </w:r>
      <w:r>
        <w:rPr>
          <w:rFonts w:hint="eastAsia" w:ascii="宋体" w:hAnsi="宋体" w:cs="黑体"/>
          <w:color w:val="000000"/>
          <w:kern w:val="0"/>
          <w:sz w:val="32"/>
          <w:szCs w:val="32"/>
        </w:rPr>
        <w:t>等</w:t>
      </w:r>
      <w:r>
        <w:rPr>
          <w:rFonts w:hint="eastAsia" w:ascii="宋体" w:hAnsi="宋体" w:cs="黑体"/>
          <w:color w:val="000000"/>
          <w:kern w:val="0"/>
          <w:sz w:val="32"/>
          <w:szCs w:val="32"/>
          <w:lang w:val="en-US" w:eastAsia="zh-CN"/>
        </w:rPr>
        <w:t>15</w:t>
      </w:r>
      <w:r>
        <w:rPr>
          <w:rFonts w:hint="eastAsia" w:ascii="宋体" w:hAnsi="宋体" w:cs="黑体"/>
          <w:color w:val="000000"/>
          <w:kern w:val="0"/>
          <w:sz w:val="32"/>
          <w:szCs w:val="32"/>
        </w:rPr>
        <w:t>个项目开展了部门评价，涉及一般公共预算支出</w:t>
      </w:r>
      <w:r>
        <w:rPr>
          <w:rFonts w:hint="eastAsia" w:ascii="宋体" w:hAnsi="宋体" w:cs="黑体"/>
          <w:color w:val="000000"/>
          <w:kern w:val="0"/>
          <w:sz w:val="32"/>
          <w:szCs w:val="32"/>
          <w:lang w:val="en-US" w:eastAsia="zh-CN"/>
        </w:rPr>
        <w:t>13594.33</w:t>
      </w:r>
      <w:r>
        <w:rPr>
          <w:rFonts w:ascii="宋体" w:hAnsi="宋体" w:cs="黑体"/>
          <w:color w:val="000000"/>
          <w:kern w:val="0"/>
          <w:sz w:val="32"/>
          <w:szCs w:val="32"/>
        </w:rPr>
        <w:t xml:space="preserve"> </w:t>
      </w:r>
      <w:r>
        <w:rPr>
          <w:rFonts w:hint="eastAsia" w:ascii="宋体" w:hAnsi="宋体" w:cs="黑体"/>
          <w:color w:val="000000"/>
          <w:kern w:val="0"/>
          <w:sz w:val="32"/>
          <w:szCs w:val="32"/>
        </w:rPr>
        <w:t>万元，政府性基金预算支出</w:t>
      </w:r>
      <w:r>
        <w:rPr>
          <w:rFonts w:hint="eastAsia" w:ascii="宋体" w:hAnsi="宋体" w:cs="黑体"/>
          <w:color w:val="000000"/>
          <w:kern w:val="0"/>
          <w:sz w:val="32"/>
          <w:szCs w:val="32"/>
          <w:lang w:val="en-US" w:eastAsia="zh-CN"/>
        </w:rPr>
        <w:t>212.68</w:t>
      </w:r>
      <w:r>
        <w:rPr>
          <w:rFonts w:ascii="宋体" w:hAnsi="宋体" w:cs="黑体"/>
          <w:color w:val="000000"/>
          <w:kern w:val="0"/>
          <w:sz w:val="32"/>
          <w:szCs w:val="32"/>
        </w:rPr>
        <w:t xml:space="preserve"> </w:t>
      </w:r>
      <w:r>
        <w:rPr>
          <w:rFonts w:hint="eastAsia" w:ascii="宋体" w:hAnsi="宋体" w:cs="黑体"/>
          <w:color w:val="000000"/>
          <w:kern w:val="0"/>
          <w:sz w:val="32"/>
          <w:szCs w:val="32"/>
        </w:rPr>
        <w:t>万元，从评价情况来看，</w:t>
      </w:r>
      <w:r>
        <w:rPr>
          <w:rFonts w:hint="eastAsia" w:ascii="宋体" w:hAnsi="宋体" w:cs="黑体"/>
          <w:color w:val="000000"/>
          <w:kern w:val="0"/>
          <w:sz w:val="32"/>
          <w:szCs w:val="32"/>
          <w:lang w:val="en-US" w:eastAsia="zh-CN"/>
        </w:rPr>
        <w:t>都符合专款专用的原则，保障了民生，加大了政府在群众心中的满意度，增加群众的幸福值</w:t>
      </w:r>
      <w:r>
        <w:rPr>
          <w:rFonts w:hint="eastAsia" w:ascii="宋体" w:hAnsi="宋体" w:cs="黑体"/>
          <w:color w:val="000000"/>
          <w:kern w:val="0"/>
          <w:sz w:val="32"/>
          <w:szCs w:val="32"/>
        </w:rPr>
        <w:t>。</w:t>
      </w:r>
    </w:p>
    <w:p>
      <w:pPr>
        <w:autoSpaceDE w:val="0"/>
        <w:autoSpaceDN w:val="0"/>
        <w:adjustRightInd w:val="0"/>
        <w:ind w:firstLine="640" w:firstLineChars="200"/>
        <w:jc w:val="left"/>
        <w:rPr>
          <w:rFonts w:ascii="宋体" w:hAnsi="宋体" w:cs="黑体"/>
          <w:color w:val="000000"/>
          <w:kern w:val="0"/>
          <w:sz w:val="32"/>
          <w:szCs w:val="32"/>
        </w:rPr>
      </w:pPr>
      <w:r>
        <w:rPr>
          <w:rFonts w:hint="eastAsia" w:ascii="宋体" w:hAnsi="宋体" w:cs="黑体"/>
          <w:b/>
          <w:color w:val="000000"/>
          <w:kern w:val="0"/>
          <w:sz w:val="32"/>
          <w:szCs w:val="32"/>
        </w:rPr>
        <w:t>（2）部门评价项目绩效评价结果。</w:t>
      </w:r>
    </w:p>
    <w:p>
      <w:pPr>
        <w:autoSpaceDE w:val="0"/>
        <w:autoSpaceDN w:val="0"/>
        <w:adjustRightInd w:val="0"/>
        <w:ind w:firstLine="640" w:firstLineChars="200"/>
        <w:jc w:val="left"/>
        <w:rPr>
          <w:rFonts w:ascii="宋体" w:hAnsi="宋体" w:cs="黑体"/>
          <w:color w:val="000000"/>
          <w:kern w:val="0"/>
          <w:sz w:val="32"/>
          <w:szCs w:val="32"/>
        </w:rPr>
      </w:pPr>
      <w:r>
        <w:rPr>
          <w:rFonts w:hint="eastAsia" w:ascii="宋体" w:hAnsi="宋体" w:cs="黑体"/>
          <w:color w:val="000000"/>
          <w:kern w:val="0"/>
          <w:sz w:val="32"/>
          <w:szCs w:val="32"/>
        </w:rPr>
        <w:t>部门评价项目数量</w:t>
      </w:r>
      <w:r>
        <w:rPr>
          <w:rFonts w:ascii="宋体" w:hAnsi="宋体" w:cs="黑体"/>
          <w:color w:val="000000"/>
          <w:kern w:val="0"/>
          <w:sz w:val="32"/>
          <w:szCs w:val="32"/>
        </w:rPr>
        <w:t>3</w:t>
      </w:r>
      <w:r>
        <w:rPr>
          <w:rFonts w:hint="eastAsia" w:ascii="宋体" w:hAnsi="宋体" w:cs="黑体"/>
          <w:color w:val="000000"/>
          <w:kern w:val="0"/>
          <w:sz w:val="32"/>
          <w:szCs w:val="32"/>
        </w:rPr>
        <w:t>个以内的，至少将</w:t>
      </w:r>
      <w:r>
        <w:rPr>
          <w:rFonts w:ascii="宋体" w:hAnsi="宋体" w:cs="黑体"/>
          <w:color w:val="000000"/>
          <w:kern w:val="0"/>
          <w:sz w:val="32"/>
          <w:szCs w:val="32"/>
        </w:rPr>
        <w:t xml:space="preserve">1 </w:t>
      </w:r>
      <w:r>
        <w:rPr>
          <w:rFonts w:hint="eastAsia" w:ascii="宋体" w:hAnsi="宋体" w:cs="黑体"/>
          <w:color w:val="000000"/>
          <w:kern w:val="0"/>
          <w:sz w:val="32"/>
          <w:szCs w:val="32"/>
        </w:rPr>
        <w:t>个部门评价报告向社会公开；部门评价项目数量大于</w:t>
      </w:r>
      <w:r>
        <w:rPr>
          <w:rFonts w:ascii="宋体" w:hAnsi="宋体" w:cs="黑体"/>
          <w:color w:val="000000"/>
          <w:kern w:val="0"/>
          <w:sz w:val="32"/>
          <w:szCs w:val="32"/>
        </w:rPr>
        <w:t xml:space="preserve">3 </w:t>
      </w:r>
      <w:r>
        <w:rPr>
          <w:rFonts w:hint="eastAsia" w:ascii="宋体" w:hAnsi="宋体" w:cs="黑体"/>
          <w:color w:val="000000"/>
          <w:kern w:val="0"/>
          <w:sz w:val="32"/>
          <w:szCs w:val="32"/>
        </w:rPr>
        <w:t>个的，至少将</w:t>
      </w:r>
      <w:r>
        <w:rPr>
          <w:rFonts w:ascii="宋体" w:hAnsi="宋体" w:cs="黑体"/>
          <w:color w:val="000000"/>
          <w:kern w:val="0"/>
          <w:sz w:val="32"/>
          <w:szCs w:val="32"/>
        </w:rPr>
        <w:t xml:space="preserve">2 </w:t>
      </w:r>
      <w:r>
        <w:rPr>
          <w:rFonts w:hint="eastAsia" w:ascii="宋体" w:hAnsi="宋体" w:cs="黑体"/>
          <w:color w:val="000000"/>
          <w:kern w:val="0"/>
          <w:sz w:val="32"/>
          <w:szCs w:val="32"/>
        </w:rPr>
        <w:t>个部门评价报告向社会公开。报告框架可参考《项目支出绩效评价办法》（财预〔</w:t>
      </w:r>
      <w:r>
        <w:rPr>
          <w:rFonts w:ascii="宋体" w:hAnsi="宋体" w:cs="黑体"/>
          <w:color w:val="000000"/>
          <w:kern w:val="0"/>
          <w:sz w:val="32"/>
          <w:szCs w:val="32"/>
        </w:rPr>
        <w:t>2020</w:t>
      </w:r>
      <w:r>
        <w:rPr>
          <w:rFonts w:hint="eastAsia" w:ascii="宋体" w:hAnsi="宋体" w:cs="黑体"/>
          <w:color w:val="000000"/>
          <w:kern w:val="0"/>
          <w:sz w:val="32"/>
          <w:szCs w:val="32"/>
        </w:rPr>
        <w:t>〕</w:t>
      </w:r>
      <w:r>
        <w:rPr>
          <w:rFonts w:ascii="宋体" w:hAnsi="宋体" w:cs="黑体"/>
          <w:color w:val="000000"/>
          <w:kern w:val="0"/>
          <w:sz w:val="32"/>
          <w:szCs w:val="32"/>
        </w:rPr>
        <w:t xml:space="preserve">10 </w:t>
      </w:r>
      <w:r>
        <w:rPr>
          <w:rFonts w:hint="eastAsia" w:ascii="宋体" w:hAnsi="宋体" w:cs="黑体"/>
          <w:color w:val="000000"/>
          <w:kern w:val="0"/>
          <w:sz w:val="32"/>
          <w:szCs w:val="32"/>
        </w:rPr>
        <w:t>号）中《项目支出绩效评价报告（参考提纲）》、《湖南省预算支出绩效评价管理办法》（湘财绩〔</w:t>
      </w:r>
      <w:r>
        <w:rPr>
          <w:rFonts w:ascii="宋体" w:hAnsi="宋体" w:cs="黑体"/>
          <w:color w:val="000000"/>
          <w:kern w:val="0"/>
          <w:sz w:val="32"/>
          <w:szCs w:val="32"/>
        </w:rPr>
        <w:t>2020</w:t>
      </w:r>
      <w:r>
        <w:rPr>
          <w:rFonts w:hint="eastAsia" w:ascii="宋体" w:hAnsi="宋体" w:cs="黑体"/>
          <w:color w:val="000000"/>
          <w:kern w:val="0"/>
          <w:sz w:val="32"/>
          <w:szCs w:val="32"/>
        </w:rPr>
        <w:t>〕7号）。</w:t>
      </w: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rPr>
          <w:sz w:val="72"/>
          <w:szCs w:val="72"/>
        </w:rPr>
      </w:pPr>
    </w:p>
    <w:p>
      <w:pPr>
        <w:pStyle w:val="11"/>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ascii="宋体" w:hAnsi="宋体" w:cs="黑体"/>
          <w:color w:val="000000"/>
          <w:kern w:val="0"/>
          <w:sz w:val="32"/>
          <w:szCs w:val="32"/>
        </w:rPr>
      </w:pPr>
    </w:p>
    <w:p>
      <w:pPr>
        <w:ind w:firstLine="640" w:firstLineChars="200"/>
        <w:jc w:val="left"/>
        <w:rPr>
          <w:rFonts w:hint="eastAsia" w:ascii="宋体" w:hAnsi="宋体" w:cs="黑体"/>
          <w:color w:val="000000"/>
          <w:kern w:val="0"/>
          <w:sz w:val="32"/>
          <w:szCs w:val="32"/>
        </w:rPr>
      </w:pPr>
      <w:r>
        <w:rPr>
          <w:rFonts w:hint="eastAsia" w:ascii="宋体" w:hAnsi="宋体" w:cs="黑体"/>
          <w:color w:val="000000"/>
          <w:kern w:val="0"/>
          <w:sz w:val="32"/>
          <w:szCs w:val="32"/>
        </w:rPr>
        <w:t>一、“三公经费”是指因公出国（境）费用、公务用车购置及运行使用维护费、公务接待费等三项具体经费。</w:t>
      </w:r>
    </w:p>
    <w:p>
      <w:pPr>
        <w:ind w:firstLine="640" w:firstLineChars="200"/>
        <w:jc w:val="left"/>
        <w:rPr>
          <w:rFonts w:hint="default" w:ascii="宋体" w:hAnsi="宋体" w:eastAsia="宋体" w:cs="黑体"/>
          <w:color w:val="000000"/>
          <w:kern w:val="0"/>
          <w:sz w:val="32"/>
          <w:szCs w:val="32"/>
          <w:lang w:val="en-US" w:eastAsia="zh-CN"/>
        </w:rPr>
      </w:pPr>
      <w:r>
        <w:rPr>
          <w:rFonts w:hint="eastAsia" w:ascii="宋体" w:hAnsi="宋体" w:cs="黑体"/>
          <w:color w:val="000000"/>
          <w:kern w:val="0"/>
          <w:sz w:val="32"/>
          <w:szCs w:val="32"/>
        </w:rPr>
        <w:t>二、</w:t>
      </w:r>
      <w:r>
        <w:rPr>
          <w:rFonts w:hint="eastAsia" w:ascii="宋体" w:hAnsi="宋体" w:cs="黑体"/>
          <w:color w:val="000000"/>
          <w:kern w:val="0"/>
          <w:sz w:val="32"/>
          <w:szCs w:val="32"/>
          <w:lang w:eastAsia="zh-CN"/>
        </w:rPr>
        <w:t>“</w:t>
      </w:r>
      <w:r>
        <w:rPr>
          <w:rFonts w:hint="eastAsia" w:ascii="宋体" w:hAnsi="宋体" w:cs="黑体"/>
          <w:color w:val="000000"/>
          <w:kern w:val="0"/>
          <w:sz w:val="32"/>
          <w:szCs w:val="32"/>
          <w:lang w:val="en-US" w:eastAsia="zh-CN"/>
        </w:rPr>
        <w:t>会议费”是指会议住宿费、伙食费、会议场地租金、文件印刷费、交通费等。</w:t>
      </w:r>
    </w:p>
    <w:p>
      <w:pPr>
        <w:ind w:firstLine="640" w:firstLineChars="200"/>
        <w:jc w:val="left"/>
        <w:rPr>
          <w:rFonts w:ascii="宋体" w:hAnsi="宋体" w:cs="黑体"/>
          <w:color w:val="000000"/>
          <w:kern w:val="0"/>
          <w:sz w:val="32"/>
          <w:szCs w:val="32"/>
        </w:rPr>
      </w:pPr>
      <w:r>
        <w:rPr>
          <w:rFonts w:hint="eastAsia" w:ascii="宋体" w:hAnsi="宋体" w:cs="黑体"/>
          <w:color w:val="000000"/>
          <w:kern w:val="0"/>
          <w:sz w:val="32"/>
          <w:szCs w:val="32"/>
        </w:rPr>
        <w:t>三、</w:t>
      </w:r>
      <w:r>
        <w:rPr>
          <w:rFonts w:hint="eastAsia" w:ascii="宋体" w:hAnsi="宋体" w:cs="黑体"/>
          <w:color w:val="000000"/>
          <w:kern w:val="0"/>
          <w:sz w:val="32"/>
          <w:szCs w:val="32"/>
          <w:lang w:eastAsia="zh-CN"/>
        </w:rPr>
        <w:t>“</w:t>
      </w:r>
      <w:r>
        <w:rPr>
          <w:rFonts w:hint="eastAsia" w:ascii="宋体" w:hAnsi="宋体" w:cs="黑体"/>
          <w:color w:val="000000"/>
          <w:kern w:val="0"/>
          <w:sz w:val="32"/>
          <w:szCs w:val="32"/>
          <w:lang w:val="en-US" w:eastAsia="zh-CN"/>
        </w:rPr>
        <w:t>培训费”是指培训住宿费、伙食费、培训场地租金、培训资料印刷费、交通费等。</w:t>
      </w: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pStyle w:val="2"/>
        <w:jc w:val="center"/>
      </w:pPr>
      <w:r>
        <w:rPr>
          <w:rFonts w:hint="eastAsia"/>
        </w:rPr>
        <w:t>道县民政局2021年部门整体绩效自评报告</w:t>
      </w:r>
    </w:p>
    <w:p>
      <w:pPr>
        <w:numPr>
          <w:ilvl w:val="0"/>
          <w:numId w:val="4"/>
        </w:numPr>
        <w:spacing w:line="360" w:lineRule="auto"/>
        <w:rPr>
          <w:b/>
          <w:bCs/>
          <w:sz w:val="32"/>
          <w:szCs w:val="40"/>
        </w:rPr>
      </w:pPr>
      <w:r>
        <w:rPr>
          <w:rFonts w:hint="eastAsia"/>
          <w:b/>
          <w:bCs/>
          <w:sz w:val="32"/>
          <w:szCs w:val="40"/>
        </w:rPr>
        <w:t>基本情况</w:t>
      </w:r>
    </w:p>
    <w:p>
      <w:pPr>
        <w:numPr>
          <w:ilvl w:val="0"/>
          <w:numId w:val="5"/>
        </w:numPr>
        <w:spacing w:line="360" w:lineRule="auto"/>
        <w:ind w:left="210"/>
        <w:rPr>
          <w:sz w:val="28"/>
          <w:szCs w:val="36"/>
        </w:rPr>
      </w:pPr>
      <w:r>
        <w:rPr>
          <w:rFonts w:hint="eastAsia"/>
          <w:sz w:val="28"/>
          <w:szCs w:val="36"/>
        </w:rPr>
        <w:t>部门（单位）基本情况</w:t>
      </w:r>
    </w:p>
    <w:p>
      <w:pPr>
        <w:widowControl/>
        <w:spacing w:line="360" w:lineRule="auto"/>
        <w:rPr>
          <w:sz w:val="28"/>
          <w:szCs w:val="36"/>
        </w:rPr>
      </w:pPr>
      <w:r>
        <w:rPr>
          <w:rFonts w:hint="eastAsia"/>
          <w:sz w:val="28"/>
          <w:szCs w:val="36"/>
        </w:rPr>
        <w:t xml:space="preserve">   　1、职能职责</w:t>
      </w:r>
    </w:p>
    <w:p>
      <w:pPr>
        <w:widowControl/>
        <w:spacing w:line="360" w:lineRule="auto"/>
        <w:ind w:firstLine="560" w:firstLineChars="200"/>
        <w:rPr>
          <w:sz w:val="28"/>
          <w:szCs w:val="36"/>
        </w:rPr>
      </w:pPr>
      <w:r>
        <w:rPr>
          <w:rFonts w:hint="eastAsia"/>
          <w:sz w:val="28"/>
          <w:szCs w:val="36"/>
        </w:rPr>
        <w:t>困难群众生活救助、基层政权和社区建设、社会事务管理工作，健全城乡社会救助体系，负责城乡居民最低生活保障、特困供养、临时救助、生活无着人员救助等工作。</w:t>
      </w:r>
    </w:p>
    <w:p>
      <w:pPr>
        <w:widowControl/>
        <w:spacing w:line="360" w:lineRule="auto"/>
        <w:ind w:firstLine="560" w:firstLineChars="200"/>
        <w:rPr>
          <w:sz w:val="28"/>
          <w:szCs w:val="36"/>
        </w:rPr>
      </w:pPr>
      <w:r>
        <w:rPr>
          <w:rFonts w:hint="eastAsia"/>
          <w:sz w:val="28"/>
          <w:szCs w:val="36"/>
        </w:rPr>
        <w:t>2、机构设置</w:t>
      </w:r>
    </w:p>
    <w:p>
      <w:pPr>
        <w:widowControl/>
        <w:spacing w:line="360" w:lineRule="auto"/>
        <w:ind w:firstLine="560" w:firstLineChars="200"/>
        <w:rPr>
          <w:rFonts w:hint="eastAsia"/>
          <w:sz w:val="28"/>
          <w:szCs w:val="36"/>
        </w:rPr>
      </w:pPr>
      <w:r>
        <w:rPr>
          <w:rFonts w:hint="eastAsia"/>
          <w:sz w:val="28"/>
          <w:szCs w:val="36"/>
        </w:rPr>
        <w:t>本单位为正科级单位，局机关内设办公室、行政审批股、规划财务股、社会组织管理股、社会救助股、养老服务股等10个股室，下设社会事务管理中心社会福利院、慈善办、募办、救助站等机构。现有在职在编人员74人，其中行政编制16人，全额拨款事业编制58人，差额拨款事业编制14人；离退休人员53人。公务用车</w:t>
      </w:r>
      <w:r>
        <w:rPr>
          <w:rFonts w:hint="eastAsia"/>
          <w:sz w:val="28"/>
          <w:szCs w:val="36"/>
          <w:lang w:val="en-US" w:eastAsia="zh-CN"/>
        </w:rPr>
        <w:t>1</w:t>
      </w:r>
      <w:r>
        <w:rPr>
          <w:rFonts w:hint="eastAsia"/>
          <w:sz w:val="28"/>
          <w:szCs w:val="36"/>
        </w:rPr>
        <w:t>辆。</w:t>
      </w:r>
    </w:p>
    <w:p>
      <w:pPr>
        <w:numPr>
          <w:ilvl w:val="0"/>
          <w:numId w:val="5"/>
        </w:numPr>
        <w:spacing w:line="360" w:lineRule="auto"/>
        <w:ind w:left="210"/>
        <w:rPr>
          <w:sz w:val="28"/>
          <w:szCs w:val="36"/>
        </w:rPr>
      </w:pPr>
      <w:r>
        <w:rPr>
          <w:rFonts w:hint="eastAsia"/>
          <w:sz w:val="28"/>
          <w:szCs w:val="36"/>
        </w:rPr>
        <w:t>部门（单位）年度整体支出绩效目标</w:t>
      </w:r>
    </w:p>
    <w:p>
      <w:pPr>
        <w:spacing w:line="360" w:lineRule="auto"/>
        <w:ind w:firstLine="560" w:firstLineChars="200"/>
        <w:rPr>
          <w:sz w:val="28"/>
          <w:szCs w:val="36"/>
        </w:rPr>
      </w:pPr>
      <w:r>
        <w:rPr>
          <w:rFonts w:hint="eastAsia"/>
          <w:sz w:val="28"/>
          <w:szCs w:val="36"/>
        </w:rPr>
        <w:t xml:space="preserve">1、保障民生，完善社会救助工作，加强社会救助平台建设，进一步提高社会救助水平，续续推动城乡低保标准稳步提高。 </w:t>
      </w:r>
    </w:p>
    <w:p>
      <w:pPr>
        <w:spacing w:line="360" w:lineRule="auto"/>
        <w:ind w:firstLine="560" w:firstLineChars="200"/>
        <w:rPr>
          <w:sz w:val="28"/>
          <w:szCs w:val="36"/>
        </w:rPr>
      </w:pPr>
      <w:r>
        <w:rPr>
          <w:rFonts w:hint="eastAsia"/>
          <w:sz w:val="28"/>
          <w:szCs w:val="36"/>
        </w:rPr>
        <w:t>2、加强社会福利和促进慈善业发展，保障残疾人两补，孤儿生活保障金、高龄补贴及时按规定发放到位。</w:t>
      </w:r>
    </w:p>
    <w:p>
      <w:pPr>
        <w:spacing w:line="360" w:lineRule="auto"/>
        <w:ind w:firstLine="560" w:firstLineChars="200"/>
        <w:rPr>
          <w:sz w:val="28"/>
          <w:szCs w:val="36"/>
        </w:rPr>
      </w:pPr>
      <w:r>
        <w:rPr>
          <w:rFonts w:hint="eastAsia"/>
          <w:sz w:val="28"/>
          <w:szCs w:val="36"/>
        </w:rPr>
        <w:t>3、加强基层政权及社区建设，加强社会组织管理，加强区划地名和界线管理，进一步规范婚姻、收养登记工作。</w:t>
      </w:r>
    </w:p>
    <w:p>
      <w:pPr>
        <w:spacing w:line="360" w:lineRule="auto"/>
        <w:ind w:firstLine="560" w:firstLineChars="200"/>
        <w:rPr>
          <w:sz w:val="28"/>
          <w:szCs w:val="36"/>
        </w:rPr>
      </w:pPr>
      <w:r>
        <w:rPr>
          <w:rFonts w:hint="eastAsia"/>
          <w:sz w:val="28"/>
          <w:szCs w:val="36"/>
        </w:rPr>
        <w:t>4、提高民政综合能力建设。</w:t>
      </w:r>
    </w:p>
    <w:p>
      <w:pPr>
        <w:numPr>
          <w:ilvl w:val="0"/>
          <w:numId w:val="4"/>
        </w:numPr>
        <w:spacing w:line="360" w:lineRule="auto"/>
        <w:rPr>
          <w:b/>
          <w:bCs/>
          <w:sz w:val="32"/>
          <w:szCs w:val="32"/>
        </w:rPr>
      </w:pPr>
      <w:r>
        <w:rPr>
          <w:rFonts w:hint="eastAsia"/>
          <w:b/>
          <w:bCs/>
          <w:sz w:val="32"/>
          <w:szCs w:val="32"/>
        </w:rPr>
        <w:t>一般公共预算支出情况</w:t>
      </w:r>
    </w:p>
    <w:p>
      <w:pPr>
        <w:spacing w:line="360" w:lineRule="auto"/>
        <w:ind w:firstLine="560" w:firstLineChars="200"/>
        <w:rPr>
          <w:rFonts w:hint="eastAsia"/>
          <w:sz w:val="28"/>
          <w:szCs w:val="36"/>
        </w:rPr>
      </w:pPr>
      <w:r>
        <w:rPr>
          <w:rFonts w:hint="eastAsia"/>
          <w:sz w:val="28"/>
          <w:szCs w:val="36"/>
        </w:rPr>
        <w:t>2021年一般公共预算</w:t>
      </w:r>
      <w:r>
        <w:rPr>
          <w:rFonts w:hint="eastAsia"/>
          <w:sz w:val="28"/>
          <w:szCs w:val="36"/>
          <w:lang w:val="en-US" w:eastAsia="zh-CN"/>
        </w:rPr>
        <w:t>预算</w:t>
      </w:r>
      <w:r>
        <w:rPr>
          <w:rFonts w:hint="eastAsia"/>
          <w:sz w:val="28"/>
          <w:szCs w:val="36"/>
        </w:rPr>
        <w:t>拨款收入5583.34万元，具体安排情况如下：</w:t>
      </w:r>
    </w:p>
    <w:p>
      <w:pPr>
        <w:spacing w:line="360" w:lineRule="auto"/>
        <w:ind w:firstLine="560" w:firstLineChars="200"/>
        <w:rPr>
          <w:rFonts w:hint="eastAsia"/>
          <w:sz w:val="28"/>
          <w:szCs w:val="36"/>
        </w:rPr>
      </w:pPr>
      <w:r>
        <w:rPr>
          <w:rFonts w:hint="eastAsia"/>
          <w:sz w:val="28"/>
          <w:szCs w:val="36"/>
        </w:rPr>
        <w:t xml:space="preserve"> （一）基本支出情况：</w:t>
      </w:r>
    </w:p>
    <w:p>
      <w:pPr>
        <w:spacing w:line="360" w:lineRule="auto"/>
        <w:ind w:firstLine="560" w:firstLineChars="200"/>
        <w:rPr>
          <w:rFonts w:hint="eastAsia"/>
          <w:sz w:val="28"/>
          <w:szCs w:val="36"/>
        </w:rPr>
      </w:pPr>
      <w:r>
        <w:rPr>
          <w:rFonts w:hint="eastAsia"/>
          <w:sz w:val="28"/>
          <w:szCs w:val="36"/>
        </w:rPr>
        <w:t>2021年年初预算数为796.24万元，其中：行政运行支出682.24万元，一般行政管理事务支出114万元。</w:t>
      </w:r>
    </w:p>
    <w:p>
      <w:pPr>
        <w:spacing w:line="360" w:lineRule="auto"/>
        <w:ind w:firstLine="560" w:firstLineChars="200"/>
        <w:rPr>
          <w:rFonts w:hint="eastAsia"/>
          <w:sz w:val="28"/>
          <w:szCs w:val="36"/>
        </w:rPr>
      </w:pPr>
      <w:r>
        <w:rPr>
          <w:rFonts w:hint="eastAsia"/>
          <w:sz w:val="28"/>
          <w:szCs w:val="36"/>
        </w:rPr>
        <w:t>（二）项目支出情况：</w:t>
      </w:r>
    </w:p>
    <w:p>
      <w:pPr>
        <w:spacing w:line="360" w:lineRule="auto"/>
        <w:ind w:firstLine="560" w:firstLineChars="200"/>
        <w:rPr>
          <w:rFonts w:hint="eastAsia"/>
          <w:sz w:val="28"/>
          <w:szCs w:val="36"/>
        </w:rPr>
      </w:pPr>
      <w:r>
        <w:rPr>
          <w:rFonts w:hint="eastAsia"/>
          <w:sz w:val="28"/>
          <w:szCs w:val="36"/>
        </w:rPr>
        <w:t>2021年专项经费支出4787.1万元，其中：城市低保300万元，农村低保680万元，农村特困2500万元，孤儿生活补助290万元，百岁老人生活补助12万元,敬老院运转经费285.1万元,65岁以上养老服务补贴90万元，90-99岁高龄补贴240万元，殡葬补贴80万元，残疾人两项补贴207万元。</w:t>
      </w:r>
    </w:p>
    <w:p>
      <w:pPr>
        <w:numPr>
          <w:ilvl w:val="0"/>
          <w:numId w:val="4"/>
        </w:numPr>
        <w:spacing w:line="360" w:lineRule="auto"/>
        <w:rPr>
          <w:b/>
          <w:bCs/>
          <w:sz w:val="32"/>
          <w:szCs w:val="32"/>
        </w:rPr>
      </w:pPr>
      <w:r>
        <w:rPr>
          <w:rFonts w:hint="eastAsia"/>
          <w:b/>
          <w:bCs/>
          <w:sz w:val="32"/>
          <w:szCs w:val="32"/>
        </w:rPr>
        <w:t>政府性基金预算支出情况</w:t>
      </w:r>
    </w:p>
    <w:p>
      <w:pPr>
        <w:ind w:firstLine="560" w:firstLineChars="200"/>
        <w:rPr>
          <w:rFonts w:hint="eastAsia" w:ascii="仿宋" w:hAnsi="仿宋" w:eastAsia="仿宋" w:cs="仿宋"/>
          <w:sz w:val="32"/>
          <w:szCs w:val="32"/>
        </w:rPr>
      </w:pPr>
      <w:r>
        <w:rPr>
          <w:rFonts w:hint="eastAsia"/>
          <w:sz w:val="28"/>
          <w:szCs w:val="36"/>
        </w:rPr>
        <w:t>道县民政局2021年度无涉及政府性基金的预算支出。</w:t>
      </w:r>
    </w:p>
    <w:p>
      <w:pPr>
        <w:numPr>
          <w:ilvl w:val="0"/>
          <w:numId w:val="4"/>
        </w:numPr>
        <w:spacing w:line="360" w:lineRule="auto"/>
        <w:rPr>
          <w:b/>
          <w:bCs/>
          <w:sz w:val="32"/>
          <w:szCs w:val="32"/>
        </w:rPr>
      </w:pPr>
      <w:r>
        <w:rPr>
          <w:rFonts w:hint="eastAsia"/>
          <w:b/>
          <w:bCs/>
          <w:sz w:val="32"/>
          <w:szCs w:val="32"/>
        </w:rPr>
        <w:t>国有资本经营预算支出情况</w:t>
      </w:r>
    </w:p>
    <w:p>
      <w:pPr>
        <w:ind w:firstLine="560" w:firstLineChars="200"/>
        <w:rPr>
          <w:rFonts w:hint="eastAsia" w:ascii="仿宋" w:hAnsi="仿宋" w:eastAsia="仿宋" w:cs="仿宋"/>
          <w:sz w:val="32"/>
          <w:szCs w:val="32"/>
        </w:rPr>
      </w:pPr>
      <w:r>
        <w:rPr>
          <w:rFonts w:hint="eastAsia"/>
          <w:sz w:val="28"/>
          <w:szCs w:val="36"/>
        </w:rPr>
        <w:t>道县民政局2021年度无涉及国有资本经营的预算支出。</w:t>
      </w:r>
    </w:p>
    <w:p>
      <w:pPr>
        <w:numPr>
          <w:ilvl w:val="0"/>
          <w:numId w:val="4"/>
        </w:numPr>
        <w:spacing w:line="360" w:lineRule="auto"/>
        <w:rPr>
          <w:b/>
          <w:bCs/>
          <w:sz w:val="32"/>
          <w:szCs w:val="32"/>
        </w:rPr>
      </w:pPr>
      <w:r>
        <w:rPr>
          <w:rFonts w:hint="eastAsia"/>
          <w:b/>
          <w:bCs/>
          <w:sz w:val="32"/>
          <w:szCs w:val="32"/>
        </w:rPr>
        <w:t>社会保险基金预算支出情况</w:t>
      </w:r>
    </w:p>
    <w:p>
      <w:pPr>
        <w:spacing w:line="360" w:lineRule="auto"/>
        <w:ind w:left="210"/>
        <w:rPr>
          <w:rFonts w:hint="eastAsia"/>
          <w:sz w:val="28"/>
          <w:szCs w:val="36"/>
        </w:rPr>
      </w:pPr>
      <w:r>
        <w:rPr>
          <w:rFonts w:hint="eastAsia"/>
          <w:b/>
          <w:bCs/>
          <w:sz w:val="32"/>
          <w:szCs w:val="32"/>
        </w:rPr>
        <w:t xml:space="preserve"> </w:t>
      </w:r>
      <w:r>
        <w:rPr>
          <w:rFonts w:hint="eastAsia" w:ascii="仿宋" w:hAnsi="仿宋" w:eastAsia="仿宋" w:cs="仿宋"/>
          <w:sz w:val="32"/>
          <w:szCs w:val="32"/>
        </w:rPr>
        <w:t xml:space="preserve"> </w:t>
      </w:r>
      <w:r>
        <w:rPr>
          <w:rFonts w:hint="eastAsia"/>
          <w:sz w:val="28"/>
          <w:szCs w:val="36"/>
        </w:rPr>
        <w:t>道县民政局2021年无涉及社会保险基金预算支出。</w:t>
      </w:r>
    </w:p>
    <w:p>
      <w:pPr>
        <w:numPr>
          <w:ilvl w:val="0"/>
          <w:numId w:val="4"/>
        </w:numPr>
        <w:spacing w:line="360" w:lineRule="auto"/>
        <w:rPr>
          <w:b/>
          <w:bCs/>
          <w:sz w:val="32"/>
          <w:szCs w:val="32"/>
        </w:rPr>
      </w:pPr>
      <w:r>
        <w:rPr>
          <w:rFonts w:hint="eastAsia"/>
          <w:b/>
          <w:bCs/>
          <w:sz w:val="32"/>
          <w:szCs w:val="32"/>
        </w:rPr>
        <w:t>部门整体支出绩效情况</w:t>
      </w:r>
    </w:p>
    <w:p>
      <w:pPr>
        <w:spacing w:line="600" w:lineRule="exact"/>
        <w:ind w:firstLine="420" w:firstLineChars="200"/>
        <w:rPr>
          <w:rFonts w:hint="eastAsia"/>
          <w:sz w:val="28"/>
          <w:szCs w:val="36"/>
        </w:rPr>
      </w:pPr>
      <w:r>
        <w:rPr>
          <w:rFonts w:hint="eastAsia"/>
        </w:rPr>
        <w:t xml:space="preserve">    </w:t>
      </w:r>
      <w:r>
        <w:rPr>
          <w:rFonts w:hint="eastAsia"/>
          <w:sz w:val="28"/>
          <w:szCs w:val="36"/>
        </w:rPr>
        <w:t xml:space="preserve"> 大力加强城乡社区建设，扎实推进村居自治工作，稳步提高救助水平，实现农村低保制度和扶贫开发制度有效衔接，依法开展婚姻收养登记，积极做好流浪乞讨人员救助工作。</w:t>
      </w:r>
    </w:p>
    <w:p>
      <w:pPr>
        <w:keepNext w:val="0"/>
        <w:keepLines w:val="0"/>
        <w:pageBreakBefore w:val="0"/>
        <w:numPr>
          <w:ilvl w:val="0"/>
          <w:numId w:val="4"/>
        </w:numPr>
        <w:kinsoku/>
        <w:wordWrap/>
        <w:overflowPunct/>
        <w:topLinePunct w:val="0"/>
        <w:autoSpaceDE/>
        <w:autoSpaceDN/>
        <w:bidi w:val="0"/>
        <w:adjustRightInd/>
        <w:snapToGrid/>
        <w:spacing w:line="360" w:lineRule="auto"/>
        <w:ind w:left="210" w:leftChars="0" w:firstLine="0" w:firstLineChars="0"/>
        <w:textAlignment w:val="auto"/>
        <w:rPr>
          <w:rFonts w:hint="eastAsia"/>
          <w:b/>
          <w:bCs/>
          <w:sz w:val="32"/>
          <w:szCs w:val="32"/>
        </w:rPr>
      </w:pPr>
      <w:r>
        <w:rPr>
          <w:rFonts w:hint="eastAsia"/>
          <w:b/>
          <w:bCs/>
          <w:sz w:val="32"/>
          <w:szCs w:val="32"/>
        </w:rPr>
        <w:t>存在的问题及原因分析</w:t>
      </w:r>
    </w:p>
    <w:p>
      <w:pPr>
        <w:spacing w:line="600" w:lineRule="exact"/>
        <w:ind w:firstLine="560" w:firstLineChars="200"/>
        <w:rPr>
          <w:rFonts w:hint="eastAsia"/>
          <w:sz w:val="28"/>
          <w:szCs w:val="36"/>
        </w:rPr>
      </w:pPr>
      <w:r>
        <w:rPr>
          <w:rFonts w:hint="eastAsia"/>
          <w:sz w:val="28"/>
          <w:szCs w:val="36"/>
          <w:lang w:eastAsia="zh-CN"/>
        </w:rPr>
        <w:t>（</w:t>
      </w:r>
      <w:r>
        <w:rPr>
          <w:rFonts w:hint="eastAsia"/>
          <w:sz w:val="28"/>
          <w:szCs w:val="36"/>
          <w:lang w:val="en-US" w:eastAsia="zh-CN"/>
        </w:rPr>
        <w:t>一</w:t>
      </w:r>
      <w:r>
        <w:rPr>
          <w:rFonts w:hint="eastAsia"/>
          <w:sz w:val="28"/>
          <w:szCs w:val="36"/>
          <w:lang w:eastAsia="zh-CN"/>
        </w:rPr>
        <w:t>）</w:t>
      </w:r>
      <w:r>
        <w:rPr>
          <w:rFonts w:hint="eastAsia"/>
          <w:sz w:val="28"/>
          <w:szCs w:val="36"/>
        </w:rPr>
        <w:t>存在的问题和困难</w:t>
      </w:r>
    </w:p>
    <w:p>
      <w:pPr>
        <w:spacing w:line="600" w:lineRule="exact"/>
        <w:ind w:firstLine="560" w:firstLineChars="200"/>
        <w:rPr>
          <w:rFonts w:hint="eastAsia"/>
          <w:sz w:val="28"/>
          <w:szCs w:val="36"/>
        </w:rPr>
      </w:pPr>
      <w:r>
        <w:rPr>
          <w:rFonts w:hint="eastAsia"/>
          <w:sz w:val="28"/>
          <w:szCs w:val="36"/>
        </w:rPr>
        <w:t>1、家庭经济核对信息化程度不高，城乡低保精准认定有一定难度，造成部分已享受低保对象难以清退。</w:t>
      </w:r>
    </w:p>
    <w:p>
      <w:pPr>
        <w:spacing w:line="600" w:lineRule="exact"/>
        <w:ind w:firstLine="560" w:firstLineChars="200"/>
        <w:rPr>
          <w:rFonts w:hint="eastAsia"/>
          <w:sz w:val="28"/>
          <w:szCs w:val="36"/>
        </w:rPr>
      </w:pPr>
      <w:r>
        <w:rPr>
          <w:rFonts w:hint="eastAsia"/>
          <w:sz w:val="28"/>
          <w:szCs w:val="36"/>
        </w:rPr>
        <w:t>2、资金压力大。</w:t>
      </w:r>
    </w:p>
    <w:p>
      <w:pPr>
        <w:spacing w:line="600" w:lineRule="exact"/>
        <w:ind w:firstLine="560" w:firstLineChars="200"/>
        <w:rPr>
          <w:rFonts w:hint="eastAsia"/>
          <w:sz w:val="28"/>
          <w:szCs w:val="36"/>
        </w:rPr>
      </w:pPr>
      <w:r>
        <w:rPr>
          <w:rFonts w:hint="eastAsia"/>
          <w:sz w:val="28"/>
          <w:szCs w:val="36"/>
        </w:rPr>
        <w:t>（二）建议</w:t>
      </w:r>
    </w:p>
    <w:p>
      <w:pPr>
        <w:spacing w:line="600" w:lineRule="exact"/>
        <w:ind w:firstLine="560" w:firstLineChars="200"/>
        <w:rPr>
          <w:rFonts w:hint="eastAsia"/>
          <w:sz w:val="28"/>
          <w:szCs w:val="36"/>
        </w:rPr>
      </w:pPr>
      <w:r>
        <w:rPr>
          <w:rFonts w:hint="eastAsia"/>
          <w:sz w:val="28"/>
          <w:szCs w:val="36"/>
        </w:rPr>
        <w:t>1、加大资金投入。请上级部门加大对社会保障资金的投入，全面提高救助标准，让弱势群体最基本的生活医疗得到有效保障。</w:t>
      </w:r>
    </w:p>
    <w:p>
      <w:pPr>
        <w:spacing w:line="600" w:lineRule="exact"/>
        <w:ind w:firstLine="560" w:firstLineChars="200"/>
        <w:rPr>
          <w:rFonts w:hint="eastAsia"/>
          <w:sz w:val="28"/>
          <w:szCs w:val="36"/>
        </w:rPr>
      </w:pPr>
      <w:r>
        <w:rPr>
          <w:rFonts w:hint="eastAsia"/>
          <w:sz w:val="28"/>
          <w:szCs w:val="36"/>
        </w:rPr>
        <w:t>2、加大民政项目建设资金的投入。民政的项目建设（如乡镇敬老院建设）都是关系民生的重点项目，也是上级考核的重要指标，但是依靠当地政府是不可能有资金投入，所有敬老院的建设、设施配备都需要大量的资金投入，希望上级部门加大对民政养老项目建设的投入，让特困人员群体享受最基本人保障。</w:t>
      </w:r>
    </w:p>
    <w:p>
      <w:pPr>
        <w:spacing w:line="600" w:lineRule="exact"/>
        <w:ind w:firstLine="560" w:firstLineChars="200"/>
        <w:rPr>
          <w:rFonts w:hint="eastAsia"/>
          <w:sz w:val="28"/>
          <w:szCs w:val="36"/>
        </w:rPr>
      </w:pPr>
    </w:p>
    <w:p>
      <w:pPr>
        <w:spacing w:line="600" w:lineRule="exact"/>
        <w:ind w:firstLine="560" w:firstLineChars="200"/>
        <w:rPr>
          <w:rFonts w:hint="eastAsia"/>
          <w:sz w:val="28"/>
          <w:szCs w:val="36"/>
        </w:rPr>
      </w:pPr>
      <w:r>
        <w:rPr>
          <w:rFonts w:hint="eastAsia"/>
          <w:sz w:val="28"/>
          <w:szCs w:val="36"/>
        </w:rPr>
        <w:t xml:space="preserve">                                        道县民政局</w:t>
      </w:r>
    </w:p>
    <w:p>
      <w:pPr>
        <w:spacing w:line="600" w:lineRule="exact"/>
        <w:ind w:firstLine="560" w:firstLineChars="200"/>
        <w:rPr>
          <w:rFonts w:hint="eastAsia"/>
          <w:sz w:val="28"/>
          <w:szCs w:val="36"/>
        </w:rPr>
      </w:pPr>
      <w:r>
        <w:rPr>
          <w:rFonts w:hint="eastAsia"/>
          <w:sz w:val="28"/>
          <w:szCs w:val="36"/>
        </w:rPr>
        <w:t xml:space="preserve">                                       202</w:t>
      </w:r>
      <w:r>
        <w:rPr>
          <w:rFonts w:hint="eastAsia"/>
          <w:sz w:val="28"/>
          <w:szCs w:val="36"/>
          <w:lang w:val="en-US" w:eastAsia="zh-CN"/>
        </w:rPr>
        <w:t>1</w:t>
      </w:r>
      <w:r>
        <w:rPr>
          <w:rFonts w:hint="eastAsia"/>
          <w:sz w:val="28"/>
          <w:szCs w:val="36"/>
        </w:rPr>
        <w:t>年06月02号</w:t>
      </w:r>
    </w:p>
    <w:p>
      <w:pPr>
        <w:ind w:firstLine="640" w:firstLineChars="200"/>
        <w:jc w:val="left"/>
        <w:rPr>
          <w:rFonts w:ascii="宋体" w:hAnsi="宋体" w:cs="黑体"/>
          <w:color w:val="000000"/>
          <w:kern w:val="0"/>
          <w:sz w:val="32"/>
          <w:szCs w:val="32"/>
        </w:rPr>
      </w:pPr>
    </w:p>
    <w:sectPr>
      <w:pgSz w:w="11906" w:h="16838"/>
      <w:pgMar w:top="720" w:right="720" w:bottom="720" w:left="720"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7CB153"/>
    <w:multiLevelType w:val="singleLevel"/>
    <w:tmpl w:val="9B7CB153"/>
    <w:lvl w:ilvl="0" w:tentative="0">
      <w:start w:val="3"/>
      <w:numFmt w:val="decimal"/>
      <w:suff w:val="nothing"/>
      <w:lvlText w:val="%1、"/>
      <w:lvlJc w:val="left"/>
    </w:lvl>
  </w:abstractNum>
  <w:abstractNum w:abstractNumId="1">
    <w:nsid w:val="C6F102A6"/>
    <w:multiLevelType w:val="singleLevel"/>
    <w:tmpl w:val="C6F102A6"/>
    <w:lvl w:ilvl="0" w:tentative="0">
      <w:start w:val="1"/>
      <w:numFmt w:val="chineseCounting"/>
      <w:suff w:val="nothing"/>
      <w:lvlText w:val="%1、"/>
      <w:lvlJc w:val="left"/>
      <w:pPr>
        <w:ind w:left="210" w:firstLine="0"/>
      </w:pPr>
      <w:rPr>
        <w:rFonts w:hint="eastAsia"/>
      </w:rPr>
    </w:lvl>
  </w:abstractNum>
  <w:abstractNum w:abstractNumId="2">
    <w:nsid w:val="E5833758"/>
    <w:multiLevelType w:val="singleLevel"/>
    <w:tmpl w:val="E5833758"/>
    <w:lvl w:ilvl="0" w:tentative="0">
      <w:start w:val="1"/>
      <w:numFmt w:val="decimal"/>
      <w:lvlText w:val="%1."/>
      <w:lvlJc w:val="left"/>
      <w:pPr>
        <w:tabs>
          <w:tab w:val="left" w:pos="312"/>
        </w:tabs>
      </w:pPr>
    </w:lvl>
  </w:abstractNum>
  <w:abstractNum w:abstractNumId="3">
    <w:nsid w:val="25980DB8"/>
    <w:multiLevelType w:val="singleLevel"/>
    <w:tmpl w:val="25980DB8"/>
    <w:lvl w:ilvl="0" w:tentative="0">
      <w:start w:val="1"/>
      <w:numFmt w:val="chineseCounting"/>
      <w:suff w:val="nothing"/>
      <w:lvlText w:val="（%1）"/>
      <w:lvlJc w:val="left"/>
      <w:rPr>
        <w:rFonts w:hint="eastAsia"/>
      </w:rPr>
    </w:lvl>
  </w:abstractNum>
  <w:abstractNum w:abstractNumId="4">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WE3YTE2NWIwYjFhMDQ0MmViZDRlYjYwZmFmMjQ1ZmY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113047CF"/>
    <w:rsid w:val="1F7029F4"/>
    <w:rsid w:val="21E21E7F"/>
    <w:rsid w:val="224A0F6E"/>
    <w:rsid w:val="27AA6A5A"/>
    <w:rsid w:val="34C915DD"/>
    <w:rsid w:val="34CB6886"/>
    <w:rsid w:val="442D3790"/>
    <w:rsid w:val="49B769F4"/>
    <w:rsid w:val="49C216DD"/>
    <w:rsid w:val="4B9648EC"/>
    <w:rsid w:val="4C2A11B0"/>
    <w:rsid w:val="4E4C0585"/>
    <w:rsid w:val="59987F3E"/>
    <w:rsid w:val="59D2726A"/>
    <w:rsid w:val="620D6A4A"/>
    <w:rsid w:val="6F3724EE"/>
    <w:rsid w:val="75EE2D2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Balloon Text"/>
    <w:basedOn w:val="1"/>
    <w:link w:val="8"/>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批注框文本 Char"/>
    <w:basedOn w:val="7"/>
    <w:link w:val="3"/>
    <w:semiHidden/>
    <w:qFormat/>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页眉 Char"/>
    <w:basedOn w:val="7"/>
    <w:link w:val="5"/>
    <w:qFormat/>
    <w:uiPriority w:val="99"/>
    <w:rPr>
      <w:sz w:val="18"/>
      <w:szCs w:val="18"/>
    </w:rPr>
  </w:style>
  <w:style w:type="paragraph" w:customStyle="1" w:styleId="11">
    <w:name w:val="Default"/>
    <w:qFormat/>
    <w:uiPriority w:val="0"/>
    <w:pPr>
      <w:widowControl w:val="0"/>
      <w:autoSpaceDE w:val="0"/>
      <w:autoSpaceDN w:val="0"/>
      <w:adjustRightInd w:val="0"/>
    </w:pPr>
    <w:rPr>
      <w:rFonts w:ascii="黑体" w:hAnsi="Calibri" w:eastAsia="黑体" w:cs="黑体"/>
      <w:color w:val="000000"/>
      <w:kern w:val="0"/>
      <w:sz w:val="24"/>
      <w:szCs w:val="24"/>
      <w:lang w:val="en-US" w:eastAsia="zh-CN" w:bidi="ar-SA"/>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35</Pages>
  <Words>9679</Words>
  <Characters>12672</Characters>
  <Lines>69</Lines>
  <Paragraphs>19</Paragraphs>
  <TotalTime>0</TotalTime>
  <ScaleCrop>false</ScaleCrop>
  <LinksUpToDate>false</LinksUpToDate>
  <CharactersWithSpaces>13892</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2022-07-27T12:55:00Z</cp:lastPrinted>
  <dcterms:modified xsi:type="dcterms:W3CDTF">2023-09-28T05:57:54Z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544B38419D0F415FA27C466296AD9B96_13</vt:lpwstr>
  </property>
</Properties>
</file>