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jc w:val="center"/>
        <w:rPr>
          <w:sz w:val="56"/>
          <w:szCs w:val="56"/>
        </w:rPr>
      </w:pPr>
    </w:p>
    <w:p>
      <w:pPr>
        <w:pStyle w:val="13"/>
        <w:jc w:val="center"/>
        <w:rPr>
          <w:sz w:val="56"/>
          <w:szCs w:val="56"/>
        </w:rPr>
      </w:pPr>
    </w:p>
    <w:p>
      <w:pPr>
        <w:pStyle w:val="13"/>
        <w:jc w:val="center"/>
        <w:rPr>
          <w:sz w:val="84"/>
          <w:szCs w:val="84"/>
        </w:rPr>
      </w:pPr>
    </w:p>
    <w:p>
      <w:pPr>
        <w:pStyle w:val="13"/>
        <w:jc w:val="center"/>
        <w:rPr>
          <w:sz w:val="84"/>
          <w:szCs w:val="84"/>
        </w:rPr>
      </w:pPr>
    </w:p>
    <w:p>
      <w:pPr>
        <w:pStyle w:val="13"/>
        <w:jc w:val="center"/>
        <w:rPr>
          <w:sz w:val="84"/>
          <w:szCs w:val="84"/>
        </w:rPr>
      </w:pPr>
      <w:r>
        <w:rPr>
          <w:rFonts w:hint="eastAsia"/>
          <w:sz w:val="84"/>
          <w:szCs w:val="84"/>
        </w:rPr>
        <w:t>2021年度</w:t>
      </w:r>
    </w:p>
    <w:p>
      <w:pPr>
        <w:pStyle w:val="13"/>
        <w:jc w:val="center"/>
        <w:rPr>
          <w:sz w:val="84"/>
          <w:szCs w:val="84"/>
        </w:rPr>
      </w:pPr>
      <w:r>
        <w:rPr>
          <w:rFonts w:hint="eastAsia"/>
          <w:sz w:val="84"/>
          <w:szCs w:val="84"/>
        </w:rPr>
        <w:t>湖南月岩国家森林公园管理局部门决算</w:t>
      </w:r>
    </w:p>
    <w:p>
      <w:pPr>
        <w:pStyle w:val="13"/>
        <w:jc w:val="center"/>
        <w:rPr>
          <w:sz w:val="56"/>
          <w:szCs w:val="56"/>
        </w:rPr>
      </w:pPr>
    </w:p>
    <w:p>
      <w:pPr>
        <w:pStyle w:val="13"/>
        <w:jc w:val="center"/>
        <w:rPr>
          <w:sz w:val="56"/>
          <w:szCs w:val="56"/>
        </w:rPr>
      </w:pPr>
    </w:p>
    <w:p>
      <w:pPr>
        <w:pStyle w:val="13"/>
        <w:jc w:val="center"/>
        <w:rPr>
          <w:sz w:val="56"/>
          <w:szCs w:val="56"/>
        </w:rPr>
      </w:pPr>
    </w:p>
    <w:p>
      <w:pPr>
        <w:pStyle w:val="13"/>
        <w:jc w:val="center"/>
        <w:rPr>
          <w:sz w:val="56"/>
          <w:szCs w:val="56"/>
        </w:rPr>
      </w:pPr>
    </w:p>
    <w:p>
      <w:pPr>
        <w:pStyle w:val="13"/>
        <w:jc w:val="both"/>
        <w:rPr>
          <w:sz w:val="32"/>
          <w:szCs w:val="32"/>
        </w:rPr>
      </w:pPr>
    </w:p>
    <w:p>
      <w:pPr>
        <w:pStyle w:val="13"/>
        <w:jc w:val="both"/>
        <w:rPr>
          <w:sz w:val="32"/>
          <w:szCs w:val="32"/>
        </w:rPr>
      </w:pPr>
    </w:p>
    <w:p>
      <w:pPr>
        <w:pStyle w:val="13"/>
        <w:jc w:val="both"/>
        <w:rPr>
          <w:sz w:val="32"/>
          <w:szCs w:val="32"/>
        </w:rPr>
      </w:pPr>
    </w:p>
    <w:p>
      <w:pPr>
        <w:pStyle w:val="13"/>
        <w:spacing w:line="540" w:lineRule="exact"/>
        <w:jc w:val="center"/>
        <w:rPr>
          <w:sz w:val="56"/>
          <w:szCs w:val="56"/>
        </w:rPr>
      </w:pPr>
    </w:p>
    <w:p>
      <w:pPr>
        <w:pStyle w:val="13"/>
        <w:spacing w:line="500" w:lineRule="exact"/>
        <w:jc w:val="center"/>
        <w:rPr>
          <w:b/>
          <w:sz w:val="36"/>
          <w:szCs w:val="28"/>
        </w:rPr>
      </w:pPr>
    </w:p>
    <w:p>
      <w:pPr>
        <w:pStyle w:val="13"/>
        <w:spacing w:line="500" w:lineRule="exact"/>
        <w:jc w:val="center"/>
        <w:rPr>
          <w:b/>
          <w:sz w:val="36"/>
          <w:szCs w:val="28"/>
        </w:rPr>
      </w:pPr>
    </w:p>
    <w:p>
      <w:pPr>
        <w:pStyle w:val="13"/>
        <w:spacing w:line="500" w:lineRule="exact"/>
        <w:jc w:val="center"/>
        <w:rPr>
          <w:b/>
          <w:sz w:val="36"/>
          <w:szCs w:val="28"/>
        </w:rPr>
      </w:pPr>
      <w:r>
        <w:rPr>
          <w:rFonts w:hint="eastAsia"/>
          <w:b/>
          <w:sz w:val="36"/>
          <w:szCs w:val="28"/>
        </w:rPr>
        <w:t>目录</w:t>
      </w:r>
    </w:p>
    <w:p>
      <w:pPr>
        <w:pStyle w:val="13"/>
        <w:spacing w:line="500" w:lineRule="exact"/>
        <w:rPr>
          <w:rFonts w:ascii="仿宋_GB2312" w:hAnsi="仿宋_GB2312" w:cs="仿宋_GB2312"/>
          <w:b/>
          <w:sz w:val="28"/>
          <w:szCs w:val="28"/>
        </w:rPr>
      </w:pPr>
      <w:r>
        <w:rPr>
          <w:rFonts w:hint="eastAsia"/>
          <w:b/>
          <w:sz w:val="28"/>
          <w:szCs w:val="28"/>
        </w:rPr>
        <w:t>第一部分</w:t>
      </w:r>
      <w:r>
        <w:rPr>
          <w:rFonts w:hint="eastAsia"/>
          <w:b/>
          <w:sz w:val="28"/>
          <w:szCs w:val="28"/>
          <w:lang w:val="en-US" w:eastAsia="zh-CN"/>
        </w:rPr>
        <w:t>湖南月岩国家森林公园管理局</w:t>
      </w:r>
      <w:r>
        <w:rPr>
          <w:rFonts w:hint="eastAsia"/>
          <w:b/>
          <w:sz w:val="28"/>
          <w:szCs w:val="28"/>
        </w:rPr>
        <w:t>单位概况</w:t>
      </w:r>
    </w:p>
    <w:p>
      <w:pPr>
        <w:pStyle w:val="13"/>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一、部门职责</w:t>
      </w:r>
    </w:p>
    <w:p>
      <w:pPr>
        <w:pStyle w:val="13"/>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二、机构设置</w:t>
      </w:r>
    </w:p>
    <w:p>
      <w:pPr>
        <w:pStyle w:val="13"/>
        <w:spacing w:line="500" w:lineRule="exact"/>
        <w:rPr>
          <w:rFonts w:ascii="仿宋_GB2312" w:hAnsi="仿宋_GB2312" w:cs="仿宋_GB2312"/>
          <w:b/>
          <w:sz w:val="28"/>
          <w:szCs w:val="28"/>
        </w:rPr>
      </w:pPr>
      <w:r>
        <w:rPr>
          <w:rFonts w:hint="eastAsia" w:hAnsi="仿宋_GB2312"/>
          <w:b/>
          <w:sz w:val="28"/>
          <w:szCs w:val="28"/>
        </w:rPr>
        <w:t>第二部分</w:t>
      </w:r>
      <w:r>
        <w:rPr>
          <w:rFonts w:hAnsi="仿宋_GB2312"/>
          <w:b/>
          <w:sz w:val="28"/>
          <w:szCs w:val="28"/>
        </w:rPr>
        <w:t>20</w:t>
      </w:r>
      <w:r>
        <w:rPr>
          <w:rFonts w:hint="eastAsia" w:hAnsi="仿宋_GB2312"/>
          <w:b/>
          <w:sz w:val="28"/>
          <w:szCs w:val="28"/>
        </w:rPr>
        <w:t>21年度部门决算表</w:t>
      </w:r>
    </w:p>
    <w:p>
      <w:pPr>
        <w:pStyle w:val="13"/>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一、收入支出决算总表</w:t>
      </w:r>
    </w:p>
    <w:p>
      <w:pPr>
        <w:pStyle w:val="13"/>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二、收入决算表</w:t>
      </w:r>
    </w:p>
    <w:p>
      <w:pPr>
        <w:pStyle w:val="13"/>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三、支出决算表</w:t>
      </w:r>
    </w:p>
    <w:p>
      <w:pPr>
        <w:pStyle w:val="13"/>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四、财政拨款收入支出决算总表</w:t>
      </w:r>
    </w:p>
    <w:p>
      <w:pPr>
        <w:pStyle w:val="13"/>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五、一般公共预算财政拨款支出决算表</w:t>
      </w:r>
    </w:p>
    <w:p>
      <w:pPr>
        <w:pStyle w:val="13"/>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六、一般公共预算财政拨款基本支出决算</w:t>
      </w:r>
      <w:r>
        <w:rPr>
          <w:rFonts w:hint="eastAsia" w:cs="仿宋_GB2312" w:asciiTheme="minorEastAsia" w:hAnsiTheme="minorEastAsia" w:eastAsiaTheme="minorEastAsia"/>
          <w:sz w:val="28"/>
          <w:szCs w:val="28"/>
        </w:rPr>
        <w:t>明细</w:t>
      </w:r>
      <w:r>
        <w:rPr>
          <w:rFonts w:cs="仿宋_GB2312" w:asciiTheme="minorEastAsia" w:hAnsiTheme="minorEastAsia" w:eastAsiaTheme="minorEastAsia"/>
          <w:sz w:val="28"/>
          <w:szCs w:val="28"/>
        </w:rPr>
        <w:t>表</w:t>
      </w:r>
    </w:p>
    <w:p>
      <w:pPr>
        <w:pStyle w:val="13"/>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七、一般公共预算财政拨款“三公”经费支出决算表</w:t>
      </w:r>
    </w:p>
    <w:p>
      <w:pPr>
        <w:pStyle w:val="13"/>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八、政府性基金预算财政拨款收入支出决算表</w:t>
      </w:r>
    </w:p>
    <w:p>
      <w:pPr>
        <w:pStyle w:val="13"/>
        <w:spacing w:line="500" w:lineRule="exact"/>
        <w:ind w:firstLine="700" w:firstLineChars="25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九、国有资本经营预算财政拨款支出决算表</w:t>
      </w:r>
    </w:p>
    <w:p>
      <w:pPr>
        <w:pStyle w:val="13"/>
        <w:spacing w:line="500" w:lineRule="exact"/>
        <w:rPr>
          <w:rFonts w:ascii="仿宋_GB2312" w:hAnsi="仿宋_GB2312" w:cs="仿宋_GB2312"/>
          <w:b/>
          <w:sz w:val="28"/>
          <w:szCs w:val="28"/>
        </w:rPr>
      </w:pPr>
      <w:r>
        <w:rPr>
          <w:rFonts w:hint="eastAsia" w:hAnsi="仿宋_GB2312"/>
          <w:b/>
          <w:sz w:val="28"/>
          <w:szCs w:val="28"/>
        </w:rPr>
        <w:t>第三部分</w:t>
      </w:r>
      <w:r>
        <w:rPr>
          <w:rFonts w:hAnsi="仿宋_GB2312"/>
          <w:b/>
          <w:sz w:val="28"/>
          <w:szCs w:val="28"/>
        </w:rPr>
        <w:t>20</w:t>
      </w:r>
      <w:r>
        <w:rPr>
          <w:rFonts w:hint="eastAsia" w:hAnsi="仿宋_GB2312"/>
          <w:b/>
          <w:sz w:val="28"/>
          <w:szCs w:val="28"/>
        </w:rPr>
        <w:t>21年度部门决算情况说明</w:t>
      </w:r>
    </w:p>
    <w:p>
      <w:pPr>
        <w:pStyle w:val="13"/>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一、收入支出决算总体情况说明</w:t>
      </w:r>
    </w:p>
    <w:p>
      <w:pPr>
        <w:spacing w:line="500" w:lineRule="exact"/>
        <w:ind w:firstLine="700" w:firstLineChars="250"/>
        <w:jc w:val="left"/>
        <w:rPr>
          <w:rFonts w:ascii="仿宋_GB2312" w:hAnsi="仿宋_GB2312" w:cs="仿宋_GB2312"/>
          <w:sz w:val="28"/>
          <w:szCs w:val="28"/>
        </w:rPr>
      </w:pPr>
      <w:r>
        <w:rPr>
          <w:rFonts w:ascii="仿宋_GB2312" w:hAnsi="仿宋_GB2312" w:cs="仿宋_GB2312"/>
          <w:sz w:val="28"/>
          <w:szCs w:val="28"/>
        </w:rPr>
        <w:t>二、收入决算情况说明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三公</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经费支出决算情况说明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九</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机关运行经费支出说明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十、一般性支出情况说明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十一、政府采购支出说明</w:t>
      </w:r>
    </w:p>
    <w:p>
      <w:pPr>
        <w:pStyle w:val="13"/>
        <w:spacing w:line="500" w:lineRule="exact"/>
        <w:ind w:firstLine="700" w:firstLineChars="250"/>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十二、国有资产占用情况说明</w:t>
      </w:r>
    </w:p>
    <w:p>
      <w:pPr>
        <w:pStyle w:val="13"/>
        <w:spacing w:line="500" w:lineRule="exact"/>
        <w:ind w:firstLine="700" w:firstLineChars="250"/>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十三、</w:t>
      </w:r>
      <w:r>
        <w:rPr>
          <w:rFonts w:hint="eastAsia" w:cs="仿宋_GB2312" w:asciiTheme="minorEastAsia" w:hAnsiTheme="minorEastAsia" w:eastAsiaTheme="minorEastAsia"/>
          <w:sz w:val="28"/>
          <w:szCs w:val="28"/>
        </w:rPr>
        <w:t>2021年</w:t>
      </w:r>
      <w:r>
        <w:rPr>
          <w:rFonts w:hint="eastAsia" w:ascii="仿宋_GB2312" w:hAnsi="仿宋_GB2312" w:cs="仿宋_GB2312" w:eastAsiaTheme="minorEastAsia"/>
          <w:sz w:val="28"/>
          <w:szCs w:val="28"/>
        </w:rPr>
        <w:t>度预算绩效情况说明</w:t>
      </w:r>
    </w:p>
    <w:p>
      <w:pPr>
        <w:autoSpaceDE w:val="0"/>
        <w:autoSpaceDN w:val="0"/>
        <w:adjustRightInd w:val="0"/>
        <w:spacing w:line="500" w:lineRule="exact"/>
        <w:jc w:val="left"/>
        <w:rPr>
          <w:rFonts w:ascii="黑体" w:hAnsi="黑体" w:eastAsia="黑体" w:cs="黑体"/>
          <w:b/>
          <w:color w:val="000000"/>
          <w:kern w:val="0"/>
          <w:sz w:val="28"/>
          <w:szCs w:val="28"/>
        </w:rPr>
      </w:pPr>
      <w:r>
        <w:rPr>
          <w:rFonts w:ascii="黑体" w:hAnsi="黑体" w:eastAsia="黑体" w:cs="黑体"/>
          <w:b/>
          <w:color w:val="000000"/>
          <w:kern w:val="0"/>
          <w:sz w:val="28"/>
          <w:szCs w:val="28"/>
        </w:rPr>
        <w:t>第四部分名词解释</w:t>
      </w:r>
    </w:p>
    <w:p>
      <w:pPr>
        <w:autoSpaceDE w:val="0"/>
        <w:autoSpaceDN w:val="0"/>
        <w:adjustRightInd w:val="0"/>
        <w:spacing w:line="500" w:lineRule="exact"/>
        <w:jc w:val="left"/>
        <w:rPr>
          <w:rFonts w:ascii="黑体" w:hAnsi="黑体" w:eastAsia="黑体" w:cs="仿宋_GB2312"/>
          <w:b/>
          <w:color w:val="000000"/>
          <w:kern w:val="0"/>
          <w:sz w:val="28"/>
          <w:szCs w:val="28"/>
        </w:rPr>
      </w:pPr>
      <w:r>
        <w:rPr>
          <w:rFonts w:hint="eastAsia" w:ascii="黑体" w:hAnsi="黑体" w:eastAsia="黑体" w:cs="黑体"/>
          <w:b/>
          <w:color w:val="000000"/>
          <w:kern w:val="0"/>
          <w:sz w:val="28"/>
          <w:szCs w:val="28"/>
        </w:rPr>
        <w:t>第五部分附件</w:t>
      </w:r>
    </w:p>
    <w:p>
      <w:pPr>
        <w:jc w:val="center"/>
        <w:rPr>
          <w:sz w:val="72"/>
          <w:szCs w:val="72"/>
        </w:rPr>
      </w:pPr>
    </w:p>
    <w:p>
      <w:pPr>
        <w:jc w:val="center"/>
        <w:rPr>
          <w:sz w:val="72"/>
          <w:szCs w:val="72"/>
        </w:rPr>
      </w:pPr>
    </w:p>
    <w:p>
      <w:pPr>
        <w:jc w:val="center"/>
        <w:rPr>
          <w:sz w:val="72"/>
          <w:szCs w:val="72"/>
        </w:rPr>
      </w:pPr>
    </w:p>
    <w:p>
      <w:pPr>
        <w:jc w:val="center"/>
        <w:rPr>
          <w:sz w:val="72"/>
          <w:szCs w:val="72"/>
        </w:rPr>
      </w:pPr>
    </w:p>
    <w:p>
      <w:pPr>
        <w:rPr>
          <w:sz w:val="72"/>
          <w:szCs w:val="72"/>
        </w:rPr>
      </w:pPr>
    </w:p>
    <w:p>
      <w:pPr>
        <w:pStyle w:val="13"/>
        <w:jc w:val="center"/>
        <w:rPr>
          <w:sz w:val="84"/>
          <w:szCs w:val="84"/>
        </w:rPr>
      </w:pPr>
      <w:r>
        <w:rPr>
          <w:rFonts w:hint="eastAsia"/>
          <w:sz w:val="84"/>
          <w:szCs w:val="84"/>
        </w:rPr>
        <w:t>第一部分</w:t>
      </w:r>
    </w:p>
    <w:p>
      <w:pPr>
        <w:pStyle w:val="13"/>
        <w:jc w:val="center"/>
        <w:rPr>
          <w:sz w:val="84"/>
          <w:szCs w:val="84"/>
        </w:rPr>
      </w:pPr>
    </w:p>
    <w:p>
      <w:pPr>
        <w:pStyle w:val="13"/>
        <w:jc w:val="center"/>
        <w:rPr>
          <w:sz w:val="84"/>
          <w:szCs w:val="84"/>
        </w:rPr>
      </w:pPr>
      <w:r>
        <w:rPr>
          <w:rFonts w:hint="eastAsia"/>
          <w:sz w:val="84"/>
          <w:szCs w:val="84"/>
        </w:rPr>
        <w:t>湖南月岩国家森林公园管理局单位概况</w:t>
      </w:r>
    </w:p>
    <w:p>
      <w:pPr>
        <w:jc w:val="center"/>
        <w:rPr>
          <w:sz w:val="72"/>
          <w:szCs w:val="72"/>
        </w:rPr>
      </w:pPr>
    </w:p>
    <w:p>
      <w:pPr>
        <w:jc w:val="center"/>
        <w:rPr>
          <w:sz w:val="72"/>
          <w:szCs w:val="72"/>
        </w:rPr>
      </w:pPr>
    </w:p>
    <w:p>
      <w:pPr>
        <w:rPr>
          <w:sz w:val="72"/>
          <w:szCs w:val="72"/>
        </w:rPr>
      </w:pPr>
    </w:p>
    <w:p>
      <w:pPr>
        <w:pStyle w:val="14"/>
        <w:ind w:left="720" w:firstLine="0" w:firstLineChars="0"/>
        <w:jc w:val="left"/>
        <w:rPr>
          <w:rFonts w:ascii="黑体" w:hAnsi="黑体" w:eastAsia="黑体"/>
          <w:sz w:val="32"/>
          <w:szCs w:val="32"/>
        </w:rPr>
      </w:pPr>
    </w:p>
    <w:p>
      <w:pPr>
        <w:pStyle w:val="14"/>
        <w:ind w:left="720" w:firstLine="0" w:firstLineChars="0"/>
        <w:jc w:val="left"/>
        <w:rPr>
          <w:rFonts w:ascii="黑体" w:hAnsi="黑体" w:eastAsia="黑体"/>
          <w:sz w:val="32"/>
          <w:szCs w:val="32"/>
        </w:rPr>
      </w:pPr>
    </w:p>
    <w:p>
      <w:pPr>
        <w:pStyle w:val="14"/>
        <w:ind w:left="720" w:firstLine="0" w:firstLineChars="0"/>
        <w:jc w:val="left"/>
        <w:rPr>
          <w:rFonts w:ascii="黑体" w:hAnsi="黑体" w:eastAsia="黑体"/>
          <w:sz w:val="32"/>
          <w:szCs w:val="32"/>
        </w:rPr>
      </w:pPr>
    </w:p>
    <w:p>
      <w:pPr>
        <w:pStyle w:val="14"/>
        <w:ind w:left="720" w:firstLine="0" w:firstLineChars="0"/>
        <w:jc w:val="left"/>
        <w:rPr>
          <w:rFonts w:ascii="黑体" w:hAnsi="黑体" w:eastAsia="黑体"/>
          <w:sz w:val="32"/>
          <w:szCs w:val="32"/>
        </w:rPr>
      </w:pPr>
    </w:p>
    <w:p>
      <w:pPr>
        <w:pStyle w:val="14"/>
        <w:numPr>
          <w:ilvl w:val="0"/>
          <w:numId w:val="1"/>
        </w:numPr>
        <w:ind w:firstLineChars="0"/>
        <w:jc w:val="left"/>
        <w:rPr>
          <w:rFonts w:ascii="黑体" w:hAnsi="黑体" w:eastAsia="黑体"/>
          <w:sz w:val="32"/>
          <w:szCs w:val="32"/>
        </w:rPr>
      </w:pPr>
      <w:r>
        <w:rPr>
          <w:rFonts w:ascii="黑体" w:hAnsi="黑体" w:eastAsia="黑体"/>
          <w:sz w:val="32"/>
          <w:szCs w:val="32"/>
        </w:rPr>
        <w:t>部门职责</w:t>
      </w:r>
    </w:p>
    <w:p>
      <w:pPr>
        <w:pStyle w:val="7"/>
        <w:widowControl/>
        <w:spacing w:beforeAutospacing="0" w:after="2" w:afterAutospacing="0"/>
        <w:ind w:firstLine="641"/>
        <w:rPr>
          <w:sz w:val="27"/>
          <w:szCs w:val="27"/>
        </w:rPr>
      </w:pPr>
      <w:r>
        <w:rPr>
          <w:rFonts w:ascii="宋体" w:hAnsi="宋体" w:eastAsia="宋体" w:cs="宋体"/>
          <w:color w:val="000000"/>
          <w:sz w:val="32"/>
          <w:szCs w:val="32"/>
        </w:rPr>
        <w:t>（一）保护森林风景资源和生物多样性，维护生态平衡，管理国有林场，普及生态文化知识，开展森林生态旅游。</w:t>
      </w:r>
    </w:p>
    <w:p>
      <w:pPr>
        <w:pStyle w:val="7"/>
        <w:widowControl/>
        <w:spacing w:beforeAutospacing="0" w:after="2" w:afterAutospacing="0"/>
        <w:ind w:firstLine="641"/>
        <w:rPr>
          <w:sz w:val="27"/>
          <w:szCs w:val="27"/>
        </w:rPr>
      </w:pPr>
      <w:r>
        <w:rPr>
          <w:rFonts w:ascii="宋体" w:hAnsi="宋体" w:eastAsia="宋体" w:cs="宋体"/>
          <w:color w:val="000000"/>
          <w:sz w:val="32"/>
          <w:szCs w:val="32"/>
        </w:rPr>
        <w:t>（二）编制森林公园总体规划，森林公园建设，森林风景资源的 培育、保护和利用。</w:t>
      </w:r>
    </w:p>
    <w:p>
      <w:pPr>
        <w:pStyle w:val="7"/>
        <w:widowControl/>
        <w:spacing w:beforeAutospacing="0" w:after="2" w:afterAutospacing="0"/>
        <w:ind w:firstLine="641"/>
        <w:rPr>
          <w:sz w:val="27"/>
          <w:szCs w:val="27"/>
        </w:rPr>
      </w:pPr>
      <w:r>
        <w:rPr>
          <w:rFonts w:ascii="宋体" w:hAnsi="宋体" w:eastAsia="宋体" w:cs="宋体"/>
          <w:color w:val="000000"/>
          <w:sz w:val="32"/>
          <w:szCs w:val="32"/>
        </w:rPr>
        <w:t>（三）野生动植物珍惜物种栖息地环境监测与治理、基础数据收集分析，自然保护科学研究、宣传教育。</w:t>
      </w:r>
    </w:p>
    <w:p>
      <w:pPr>
        <w:pStyle w:val="7"/>
        <w:widowControl/>
        <w:spacing w:beforeAutospacing="0" w:after="2" w:afterAutospacing="0"/>
        <w:ind w:firstLine="641"/>
        <w:rPr>
          <w:sz w:val="27"/>
          <w:szCs w:val="27"/>
        </w:rPr>
      </w:pPr>
      <w:r>
        <w:rPr>
          <w:rFonts w:ascii="宋体" w:hAnsi="宋体" w:eastAsia="宋体" w:cs="宋体"/>
          <w:color w:val="000000"/>
          <w:sz w:val="32"/>
          <w:szCs w:val="32"/>
        </w:rPr>
        <w:t>（四）林木种苗生产供应与经营，护林防火，林业信息服务，林业违法行为处罚。</w:t>
      </w:r>
    </w:p>
    <w:p>
      <w:pPr>
        <w:pStyle w:val="7"/>
        <w:widowControl/>
        <w:spacing w:beforeAutospacing="0" w:after="2" w:afterAutospacing="0"/>
        <w:ind w:firstLine="641"/>
        <w:rPr>
          <w:sz w:val="27"/>
          <w:szCs w:val="27"/>
        </w:rPr>
      </w:pPr>
      <w:r>
        <w:rPr>
          <w:rFonts w:ascii="宋体" w:hAnsi="宋体" w:eastAsia="宋体" w:cs="宋体"/>
          <w:color w:val="000000"/>
          <w:sz w:val="32"/>
          <w:szCs w:val="32"/>
        </w:rPr>
        <w:t>（五）森林生态旅游及旅游产品开发。</w:t>
      </w:r>
    </w:p>
    <w:p>
      <w:pPr>
        <w:widowControl/>
        <w:spacing w:line="600" w:lineRule="exact"/>
        <w:rPr>
          <w:rFonts w:ascii="黑体" w:hAnsi="黑体" w:eastAsia="黑体"/>
          <w:bCs/>
          <w:kern w:val="0"/>
          <w:sz w:val="32"/>
          <w:szCs w:val="32"/>
        </w:rPr>
      </w:pPr>
      <w:r>
        <w:rPr>
          <w:rFonts w:hint="eastAsia" w:ascii="黑体" w:hAnsi="黑体" w:eastAsia="黑体"/>
          <w:bCs/>
          <w:kern w:val="0"/>
          <w:sz w:val="32"/>
          <w:szCs w:val="32"/>
        </w:rPr>
        <w:t>二、机构设置及决算单位构成</w:t>
      </w:r>
    </w:p>
    <w:p>
      <w:pPr>
        <w:widowControl/>
        <w:spacing w:line="600" w:lineRule="exact"/>
        <w:rPr>
          <w:rFonts w:asciiTheme="minorEastAsia" w:hAnsiTheme="minorEastAsia"/>
          <w:bCs/>
          <w:kern w:val="0"/>
          <w:sz w:val="32"/>
          <w:szCs w:val="32"/>
        </w:rPr>
      </w:pPr>
      <w:r>
        <w:rPr>
          <w:rFonts w:hint="eastAsia" w:asciiTheme="minorEastAsia" w:hAnsiTheme="minorEastAsia"/>
          <w:bCs/>
          <w:kern w:val="0"/>
          <w:sz w:val="32"/>
          <w:szCs w:val="32"/>
        </w:rPr>
        <w:t>（一）内设机构设置。</w:t>
      </w:r>
    </w:p>
    <w:p>
      <w:pPr>
        <w:widowControl/>
        <w:spacing w:line="600" w:lineRule="exact"/>
        <w:ind w:firstLine="640" w:firstLineChars="200"/>
        <w:rPr>
          <w:rFonts w:asciiTheme="minorEastAsia" w:hAnsiTheme="minorEastAsia"/>
          <w:bCs/>
          <w:kern w:val="0"/>
          <w:sz w:val="32"/>
          <w:szCs w:val="32"/>
        </w:rPr>
      </w:pPr>
      <w:r>
        <w:rPr>
          <w:rFonts w:hint="eastAsia" w:ascii="宋体" w:hAnsi="宋体" w:eastAsia="宋体" w:cs="宋体"/>
          <w:color w:val="000000"/>
          <w:sz w:val="32"/>
          <w:szCs w:val="32"/>
        </w:rPr>
        <w:t>湖南月岩国家森林公园管理局为</w:t>
      </w:r>
      <w:r>
        <w:rPr>
          <w:rFonts w:hint="eastAsia" w:ascii="宋体" w:hAnsi="宋体" w:eastAsia="宋体" w:cs="宋体"/>
          <w:color w:val="000000"/>
          <w:sz w:val="32"/>
          <w:szCs w:val="32"/>
          <w:lang w:eastAsia="zh-CN"/>
        </w:rPr>
        <w:t>副</w:t>
      </w:r>
      <w:r>
        <w:rPr>
          <w:rFonts w:hint="eastAsia" w:ascii="宋体" w:hAnsi="宋体" w:eastAsia="宋体" w:cs="宋体"/>
          <w:color w:val="000000"/>
          <w:sz w:val="32"/>
          <w:szCs w:val="32"/>
        </w:rPr>
        <w:t>处级全额拨款事业单位，内设机构包括：一个集材场、一个综合检查站及香炉山、坦里源、黄土江、南北冲、中坪、空树岩、王家、大江源八个分场，</w:t>
      </w:r>
      <w:r>
        <w:rPr>
          <w:rFonts w:hint="eastAsia" w:ascii="宋体" w:hAnsi="宋体" w:eastAsia="宋体" w:cs="宋体"/>
          <w:color w:val="000000"/>
          <w:sz w:val="32"/>
          <w:szCs w:val="32"/>
          <w:lang w:eastAsia="zh-CN"/>
        </w:rPr>
        <w:t>机关</w:t>
      </w:r>
      <w:r>
        <w:rPr>
          <w:rFonts w:hint="eastAsia" w:ascii="宋体" w:hAnsi="宋体" w:eastAsia="宋体" w:cs="宋体"/>
          <w:color w:val="000000"/>
          <w:sz w:val="32"/>
          <w:szCs w:val="32"/>
        </w:rPr>
        <w:t>内设办公室、计财科、政工人事科、经营科、科目开发科、资源管护科、保护区管理科、应急处突大队8个职能部室。事业编制478人，现实有在编人数264人，退休人员214人，配有19座防火运兵车1辆，防火宣传车1辆，2辆越野车，消防车1辆。</w:t>
      </w:r>
    </w:p>
    <w:p>
      <w:pPr>
        <w:widowControl/>
        <w:numPr>
          <w:ilvl w:val="0"/>
          <w:numId w:val="2"/>
        </w:numPr>
        <w:spacing w:line="600" w:lineRule="exact"/>
        <w:rPr>
          <w:rFonts w:asciiTheme="minorEastAsia" w:hAnsiTheme="minorEastAsia"/>
          <w:bCs/>
          <w:kern w:val="0"/>
          <w:sz w:val="32"/>
          <w:szCs w:val="32"/>
        </w:rPr>
      </w:pPr>
      <w:r>
        <w:rPr>
          <w:rFonts w:hint="eastAsia" w:asciiTheme="minorEastAsia" w:hAnsiTheme="minorEastAsia"/>
          <w:bCs/>
          <w:kern w:val="0"/>
          <w:sz w:val="32"/>
          <w:szCs w:val="32"/>
        </w:rPr>
        <w:t>决算单位构成。</w:t>
      </w:r>
    </w:p>
    <w:p>
      <w:pPr>
        <w:widowControl/>
        <w:spacing w:line="600" w:lineRule="exact"/>
        <w:ind w:firstLine="960" w:firstLineChars="300"/>
        <w:rPr>
          <w:rFonts w:ascii="黑体" w:hAnsi="黑体" w:eastAsia="黑体"/>
          <w:sz w:val="28"/>
          <w:szCs w:val="28"/>
        </w:rPr>
      </w:pPr>
      <w:r>
        <w:rPr>
          <w:rFonts w:hint="eastAsia" w:ascii="宋体" w:hAnsi="宋体" w:eastAsia="宋体" w:cs="宋体"/>
          <w:color w:val="000000"/>
          <w:sz w:val="32"/>
          <w:szCs w:val="32"/>
        </w:rPr>
        <w:t>湖南月岩国家森林公园管理局2021年部门决算汇总公开单位构成包括：包括局机关及所属分场。</w:t>
      </w:r>
    </w:p>
    <w:p>
      <w:pPr>
        <w:rPr>
          <w:sz w:val="72"/>
          <w:szCs w:val="72"/>
        </w:rPr>
      </w:pPr>
    </w:p>
    <w:p>
      <w:pPr>
        <w:rPr>
          <w:sz w:val="72"/>
          <w:szCs w:val="72"/>
        </w:rPr>
      </w:pPr>
    </w:p>
    <w:p>
      <w:pPr>
        <w:rPr>
          <w:sz w:val="72"/>
          <w:szCs w:val="72"/>
        </w:rPr>
      </w:pPr>
    </w:p>
    <w:p>
      <w:pPr>
        <w:jc w:val="center"/>
        <w:rPr>
          <w:sz w:val="72"/>
          <w:szCs w:val="72"/>
        </w:rPr>
      </w:pPr>
    </w:p>
    <w:p>
      <w:pPr>
        <w:jc w:val="center"/>
        <w:rPr>
          <w:sz w:val="72"/>
          <w:szCs w:val="72"/>
        </w:rPr>
      </w:pPr>
      <w:r>
        <w:rPr>
          <w:rFonts w:hint="eastAsia"/>
          <w:sz w:val="72"/>
          <w:szCs w:val="72"/>
        </w:rPr>
        <w:t>第二部分</w:t>
      </w:r>
    </w:p>
    <w:p>
      <w:pPr>
        <w:jc w:val="center"/>
        <w:rPr>
          <w:sz w:val="72"/>
          <w:szCs w:val="72"/>
        </w:rPr>
      </w:pPr>
    </w:p>
    <w:p>
      <w:pPr>
        <w:jc w:val="center"/>
        <w:rPr>
          <w:sz w:val="72"/>
          <w:szCs w:val="72"/>
        </w:rPr>
      </w:pPr>
      <w:r>
        <w:rPr>
          <w:rFonts w:hint="eastAsia"/>
          <w:sz w:val="72"/>
          <w:szCs w:val="72"/>
        </w:rPr>
        <w:t>部门决算表</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left"/>
        <w:rPr>
          <w:sz w:val="32"/>
          <w:szCs w:val="32"/>
        </w:rPr>
      </w:pPr>
    </w:p>
    <w:p>
      <w:pPr>
        <w:jc w:val="left"/>
        <w:rPr>
          <w:rFonts w:asciiTheme="minorEastAsia" w:hAnsiTheme="minorEastAsia"/>
          <w:sz w:val="32"/>
          <w:szCs w:val="32"/>
        </w:rPr>
        <w:sectPr>
          <w:pgSz w:w="11906" w:h="16838"/>
          <w:pgMar w:top="720" w:right="720" w:bottom="720" w:left="720" w:header="851" w:footer="992" w:gutter="0"/>
          <w:cols w:space="425" w:num="1"/>
          <w:docGrid w:type="lines" w:linePitch="312" w:charSpace="0"/>
        </w:sectPr>
      </w:pPr>
    </w:p>
    <w:tbl>
      <w:tblPr>
        <w:tblStyle w:val="8"/>
        <w:tblW w:w="14081" w:type="dxa"/>
        <w:tblInd w:w="93" w:type="dxa"/>
        <w:tblLayout w:type="autofit"/>
        <w:tblCellMar>
          <w:top w:w="0" w:type="dxa"/>
          <w:left w:w="108" w:type="dxa"/>
          <w:bottom w:w="0" w:type="dxa"/>
          <w:right w:w="108" w:type="dxa"/>
        </w:tblCellMar>
      </w:tblPr>
      <w:tblGrid>
        <w:gridCol w:w="4126"/>
        <w:gridCol w:w="449"/>
        <w:gridCol w:w="631"/>
        <w:gridCol w:w="599"/>
        <w:gridCol w:w="98"/>
        <w:gridCol w:w="232"/>
        <w:gridCol w:w="3468"/>
        <w:gridCol w:w="845"/>
        <w:gridCol w:w="1460"/>
        <w:gridCol w:w="657"/>
        <w:gridCol w:w="1516"/>
      </w:tblGrid>
      <w:tr>
        <w:tblPrEx>
          <w:tblCellMar>
            <w:top w:w="0" w:type="dxa"/>
            <w:left w:w="108" w:type="dxa"/>
            <w:bottom w:w="0" w:type="dxa"/>
            <w:right w:w="108" w:type="dxa"/>
          </w:tblCellMar>
        </w:tblPrEx>
        <w:trPr>
          <w:trHeight w:val="360" w:hRule="atLeast"/>
        </w:trPr>
        <w:tc>
          <w:tcPr>
            <w:tcW w:w="14081" w:type="dxa"/>
            <w:gridSpan w:val="11"/>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收入支出决算总表</w:t>
            </w:r>
          </w:p>
        </w:tc>
      </w:tr>
      <w:tr>
        <w:tblPrEx>
          <w:tblCellMar>
            <w:top w:w="0" w:type="dxa"/>
            <w:left w:w="108" w:type="dxa"/>
            <w:bottom w:w="0" w:type="dxa"/>
            <w:right w:w="108" w:type="dxa"/>
          </w:tblCellMar>
        </w:tblPrEx>
        <w:trPr>
          <w:trHeight w:val="199" w:hRule="atLeast"/>
        </w:trPr>
        <w:tc>
          <w:tcPr>
            <w:tcW w:w="5206"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97"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77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5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16"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公开01表</w:t>
            </w:r>
          </w:p>
        </w:tc>
      </w:tr>
      <w:tr>
        <w:tblPrEx>
          <w:tblCellMar>
            <w:top w:w="0" w:type="dxa"/>
            <w:left w:w="108" w:type="dxa"/>
            <w:bottom w:w="0" w:type="dxa"/>
            <w:right w:w="108" w:type="dxa"/>
          </w:tblCellMar>
        </w:tblPrEx>
        <w:trPr>
          <w:trHeight w:val="300" w:hRule="atLeast"/>
        </w:trPr>
        <w:tc>
          <w:tcPr>
            <w:tcW w:w="5206" w:type="dxa"/>
            <w:gridSpan w:val="3"/>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部门：湖南月岩国家森林公园管理局</w:t>
            </w:r>
          </w:p>
        </w:tc>
        <w:tc>
          <w:tcPr>
            <w:tcW w:w="697"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77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5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16"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340" w:hRule="atLeast"/>
        </w:trPr>
        <w:tc>
          <w:tcPr>
            <w:tcW w:w="5805"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8276" w:type="dxa"/>
            <w:gridSpan w:val="7"/>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230"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决算数</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3633"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决算数</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2"/>
              </w:rPr>
              <w:t>栏次</w:t>
            </w:r>
          </w:p>
        </w:tc>
        <w:tc>
          <w:tcPr>
            <w:tcW w:w="449" w:type="dxa"/>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kern w:val="0"/>
                <w:sz w:val="24"/>
                <w:szCs w:val="24"/>
              </w:rPr>
            </w:pPr>
          </w:p>
        </w:tc>
        <w:tc>
          <w:tcPr>
            <w:tcW w:w="1230" w:type="dxa"/>
            <w:gridSpan w:val="2"/>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2"/>
              </w:rPr>
              <w:t>1</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2"/>
              </w:rPr>
              <w:t>栏次</w:t>
            </w:r>
          </w:p>
        </w:tc>
        <w:tc>
          <w:tcPr>
            <w:tcW w:w="845" w:type="dxa"/>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kern w:val="0"/>
                <w:sz w:val="24"/>
                <w:szCs w:val="24"/>
              </w:rPr>
            </w:pPr>
          </w:p>
        </w:tc>
        <w:tc>
          <w:tcPr>
            <w:tcW w:w="3633" w:type="dxa"/>
            <w:gridSpan w:val="3"/>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2"/>
              </w:rPr>
              <w:t>2</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一、一般公共预算财政拨款收入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rPr>
              <w:t>871.39</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一、一般公共服务支出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32</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8.10</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二、政府性基金预算财政拨款收入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2</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rPr>
              <w:t>1,792.57</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二、外交支出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33</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三、国有资本经营预算财政拨款收入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三、国防支出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34</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四、上级补助收入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四、公共安全支出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35</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五、事业收入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五、教育支出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36</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六、经营收入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6</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六、科学技术支出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37</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七、附属单位上缴收入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7</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七、文化旅游体育与传媒支出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38</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八、其他收入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8</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八、社会保障和就业支出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39</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rPr>
              <w:t>237.73</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9</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color w:val="000000"/>
                <w:kern w:val="0"/>
                <w:sz w:val="22"/>
              </w:rPr>
              <w:t>九、卫生健康支出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40</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b/>
                <w:bCs/>
                <w:kern w:val="0"/>
                <w:sz w:val="22"/>
              </w:rPr>
            </w:pPr>
            <w:r>
              <w:rPr>
                <w:rFonts w:hint="eastAsia" w:ascii="宋体" w:hAnsi="宋体" w:eastAsia="宋体" w:cs="宋体"/>
                <w:color w:val="000000"/>
                <w:kern w:val="0"/>
                <w:sz w:val="22"/>
              </w:rPr>
              <w:t>102.06</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10</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color w:val="000000"/>
                <w:kern w:val="0"/>
                <w:sz w:val="22"/>
              </w:rPr>
              <w:t>十、节能环保支出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41</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b/>
                <w:bCs/>
                <w:kern w:val="0"/>
                <w:sz w:val="22"/>
              </w:rPr>
            </w:pPr>
            <w:r>
              <w:rPr>
                <w:rFonts w:hint="eastAsia" w:ascii="宋体" w:hAnsi="宋体" w:eastAsia="宋体" w:cs="宋体"/>
                <w:color w:val="000000"/>
                <w:kern w:val="0"/>
                <w:sz w:val="22"/>
              </w:rPr>
              <w:t>507.50</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11</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color w:val="000000"/>
                <w:kern w:val="0"/>
                <w:sz w:val="22"/>
              </w:rPr>
              <w:t>十一、城乡社区支出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42</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b/>
                <w:bCs/>
                <w:kern w:val="0"/>
                <w:sz w:val="22"/>
              </w:rPr>
            </w:pPr>
            <w:r>
              <w:rPr>
                <w:rFonts w:hint="eastAsia" w:ascii="宋体" w:hAnsi="宋体" w:eastAsia="宋体" w:cs="宋体"/>
                <w:color w:val="000000"/>
                <w:kern w:val="0"/>
                <w:sz w:val="22"/>
              </w:rPr>
              <w:t>1,792.57</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12</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color w:val="000000"/>
                <w:kern w:val="0"/>
                <w:sz w:val="22"/>
              </w:rPr>
              <w:t>十二、农林水支出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43</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13</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color w:val="000000"/>
                <w:kern w:val="0"/>
                <w:sz w:val="22"/>
              </w:rPr>
              <w:t>十三、交通运输支出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44</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14</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color w:val="000000"/>
                <w:kern w:val="0"/>
                <w:sz w:val="22"/>
              </w:rPr>
              <w:t>十四、资源勘探工业信息等支出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45</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15</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color w:val="000000"/>
                <w:kern w:val="0"/>
                <w:sz w:val="22"/>
              </w:rPr>
              <w:t>十五、商业服务业等支出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46</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16</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color w:val="000000"/>
                <w:kern w:val="0"/>
                <w:sz w:val="22"/>
              </w:rPr>
              <w:t>十六、金融支出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47</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17</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color w:val="000000"/>
                <w:kern w:val="0"/>
                <w:sz w:val="22"/>
              </w:rPr>
              <w:t>十七、援助其他地区支出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48</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18</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color w:val="000000"/>
                <w:kern w:val="0"/>
                <w:sz w:val="22"/>
              </w:rPr>
              <w:t>十八、自然资源海洋气象等支出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49</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19</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color w:val="000000"/>
                <w:kern w:val="0"/>
                <w:sz w:val="22"/>
              </w:rPr>
              <w:t>十九、住房保障支出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50</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20</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color w:val="000000"/>
                <w:kern w:val="0"/>
                <w:sz w:val="22"/>
              </w:rPr>
              <w:t>二十、粮油物资储备支出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51</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21</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color w:val="000000"/>
                <w:kern w:val="0"/>
                <w:sz w:val="22"/>
              </w:rPr>
              <w:t>二十一、国有资本经营预算支出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52</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22</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color w:val="000000"/>
                <w:kern w:val="0"/>
                <w:sz w:val="22"/>
              </w:rPr>
              <w:t>二十二、灾害防治及应急管理支出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53</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b/>
                <w:bCs/>
                <w:kern w:val="0"/>
                <w:sz w:val="22"/>
              </w:rPr>
            </w:pPr>
            <w:r>
              <w:rPr>
                <w:rFonts w:hint="eastAsia" w:ascii="宋体" w:hAnsi="宋体" w:eastAsia="宋体" w:cs="宋体"/>
                <w:color w:val="000000"/>
                <w:kern w:val="0"/>
                <w:sz w:val="22"/>
              </w:rPr>
              <w:t>16.00</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23</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color w:val="000000"/>
                <w:kern w:val="0"/>
                <w:sz w:val="22"/>
              </w:rPr>
              <w:t>二十三、其他支出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54</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0"/>
                <w:szCs w:val="20"/>
              </w:rPr>
              <w:t>24</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color w:val="000000"/>
                <w:kern w:val="0"/>
                <w:sz w:val="22"/>
              </w:rPr>
              <w:t>二十四、债务还本支出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55</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0"/>
                <w:szCs w:val="20"/>
              </w:rPr>
              <w:t>25</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color w:val="000000"/>
                <w:kern w:val="0"/>
                <w:sz w:val="22"/>
              </w:rPr>
              <w:t>二十五、债务付息支出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56</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0"/>
                <w:szCs w:val="20"/>
              </w:rPr>
              <w:t>26</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color w:val="000000"/>
                <w:kern w:val="0"/>
                <w:sz w:val="22"/>
              </w:rPr>
              <w:t>二十六、抗疫特别国债安排的支出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57</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0"/>
                <w:szCs w:val="20"/>
              </w:rPr>
            </w:pPr>
            <w:r>
              <w:rPr>
                <w:rFonts w:hint="eastAsia" w:ascii="宋体" w:hAnsi="宋体" w:eastAsia="宋体" w:cs="宋体"/>
                <w:b/>
                <w:bCs/>
                <w:color w:val="000000"/>
                <w:kern w:val="0"/>
                <w:sz w:val="22"/>
              </w:rPr>
              <w:t>本年收入合计</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27</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rPr>
              <w:t>2,663.96</w:t>
            </w: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0"/>
                <w:szCs w:val="20"/>
              </w:rPr>
            </w:pPr>
            <w:r>
              <w:rPr>
                <w:rFonts w:hint="eastAsia" w:ascii="宋体" w:hAnsi="宋体" w:eastAsia="宋体" w:cs="宋体"/>
                <w:b/>
                <w:bCs/>
                <w:color w:val="000000"/>
                <w:kern w:val="0"/>
                <w:sz w:val="22"/>
              </w:rPr>
              <w:t>本年支出合计</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58</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b/>
                <w:bCs/>
                <w:kern w:val="0"/>
                <w:sz w:val="22"/>
              </w:rPr>
            </w:pPr>
            <w:r>
              <w:rPr>
                <w:rFonts w:hint="eastAsia" w:ascii="宋体" w:hAnsi="宋体" w:eastAsia="宋体" w:cs="宋体"/>
                <w:color w:val="000000"/>
                <w:kern w:val="0"/>
                <w:sz w:val="22"/>
              </w:rPr>
              <w:t>2,663.96</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b/>
                <w:bCs/>
                <w:kern w:val="0"/>
                <w:sz w:val="22"/>
              </w:rPr>
            </w:pPr>
            <w:r>
              <w:rPr>
                <w:rFonts w:hint="eastAsia" w:ascii="宋体" w:hAnsi="宋体" w:eastAsia="宋体" w:cs="宋体"/>
                <w:color w:val="000000"/>
                <w:kern w:val="0"/>
                <w:sz w:val="22"/>
              </w:rPr>
              <w:t>使用非财政拨款结余</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28</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b/>
                <w:bCs/>
                <w:kern w:val="0"/>
                <w:sz w:val="22"/>
              </w:rPr>
            </w:pPr>
            <w:r>
              <w:rPr>
                <w:rFonts w:hint="eastAsia" w:ascii="宋体" w:hAnsi="宋体" w:eastAsia="宋体" w:cs="宋体"/>
                <w:color w:val="000000"/>
                <w:kern w:val="0"/>
                <w:sz w:val="22"/>
              </w:rPr>
              <w:t>结余分配</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59</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年初结转和结余</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29</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rPr>
              <w:t>665.14</w:t>
            </w: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年末结转和结余</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60</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rPr>
              <w:t>665.14</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b/>
                <w:bCs/>
                <w:kern w:val="0"/>
                <w:sz w:val="22"/>
              </w:rPr>
            </w:pPr>
            <w:r>
              <w:rPr>
                <w:rFonts w:hint="eastAsia" w:ascii="宋体" w:hAnsi="宋体" w:eastAsia="宋体" w:cs="宋体"/>
                <w:b/>
                <w:bCs/>
                <w:color w:val="000000"/>
                <w:kern w:val="0"/>
                <w:sz w:val="22"/>
              </w:rPr>
              <w:t>总计</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31</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rPr>
              <w:t>3,329.10</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b/>
                <w:bCs/>
                <w:kern w:val="0"/>
                <w:sz w:val="22"/>
              </w:rPr>
            </w:pPr>
            <w:r>
              <w:rPr>
                <w:rFonts w:hint="eastAsia" w:ascii="宋体" w:hAnsi="宋体" w:eastAsia="宋体" w:cs="宋体"/>
                <w:b/>
                <w:bCs/>
                <w:color w:val="000000"/>
                <w:kern w:val="0"/>
                <w:sz w:val="22"/>
              </w:rPr>
              <w:t>总计</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62</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b/>
                <w:bCs/>
                <w:kern w:val="0"/>
                <w:sz w:val="22"/>
              </w:rPr>
            </w:pPr>
            <w:r>
              <w:rPr>
                <w:rFonts w:hint="eastAsia" w:ascii="宋体" w:hAnsi="宋体" w:eastAsia="宋体" w:cs="宋体"/>
                <w:color w:val="000000"/>
                <w:kern w:val="0"/>
                <w:sz w:val="22"/>
              </w:rPr>
              <w:t>3,329.10</w:t>
            </w:r>
          </w:p>
        </w:tc>
      </w:tr>
      <w:tr>
        <w:tblPrEx>
          <w:tblCellMar>
            <w:top w:w="0" w:type="dxa"/>
            <w:left w:w="108" w:type="dxa"/>
            <w:bottom w:w="0" w:type="dxa"/>
            <w:right w:w="108" w:type="dxa"/>
          </w:tblCellMar>
        </w:tblPrEx>
        <w:trPr>
          <w:trHeight w:val="1020" w:hRule="atLeast"/>
        </w:trPr>
        <w:tc>
          <w:tcPr>
            <w:tcW w:w="14081" w:type="dxa"/>
            <w:gridSpan w:val="11"/>
            <w:tcBorders>
              <w:top w:val="nil"/>
              <w:left w:val="nil"/>
              <w:bottom w:val="nil"/>
              <w:right w:val="nil"/>
            </w:tcBorders>
            <w:shd w:val="clear" w:color="auto" w:fill="auto"/>
            <w:vAlign w:val="center"/>
          </w:tcPr>
          <w:p>
            <w:pPr>
              <w:widowControl/>
              <w:ind w:left="480" w:hanging="480" w:hangingChars="200"/>
              <w:jc w:val="left"/>
              <w:rPr>
                <w:rFonts w:ascii="宋体" w:hAnsi="宋体" w:eastAsia="宋体" w:cs="宋体"/>
                <w:kern w:val="0"/>
                <w:sz w:val="24"/>
                <w:szCs w:val="24"/>
              </w:rPr>
            </w:pPr>
            <w:r>
              <w:rPr>
                <w:rFonts w:hint="eastAsia" w:ascii="宋体" w:hAnsi="宋体" w:eastAsia="宋体" w:cs="宋体"/>
                <w:kern w:val="0"/>
                <w:sz w:val="24"/>
                <w:szCs w:val="24"/>
              </w:rPr>
              <w:t>注：1.本表反映部门本年度的总收支和年末结转结余情况。 2.本套报表金额单位转换时可能存在尾数误差。</w:t>
            </w:r>
            <w:r>
              <w:rPr>
                <w:rFonts w:hint="eastAsia" w:ascii="宋体" w:hAnsi="宋体" w:eastAsia="宋体" w:cs="宋体"/>
                <w:color w:val="000000"/>
                <w:kern w:val="0"/>
                <w:sz w:val="20"/>
                <w:szCs w:val="20"/>
              </w:rPr>
              <w:t>湖南月岩国家森林公园管理局</w:t>
            </w:r>
            <w:r>
              <w:rPr>
                <w:rFonts w:hint="eastAsia" w:ascii="宋体" w:hAnsi="宋体" w:eastAsia="宋体" w:cs="宋体"/>
                <w:kern w:val="0"/>
                <w:sz w:val="24"/>
                <w:szCs w:val="24"/>
                <w:lang w:val="en-US" w:eastAsia="zh-CN"/>
              </w:rPr>
              <w:t>无</w:t>
            </w:r>
            <w:r>
              <w:rPr>
                <w:rFonts w:hint="eastAsia" w:ascii="宋体" w:hAnsi="宋体" w:eastAsia="宋体" w:cs="宋体"/>
                <w:color w:val="000000"/>
                <w:kern w:val="0"/>
                <w:sz w:val="22"/>
              </w:rPr>
              <w:t>国有资本经营预算财政拨款收入</w:t>
            </w:r>
            <w:r>
              <w:rPr>
                <w:rFonts w:hint="eastAsia" w:ascii="宋体" w:hAnsi="宋体" w:eastAsia="宋体" w:cs="宋体"/>
                <w:color w:val="000000"/>
                <w:kern w:val="0"/>
                <w:sz w:val="22"/>
                <w:lang w:eastAsia="zh-CN"/>
              </w:rPr>
              <w:t>、</w:t>
            </w:r>
            <w:r>
              <w:rPr>
                <w:rFonts w:hint="eastAsia" w:ascii="宋体" w:hAnsi="宋体" w:eastAsia="宋体" w:cs="宋体"/>
                <w:color w:val="000000"/>
                <w:kern w:val="0"/>
                <w:sz w:val="22"/>
              </w:rPr>
              <w:t>上级补助收入</w:t>
            </w:r>
            <w:r>
              <w:rPr>
                <w:rFonts w:hint="eastAsia" w:ascii="宋体" w:hAnsi="宋体" w:eastAsia="宋体" w:cs="宋体"/>
                <w:color w:val="000000"/>
                <w:kern w:val="0"/>
                <w:sz w:val="22"/>
                <w:lang w:eastAsia="zh-CN"/>
              </w:rPr>
              <w:t>、</w:t>
            </w:r>
            <w:r>
              <w:rPr>
                <w:rFonts w:hint="eastAsia" w:ascii="宋体" w:hAnsi="宋体" w:eastAsia="宋体" w:cs="宋体"/>
                <w:color w:val="000000"/>
                <w:kern w:val="0"/>
                <w:sz w:val="22"/>
              </w:rPr>
              <w:t>事业收入</w:t>
            </w:r>
            <w:r>
              <w:rPr>
                <w:rFonts w:hint="eastAsia" w:ascii="宋体" w:hAnsi="宋体" w:eastAsia="宋体" w:cs="宋体"/>
                <w:color w:val="000000"/>
                <w:kern w:val="0"/>
                <w:sz w:val="22"/>
                <w:lang w:eastAsia="zh-CN"/>
              </w:rPr>
              <w:t>、</w:t>
            </w:r>
            <w:r>
              <w:rPr>
                <w:rFonts w:hint="eastAsia" w:ascii="宋体" w:hAnsi="宋体" w:eastAsia="宋体" w:cs="宋体"/>
                <w:color w:val="000000"/>
                <w:kern w:val="0"/>
                <w:sz w:val="22"/>
              </w:rPr>
              <w:t>经营收入</w:t>
            </w:r>
            <w:r>
              <w:rPr>
                <w:rFonts w:hint="eastAsia" w:ascii="宋体" w:hAnsi="宋体" w:eastAsia="宋体" w:cs="宋体"/>
                <w:color w:val="000000"/>
                <w:kern w:val="0"/>
                <w:sz w:val="22"/>
                <w:lang w:eastAsia="zh-CN"/>
              </w:rPr>
              <w:t>、</w:t>
            </w:r>
            <w:r>
              <w:rPr>
                <w:rFonts w:hint="eastAsia" w:ascii="宋体" w:hAnsi="宋体" w:eastAsia="宋体" w:cs="宋体"/>
                <w:color w:val="000000"/>
                <w:kern w:val="0"/>
                <w:sz w:val="22"/>
              </w:rPr>
              <w:t>附属单位上缴收入</w:t>
            </w:r>
            <w:r>
              <w:rPr>
                <w:rFonts w:hint="eastAsia" w:ascii="宋体" w:hAnsi="宋体" w:eastAsia="宋体" w:cs="宋体"/>
                <w:color w:val="000000"/>
                <w:kern w:val="0"/>
                <w:sz w:val="22"/>
                <w:lang w:eastAsia="zh-CN"/>
              </w:rPr>
              <w:t>、</w:t>
            </w:r>
            <w:r>
              <w:rPr>
                <w:rFonts w:hint="eastAsia" w:ascii="宋体" w:hAnsi="宋体" w:eastAsia="宋体" w:cs="宋体"/>
                <w:color w:val="000000"/>
                <w:kern w:val="0"/>
                <w:sz w:val="22"/>
              </w:rPr>
              <w:t>其他</w:t>
            </w:r>
            <w:r>
              <w:rPr>
                <w:rFonts w:hint="eastAsia" w:ascii="宋体" w:hAnsi="宋体" w:eastAsia="宋体" w:cs="宋体"/>
                <w:kern w:val="0"/>
                <w:sz w:val="24"/>
                <w:szCs w:val="24"/>
                <w:lang w:val="en-US" w:eastAsia="zh-CN"/>
              </w:rPr>
              <w:t>收入，也没有安排</w:t>
            </w:r>
            <w:r>
              <w:rPr>
                <w:rFonts w:hint="eastAsia" w:ascii="宋体" w:hAnsi="宋体" w:eastAsia="宋体" w:cs="宋体"/>
                <w:color w:val="000000"/>
                <w:kern w:val="0"/>
                <w:sz w:val="22"/>
              </w:rPr>
              <w:t>外交支出</w:t>
            </w:r>
            <w:r>
              <w:rPr>
                <w:rFonts w:hint="eastAsia" w:ascii="宋体" w:hAnsi="宋体" w:eastAsia="宋体" w:cs="宋体"/>
                <w:color w:val="000000"/>
                <w:kern w:val="0"/>
                <w:sz w:val="22"/>
                <w:lang w:eastAsia="zh-CN"/>
              </w:rPr>
              <w:t>、</w:t>
            </w:r>
            <w:r>
              <w:rPr>
                <w:rFonts w:hint="eastAsia" w:ascii="宋体" w:hAnsi="宋体" w:eastAsia="宋体" w:cs="宋体"/>
                <w:color w:val="000000"/>
                <w:kern w:val="0"/>
                <w:sz w:val="22"/>
              </w:rPr>
              <w:t>国防支出</w:t>
            </w:r>
            <w:r>
              <w:rPr>
                <w:rFonts w:hint="eastAsia" w:ascii="宋体" w:hAnsi="宋体" w:eastAsia="宋体" w:cs="宋体"/>
                <w:color w:val="000000"/>
                <w:kern w:val="0"/>
                <w:sz w:val="22"/>
                <w:lang w:eastAsia="zh-CN"/>
              </w:rPr>
              <w:t>、</w:t>
            </w:r>
            <w:r>
              <w:rPr>
                <w:rFonts w:hint="eastAsia" w:ascii="宋体" w:hAnsi="宋体" w:eastAsia="宋体" w:cs="宋体"/>
                <w:color w:val="000000"/>
                <w:kern w:val="0"/>
                <w:sz w:val="22"/>
              </w:rPr>
              <w:t>公共安全支出</w:t>
            </w:r>
            <w:r>
              <w:rPr>
                <w:rFonts w:hint="eastAsia" w:ascii="宋体" w:hAnsi="宋体" w:eastAsia="宋体" w:cs="宋体"/>
                <w:color w:val="000000"/>
                <w:kern w:val="0"/>
                <w:sz w:val="22"/>
                <w:lang w:eastAsia="zh-CN"/>
              </w:rPr>
              <w:t>、</w:t>
            </w:r>
            <w:r>
              <w:rPr>
                <w:rFonts w:hint="eastAsia" w:ascii="宋体" w:hAnsi="宋体" w:eastAsia="宋体" w:cs="宋体"/>
                <w:color w:val="000000"/>
                <w:kern w:val="0"/>
                <w:sz w:val="22"/>
              </w:rPr>
              <w:t>教育支出</w:t>
            </w:r>
            <w:r>
              <w:rPr>
                <w:rFonts w:hint="eastAsia" w:ascii="宋体" w:hAnsi="宋体" w:eastAsia="宋体" w:cs="宋体"/>
                <w:color w:val="000000"/>
                <w:kern w:val="0"/>
                <w:sz w:val="22"/>
                <w:lang w:eastAsia="zh-CN"/>
              </w:rPr>
              <w:t>、</w:t>
            </w:r>
            <w:r>
              <w:rPr>
                <w:rFonts w:hint="eastAsia" w:ascii="宋体" w:hAnsi="宋体" w:eastAsia="宋体" w:cs="宋体"/>
                <w:color w:val="000000"/>
                <w:kern w:val="0"/>
                <w:sz w:val="22"/>
              </w:rPr>
              <w:t>科学技术支出</w:t>
            </w:r>
            <w:r>
              <w:rPr>
                <w:rFonts w:hint="eastAsia" w:ascii="宋体" w:hAnsi="宋体" w:eastAsia="宋体" w:cs="宋体"/>
                <w:color w:val="000000"/>
                <w:kern w:val="0"/>
                <w:sz w:val="22"/>
                <w:lang w:eastAsia="zh-CN"/>
              </w:rPr>
              <w:t>、</w:t>
            </w:r>
            <w:r>
              <w:rPr>
                <w:rFonts w:hint="eastAsia" w:ascii="宋体" w:hAnsi="宋体" w:eastAsia="宋体" w:cs="宋体"/>
                <w:color w:val="000000"/>
                <w:kern w:val="0"/>
                <w:sz w:val="22"/>
              </w:rPr>
              <w:t>文化旅游体育与传媒支出</w:t>
            </w:r>
            <w:r>
              <w:rPr>
                <w:rFonts w:hint="eastAsia" w:ascii="宋体" w:hAnsi="宋体" w:eastAsia="宋体" w:cs="宋体"/>
                <w:color w:val="000000"/>
                <w:kern w:val="0"/>
                <w:sz w:val="22"/>
                <w:lang w:eastAsia="zh-CN"/>
              </w:rPr>
              <w:t>、</w:t>
            </w:r>
            <w:r>
              <w:rPr>
                <w:rFonts w:hint="eastAsia" w:ascii="宋体" w:hAnsi="宋体" w:eastAsia="宋体" w:cs="宋体"/>
                <w:color w:val="000000"/>
                <w:kern w:val="0"/>
                <w:sz w:val="22"/>
              </w:rPr>
              <w:t>农林水支出</w:t>
            </w:r>
            <w:r>
              <w:rPr>
                <w:rFonts w:hint="eastAsia" w:ascii="宋体" w:hAnsi="宋体" w:eastAsia="宋体" w:cs="宋体"/>
                <w:color w:val="000000"/>
                <w:kern w:val="0"/>
                <w:sz w:val="22"/>
                <w:lang w:eastAsia="zh-CN"/>
              </w:rPr>
              <w:t>、</w:t>
            </w:r>
            <w:r>
              <w:rPr>
                <w:rFonts w:hint="eastAsia" w:ascii="宋体" w:hAnsi="宋体" w:eastAsia="宋体" w:cs="宋体"/>
                <w:color w:val="000000"/>
                <w:kern w:val="0"/>
                <w:sz w:val="22"/>
              </w:rPr>
              <w:t>交通运输支出</w:t>
            </w:r>
            <w:r>
              <w:rPr>
                <w:rFonts w:hint="eastAsia" w:ascii="宋体" w:hAnsi="宋体" w:eastAsia="宋体" w:cs="宋体"/>
                <w:color w:val="000000"/>
                <w:kern w:val="0"/>
                <w:sz w:val="22"/>
                <w:lang w:eastAsia="zh-CN"/>
              </w:rPr>
              <w:t>、</w:t>
            </w:r>
            <w:r>
              <w:rPr>
                <w:rFonts w:hint="eastAsia" w:ascii="宋体" w:hAnsi="宋体" w:eastAsia="宋体" w:cs="宋体"/>
                <w:color w:val="000000"/>
                <w:kern w:val="0"/>
                <w:sz w:val="22"/>
              </w:rPr>
              <w:t>资源勘探工业信息等支出</w:t>
            </w:r>
            <w:r>
              <w:rPr>
                <w:rFonts w:hint="eastAsia" w:ascii="宋体" w:hAnsi="宋体" w:eastAsia="宋体" w:cs="宋体"/>
                <w:color w:val="000000"/>
                <w:kern w:val="0"/>
                <w:sz w:val="22"/>
                <w:lang w:eastAsia="zh-CN"/>
              </w:rPr>
              <w:t>、</w:t>
            </w:r>
            <w:r>
              <w:rPr>
                <w:rFonts w:hint="eastAsia" w:ascii="宋体" w:hAnsi="宋体" w:eastAsia="宋体" w:cs="宋体"/>
                <w:color w:val="000000"/>
                <w:kern w:val="0"/>
                <w:sz w:val="22"/>
              </w:rPr>
              <w:t>商业服务业等支出</w:t>
            </w:r>
            <w:r>
              <w:rPr>
                <w:rFonts w:hint="eastAsia" w:ascii="宋体" w:hAnsi="宋体" w:eastAsia="宋体" w:cs="宋体"/>
                <w:color w:val="000000"/>
                <w:kern w:val="0"/>
                <w:sz w:val="22"/>
                <w:lang w:eastAsia="zh-CN"/>
              </w:rPr>
              <w:t>、</w:t>
            </w:r>
            <w:r>
              <w:rPr>
                <w:rFonts w:hint="eastAsia" w:ascii="宋体" w:hAnsi="宋体" w:eastAsia="宋体" w:cs="宋体"/>
                <w:color w:val="000000"/>
                <w:kern w:val="0"/>
                <w:sz w:val="22"/>
              </w:rPr>
              <w:t>金融支出</w:t>
            </w:r>
            <w:r>
              <w:rPr>
                <w:rFonts w:hint="eastAsia" w:ascii="宋体" w:hAnsi="宋体" w:eastAsia="宋体" w:cs="宋体"/>
                <w:color w:val="000000"/>
                <w:kern w:val="0"/>
                <w:sz w:val="22"/>
                <w:lang w:eastAsia="zh-CN"/>
              </w:rPr>
              <w:t>、</w:t>
            </w:r>
            <w:r>
              <w:rPr>
                <w:rFonts w:hint="eastAsia" w:ascii="宋体" w:hAnsi="宋体" w:eastAsia="宋体" w:cs="宋体"/>
                <w:color w:val="000000"/>
                <w:kern w:val="0"/>
                <w:sz w:val="22"/>
              </w:rPr>
              <w:t>援助其他地区支出</w:t>
            </w:r>
            <w:r>
              <w:rPr>
                <w:rFonts w:hint="eastAsia" w:ascii="宋体" w:hAnsi="宋体" w:eastAsia="宋体" w:cs="宋体"/>
                <w:color w:val="000000"/>
                <w:kern w:val="0"/>
                <w:sz w:val="22"/>
                <w:lang w:eastAsia="zh-CN"/>
              </w:rPr>
              <w:t>、</w:t>
            </w:r>
            <w:r>
              <w:rPr>
                <w:rFonts w:hint="eastAsia" w:ascii="宋体" w:hAnsi="宋体" w:eastAsia="宋体" w:cs="宋体"/>
                <w:color w:val="000000"/>
                <w:kern w:val="0"/>
                <w:sz w:val="22"/>
              </w:rPr>
              <w:t>自然资源海洋气象等支出</w:t>
            </w:r>
            <w:r>
              <w:rPr>
                <w:rFonts w:hint="eastAsia" w:ascii="宋体" w:hAnsi="宋体" w:eastAsia="宋体" w:cs="宋体"/>
                <w:color w:val="000000"/>
                <w:kern w:val="0"/>
                <w:sz w:val="22"/>
                <w:lang w:eastAsia="zh-CN"/>
              </w:rPr>
              <w:t>、</w:t>
            </w:r>
            <w:r>
              <w:rPr>
                <w:rFonts w:hint="eastAsia" w:ascii="宋体" w:hAnsi="宋体" w:eastAsia="宋体" w:cs="宋体"/>
                <w:color w:val="000000"/>
                <w:kern w:val="0"/>
                <w:sz w:val="22"/>
              </w:rPr>
              <w:t>住房保障支出</w:t>
            </w:r>
            <w:r>
              <w:rPr>
                <w:rFonts w:hint="eastAsia" w:ascii="宋体" w:hAnsi="宋体" w:eastAsia="宋体" w:cs="宋体"/>
                <w:color w:val="000000"/>
                <w:kern w:val="0"/>
                <w:sz w:val="22"/>
                <w:lang w:eastAsia="zh-CN"/>
              </w:rPr>
              <w:t>、</w:t>
            </w:r>
            <w:r>
              <w:rPr>
                <w:rFonts w:hint="eastAsia" w:ascii="宋体" w:hAnsi="宋体" w:eastAsia="宋体" w:cs="宋体"/>
                <w:color w:val="000000"/>
                <w:kern w:val="0"/>
                <w:sz w:val="22"/>
              </w:rPr>
              <w:t>粮油物资储备支出</w:t>
            </w:r>
            <w:r>
              <w:rPr>
                <w:rFonts w:hint="eastAsia" w:ascii="宋体" w:hAnsi="宋体" w:eastAsia="宋体" w:cs="宋体"/>
                <w:color w:val="000000"/>
                <w:kern w:val="0"/>
                <w:sz w:val="22"/>
                <w:lang w:eastAsia="zh-CN"/>
              </w:rPr>
              <w:t>、</w:t>
            </w:r>
            <w:r>
              <w:rPr>
                <w:rFonts w:hint="eastAsia" w:ascii="宋体" w:hAnsi="宋体" w:eastAsia="宋体" w:cs="宋体"/>
                <w:color w:val="000000"/>
                <w:kern w:val="0"/>
                <w:sz w:val="22"/>
              </w:rPr>
              <w:t>国有资本经营预算支出</w:t>
            </w:r>
            <w:r>
              <w:rPr>
                <w:rFonts w:hint="eastAsia" w:ascii="宋体" w:hAnsi="宋体" w:eastAsia="宋体" w:cs="宋体"/>
                <w:color w:val="000000"/>
                <w:kern w:val="0"/>
                <w:sz w:val="22"/>
                <w:lang w:eastAsia="zh-CN"/>
              </w:rPr>
              <w:t>、</w:t>
            </w:r>
            <w:r>
              <w:rPr>
                <w:rFonts w:hint="eastAsia" w:ascii="宋体" w:hAnsi="宋体" w:eastAsia="宋体" w:cs="宋体"/>
                <w:color w:val="000000"/>
                <w:kern w:val="0"/>
                <w:sz w:val="22"/>
              </w:rPr>
              <w:t>其他支出</w:t>
            </w:r>
            <w:r>
              <w:rPr>
                <w:rFonts w:hint="eastAsia" w:ascii="宋体" w:hAnsi="宋体" w:eastAsia="宋体" w:cs="宋体"/>
                <w:color w:val="000000"/>
                <w:kern w:val="0"/>
                <w:sz w:val="22"/>
                <w:lang w:eastAsia="zh-CN"/>
              </w:rPr>
              <w:t>、</w:t>
            </w:r>
            <w:r>
              <w:rPr>
                <w:rFonts w:hint="eastAsia" w:ascii="宋体" w:hAnsi="宋体" w:eastAsia="宋体" w:cs="宋体"/>
                <w:color w:val="000000"/>
                <w:kern w:val="0"/>
                <w:sz w:val="22"/>
              </w:rPr>
              <w:t>债务还本支出</w:t>
            </w:r>
            <w:r>
              <w:rPr>
                <w:rFonts w:hint="eastAsia" w:ascii="宋体" w:hAnsi="宋体" w:eastAsia="宋体" w:cs="宋体"/>
                <w:color w:val="000000"/>
                <w:kern w:val="0"/>
                <w:sz w:val="22"/>
                <w:lang w:eastAsia="zh-CN"/>
              </w:rPr>
              <w:t>、</w:t>
            </w:r>
            <w:r>
              <w:rPr>
                <w:rFonts w:hint="eastAsia" w:ascii="宋体" w:hAnsi="宋体" w:eastAsia="宋体" w:cs="宋体"/>
                <w:color w:val="000000"/>
                <w:kern w:val="0"/>
                <w:sz w:val="22"/>
              </w:rPr>
              <w:t>债务付息支出</w:t>
            </w:r>
            <w:r>
              <w:rPr>
                <w:rFonts w:hint="eastAsia" w:ascii="宋体" w:hAnsi="宋体" w:eastAsia="宋体" w:cs="宋体"/>
                <w:color w:val="000000"/>
                <w:kern w:val="0"/>
                <w:sz w:val="22"/>
                <w:lang w:eastAsia="zh-CN"/>
              </w:rPr>
              <w:t>、</w:t>
            </w:r>
            <w:r>
              <w:rPr>
                <w:rFonts w:hint="eastAsia" w:ascii="宋体" w:hAnsi="宋体" w:eastAsia="宋体" w:cs="宋体"/>
                <w:color w:val="000000"/>
                <w:kern w:val="0"/>
                <w:sz w:val="22"/>
              </w:rPr>
              <w:t>抗疫特别国债安排的</w:t>
            </w:r>
            <w:r>
              <w:rPr>
                <w:rFonts w:hint="eastAsia" w:ascii="宋体" w:hAnsi="宋体" w:eastAsia="宋体" w:cs="宋体"/>
                <w:kern w:val="0"/>
                <w:sz w:val="24"/>
                <w:szCs w:val="24"/>
                <w:lang w:val="en-US" w:eastAsia="zh-CN"/>
              </w:rPr>
              <w:t>支出，故本表格无数据。</w:t>
            </w:r>
          </w:p>
        </w:tc>
      </w:tr>
    </w:tbl>
    <w:p>
      <w:pPr>
        <w:jc w:val="center"/>
        <w:rPr>
          <w:rFonts w:ascii="黑体" w:hAnsi="黑体" w:eastAsia="黑体"/>
          <w:sz w:val="28"/>
          <w:szCs w:val="28"/>
        </w:rPr>
        <w:sectPr>
          <w:pgSz w:w="16838" w:h="11906" w:orient="landscape"/>
          <w:pgMar w:top="1797" w:right="1440" w:bottom="1797" w:left="1440" w:header="851" w:footer="992" w:gutter="0"/>
          <w:cols w:space="425" w:num="1"/>
          <w:docGrid w:type="linesAndChars" w:linePitch="312" w:charSpace="0"/>
        </w:sectPr>
      </w:pPr>
    </w:p>
    <w:tbl>
      <w:tblPr>
        <w:tblStyle w:val="8"/>
        <w:tblW w:w="15386" w:type="dxa"/>
        <w:tblInd w:w="0" w:type="dxa"/>
        <w:tblLayout w:type="autofit"/>
        <w:tblCellMar>
          <w:top w:w="0" w:type="dxa"/>
          <w:left w:w="0" w:type="dxa"/>
          <w:bottom w:w="0" w:type="dxa"/>
          <w:right w:w="0" w:type="dxa"/>
        </w:tblCellMar>
      </w:tblPr>
      <w:tblGrid>
        <w:gridCol w:w="2652"/>
        <w:gridCol w:w="194"/>
        <w:gridCol w:w="1655"/>
        <w:gridCol w:w="1472"/>
        <w:gridCol w:w="1472"/>
        <w:gridCol w:w="1472"/>
        <w:gridCol w:w="1472"/>
        <w:gridCol w:w="1472"/>
        <w:gridCol w:w="1473"/>
        <w:gridCol w:w="2094"/>
      </w:tblGrid>
      <w:tr>
        <w:tblPrEx>
          <w:tblCellMar>
            <w:top w:w="0" w:type="dxa"/>
            <w:left w:w="0" w:type="dxa"/>
            <w:bottom w:w="0" w:type="dxa"/>
            <w:right w:w="0" w:type="dxa"/>
          </w:tblCellMar>
        </w:tblPrEx>
        <w:trPr>
          <w:trHeight w:val="435" w:hRule="atLeast"/>
        </w:trPr>
        <w:tc>
          <w:tcPr>
            <w:tcW w:w="15386" w:type="dxa"/>
            <w:gridSpan w:val="10"/>
            <w:tcBorders>
              <w:top w:val="nil"/>
              <w:left w:val="nil"/>
              <w:bottom w:val="nil"/>
              <w:right w:val="nil"/>
            </w:tcBorders>
            <w:shd w:val="clear" w:color="auto" w:fill="auto"/>
            <w:noWrap/>
            <w:tcMar>
              <w:top w:w="15" w:type="dxa"/>
              <w:left w:w="15" w:type="dxa"/>
              <w:bottom w:w="0" w:type="dxa"/>
              <w:right w:w="15" w:type="dxa"/>
            </w:tcMar>
            <w:vAlign w:val="center"/>
          </w:tcPr>
          <w:p>
            <w:pPr>
              <w:jc w:val="center"/>
              <w:rPr>
                <w:rFonts w:ascii="华文中宋" w:hAnsi="华文中宋" w:eastAsia="华文中宋" w:cs="宋体"/>
                <w:color w:val="000000"/>
                <w:sz w:val="32"/>
                <w:szCs w:val="32"/>
              </w:rPr>
            </w:pPr>
            <w:r>
              <w:rPr>
                <w:rFonts w:hint="eastAsia" w:ascii="华文中宋" w:hAnsi="华文中宋" w:eastAsia="华文中宋"/>
                <w:color w:val="000000"/>
                <w:sz w:val="32"/>
                <w:szCs w:val="32"/>
              </w:rPr>
              <w:t>收入决算表</w:t>
            </w:r>
          </w:p>
        </w:tc>
      </w:tr>
      <w:tr>
        <w:tblPrEx>
          <w:tblCellMar>
            <w:top w:w="0" w:type="dxa"/>
            <w:left w:w="0" w:type="dxa"/>
            <w:bottom w:w="0" w:type="dxa"/>
            <w:right w:w="0" w:type="dxa"/>
          </w:tblCellMar>
        </w:tblPrEx>
        <w:trPr>
          <w:trHeight w:val="285" w:hRule="atLeast"/>
        </w:trPr>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公开02表</w:t>
            </w:r>
          </w:p>
        </w:tc>
      </w:tr>
      <w:tr>
        <w:tblPrEx>
          <w:tblCellMar>
            <w:top w:w="0" w:type="dxa"/>
            <w:left w:w="0" w:type="dxa"/>
            <w:bottom w:w="0" w:type="dxa"/>
            <w:right w:w="0" w:type="dxa"/>
          </w:tblCellMar>
        </w:tblPrEx>
        <w:trPr>
          <w:trHeight w:val="285" w:hRule="atLeast"/>
        </w:trPr>
        <w:tc>
          <w:tcPr>
            <w:tcW w:w="0" w:type="auto"/>
            <w:gridSpan w:val="2"/>
            <w:tcBorders>
              <w:top w:val="nil"/>
              <w:left w:val="nil"/>
              <w:bottom w:val="nil"/>
              <w:right w:val="nil"/>
            </w:tcBorders>
            <w:shd w:val="clear" w:color="000000" w:fill="FFFFFF"/>
            <w:noWrap/>
            <w:tcMar>
              <w:top w:w="15" w:type="dxa"/>
              <w:left w:w="15" w:type="dxa"/>
              <w:bottom w:w="0" w:type="dxa"/>
              <w:right w:w="15" w:type="dxa"/>
            </w:tcMar>
            <w:vAlign w:val="center"/>
          </w:tcPr>
          <w:p>
            <w:pPr>
              <w:rPr>
                <w:rFonts w:ascii="宋体" w:hAnsi="宋体" w:eastAsia="宋体" w:cs="宋体"/>
                <w:color w:val="000000"/>
                <w:sz w:val="20"/>
                <w:szCs w:val="20"/>
              </w:rPr>
            </w:pPr>
            <w:r>
              <w:rPr>
                <w:rFonts w:hint="eastAsia"/>
                <w:color w:val="000000"/>
                <w:sz w:val="20"/>
                <w:szCs w:val="20"/>
              </w:rPr>
              <w:t>部门：</w:t>
            </w:r>
            <w:r>
              <w:rPr>
                <w:rFonts w:hint="eastAsia" w:ascii="宋体" w:hAnsi="宋体" w:eastAsia="宋体" w:cs="宋体"/>
                <w:color w:val="000000"/>
                <w:kern w:val="0"/>
                <w:sz w:val="20"/>
                <w:szCs w:val="20"/>
              </w:rPr>
              <w:t>湖南月岩国家森林公园管理局</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center"/>
              <w:rPr>
                <w:rFonts w:ascii="宋体" w:hAnsi="宋体" w:eastAsia="宋体" w:cs="宋体"/>
                <w:color w:val="000000"/>
                <w:sz w:val="20"/>
                <w:szCs w:val="20"/>
              </w:rPr>
            </w:pPr>
            <w:r>
              <w:rPr>
                <w:rFonts w:hint="eastAsia"/>
                <w:color w:val="000000"/>
                <w:sz w:val="20"/>
                <w:szCs w:val="20"/>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单位：万元</w:t>
            </w:r>
          </w:p>
        </w:tc>
      </w:tr>
      <w:tr>
        <w:tblPrEx>
          <w:tblCellMar>
            <w:top w:w="0" w:type="dxa"/>
            <w:left w:w="0" w:type="dxa"/>
            <w:bottom w:w="0" w:type="dxa"/>
            <w:right w:w="0" w:type="dxa"/>
          </w:tblCellMar>
        </w:tblPrEx>
        <w:trPr>
          <w:trHeight w:val="450" w:hRule="atLeast"/>
        </w:trPr>
        <w:tc>
          <w:tcPr>
            <w:tcW w:w="2983" w:type="dxa"/>
            <w:gridSpan w:val="3"/>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项    目</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本年收入合计</w:t>
            </w:r>
          </w:p>
        </w:tc>
        <w:tc>
          <w:tcPr>
            <w:tcW w:w="1671"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财政拨款收入</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上级补助收入</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事业收入</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经营收入</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附属单位上缴收入</w:t>
            </w:r>
          </w:p>
        </w:tc>
        <w:tc>
          <w:tcPr>
            <w:tcW w:w="2377"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其他收入</w:t>
            </w:r>
          </w:p>
        </w:tc>
      </w:tr>
      <w:tr>
        <w:tblPrEx>
          <w:tblCellMar>
            <w:top w:w="0" w:type="dxa"/>
            <w:left w:w="0" w:type="dxa"/>
            <w:bottom w:w="0" w:type="dxa"/>
            <w:right w:w="0" w:type="dxa"/>
          </w:tblCellMar>
        </w:tblPrEx>
        <w:trPr>
          <w:trHeight w:val="450" w:hRule="atLeast"/>
        </w:trPr>
        <w:tc>
          <w:tcPr>
            <w:tcW w:w="1104" w:type="dxa"/>
            <w:gridSpan w:val="2"/>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功能分类科目编码</w:t>
            </w:r>
          </w:p>
        </w:tc>
        <w:tc>
          <w:tcPr>
            <w:tcW w:w="1879" w:type="dxa"/>
            <w:vMerge w:val="restart"/>
            <w:tcBorders>
              <w:top w:val="nil"/>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科目名称</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0" w:type="auto"/>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2983" w:type="dxa"/>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2"/>
              </w:rPr>
              <w:t>栏次</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2"/>
              </w:rPr>
              <w:t>1</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2"/>
              </w:rPr>
              <w:t>2</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2"/>
              </w:rPr>
              <w:t>3</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2"/>
              </w:rPr>
              <w:t>4</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2"/>
              </w:rPr>
              <w:t>5</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2"/>
              </w:rPr>
              <w:t>6</w:t>
            </w:r>
          </w:p>
        </w:tc>
        <w:tc>
          <w:tcPr>
            <w:tcW w:w="2377"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2"/>
              </w:rPr>
              <w:t>7</w:t>
            </w:r>
          </w:p>
        </w:tc>
      </w:tr>
      <w:tr>
        <w:tblPrEx>
          <w:tblCellMar>
            <w:top w:w="0" w:type="dxa"/>
            <w:left w:w="0" w:type="dxa"/>
            <w:bottom w:w="0" w:type="dxa"/>
            <w:right w:w="0" w:type="dxa"/>
          </w:tblCellMar>
        </w:tblPrEx>
        <w:trPr>
          <w:trHeight w:val="450" w:hRule="atLeast"/>
        </w:trPr>
        <w:tc>
          <w:tcPr>
            <w:tcW w:w="2983" w:type="dxa"/>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color w:val="000000"/>
                <w:kern w:val="0"/>
                <w:sz w:val="22"/>
              </w:rPr>
              <w:t>合计</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宋体" w:hAnsi="宋体" w:eastAsia="宋体" w:cs="宋体"/>
                <w:sz w:val="24"/>
                <w:szCs w:val="24"/>
              </w:rPr>
            </w:pPr>
            <w:r>
              <w:rPr>
                <w:rFonts w:hint="eastAsia" w:ascii="宋体" w:hAnsi="宋体" w:eastAsia="宋体" w:cs="宋体"/>
                <w:b/>
                <w:bCs/>
                <w:color w:val="000000"/>
                <w:kern w:val="0"/>
                <w:sz w:val="22"/>
              </w:rPr>
              <w:t>2,663.96</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宋体" w:hAnsi="宋体" w:eastAsia="宋体" w:cs="宋体"/>
                <w:sz w:val="24"/>
                <w:szCs w:val="24"/>
              </w:rPr>
            </w:pPr>
            <w:r>
              <w:rPr>
                <w:rFonts w:hint="eastAsia" w:ascii="宋体" w:hAnsi="宋体" w:eastAsia="宋体" w:cs="宋体"/>
                <w:b/>
                <w:bCs/>
                <w:color w:val="000000"/>
                <w:kern w:val="0"/>
                <w:sz w:val="22"/>
              </w:rPr>
              <w:t>2,663.96</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ascii="宋体" w:hAnsi="宋体" w:eastAsia="宋体" w:cs="宋体"/>
                <w:sz w:val="24"/>
                <w:szCs w:val="24"/>
              </w:rPr>
            </w:pPr>
            <w:r>
              <w:rPr>
                <w:rFonts w:hint="eastAsia" w:ascii="宋体" w:hAnsi="宋体" w:eastAsia="宋体" w:cs="宋体"/>
                <w:color w:val="000000"/>
                <w:kern w:val="0"/>
                <w:sz w:val="22"/>
              </w:rPr>
              <w:t>201</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ascii="宋体" w:hAnsi="宋体" w:eastAsia="宋体" w:cs="宋体"/>
                <w:sz w:val="24"/>
                <w:szCs w:val="24"/>
              </w:rPr>
            </w:pPr>
            <w:r>
              <w:rPr>
                <w:rFonts w:hint="eastAsia" w:ascii="宋体" w:hAnsi="宋体" w:eastAsia="宋体" w:cs="宋体"/>
                <w:color w:val="000000"/>
                <w:kern w:val="0"/>
                <w:sz w:val="22"/>
              </w:rPr>
              <w:t>一般公共服务支出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宋体" w:hAnsi="宋体" w:eastAsia="宋体" w:cs="宋体"/>
                <w:sz w:val="24"/>
                <w:szCs w:val="24"/>
              </w:rPr>
            </w:pPr>
            <w:r>
              <w:rPr>
                <w:rFonts w:hint="eastAsia" w:ascii="宋体" w:hAnsi="宋体" w:eastAsia="宋体" w:cs="宋体"/>
                <w:color w:val="000000"/>
                <w:kern w:val="0"/>
                <w:sz w:val="22"/>
              </w:rPr>
              <w:t>8.10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宋体" w:hAnsi="宋体" w:eastAsia="宋体" w:cs="宋体"/>
                <w:sz w:val="24"/>
                <w:szCs w:val="24"/>
              </w:rPr>
            </w:pPr>
            <w:r>
              <w:rPr>
                <w:rFonts w:hint="eastAsia" w:ascii="宋体" w:hAnsi="宋体" w:eastAsia="宋体" w:cs="宋体"/>
                <w:color w:val="000000"/>
                <w:kern w:val="0"/>
                <w:sz w:val="22"/>
              </w:rPr>
              <w:t>8.10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ascii="宋体" w:hAnsi="宋体" w:eastAsia="宋体" w:cs="宋体"/>
                <w:sz w:val="24"/>
                <w:szCs w:val="24"/>
              </w:rPr>
            </w:pPr>
            <w:r>
              <w:rPr>
                <w:rFonts w:hint="eastAsia" w:ascii="宋体" w:hAnsi="宋体" w:eastAsia="宋体" w:cs="宋体"/>
                <w:color w:val="000000"/>
                <w:kern w:val="0"/>
                <w:sz w:val="22"/>
              </w:rPr>
              <w:t>20111</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ascii="宋体" w:hAnsi="宋体" w:eastAsia="宋体" w:cs="宋体"/>
                <w:sz w:val="24"/>
                <w:szCs w:val="24"/>
              </w:rPr>
            </w:pPr>
            <w:r>
              <w:rPr>
                <w:rFonts w:hint="eastAsia" w:ascii="宋体" w:hAnsi="宋体" w:eastAsia="宋体" w:cs="宋体"/>
                <w:color w:val="000000"/>
                <w:kern w:val="0"/>
                <w:sz w:val="22"/>
              </w:rPr>
              <w:t>纪检监察事务</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华文中宋" w:hAnsi="华文中宋" w:eastAsia="华文中宋" w:cs="宋体"/>
                <w:sz w:val="24"/>
                <w:szCs w:val="24"/>
              </w:rPr>
            </w:pPr>
            <w:r>
              <w:rPr>
                <w:rFonts w:hint="eastAsia" w:ascii="宋体" w:hAnsi="宋体" w:eastAsia="宋体" w:cs="宋体"/>
                <w:color w:val="000000"/>
                <w:kern w:val="0"/>
                <w:sz w:val="22"/>
              </w:rPr>
              <w:t>8.10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宋体" w:hAnsi="宋体" w:eastAsia="宋体" w:cs="宋体"/>
                <w:sz w:val="24"/>
                <w:szCs w:val="24"/>
              </w:rPr>
            </w:pPr>
            <w:r>
              <w:rPr>
                <w:rFonts w:hint="eastAsia" w:ascii="宋体" w:hAnsi="宋体" w:eastAsia="宋体" w:cs="宋体"/>
                <w:color w:val="000000"/>
                <w:kern w:val="0"/>
                <w:sz w:val="22"/>
              </w:rPr>
              <w:t>8.10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2011199</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 xml:space="preserve">  其他纪检监察事务支出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华文中宋" w:hAnsi="华文中宋" w:eastAsia="华文中宋"/>
              </w:rPr>
            </w:pPr>
            <w:r>
              <w:rPr>
                <w:rFonts w:hint="eastAsia" w:ascii="宋体" w:hAnsi="宋体" w:eastAsia="宋体" w:cs="宋体"/>
                <w:color w:val="000000"/>
                <w:kern w:val="0"/>
                <w:sz w:val="22"/>
              </w:rPr>
              <w:t>8.10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rPr>
              <w:t>8.10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208</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社会保障和就业支出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华文中宋" w:hAnsi="华文中宋" w:eastAsia="华文中宋"/>
              </w:rPr>
            </w:pPr>
            <w:r>
              <w:rPr>
                <w:rFonts w:hint="eastAsia" w:ascii="宋体" w:hAnsi="宋体" w:eastAsia="宋体" w:cs="宋体"/>
                <w:color w:val="000000"/>
                <w:kern w:val="0"/>
                <w:sz w:val="22"/>
              </w:rPr>
              <w:t>237.73</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rPr>
              <w:t>237.73</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20805</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行政事业单位养老支出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华文中宋" w:hAnsi="华文中宋" w:eastAsia="华文中宋"/>
              </w:rPr>
            </w:pPr>
            <w:r>
              <w:rPr>
                <w:rFonts w:hint="eastAsia" w:ascii="宋体" w:hAnsi="宋体" w:eastAsia="宋体" w:cs="宋体"/>
                <w:color w:val="000000"/>
                <w:kern w:val="0"/>
                <w:sz w:val="22"/>
              </w:rPr>
              <w:t>202.32</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rPr>
              <w:t>202.32</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2080505</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 xml:space="preserve">  机关事业单位基本养老保险缴费支出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华文中宋" w:hAnsi="华文中宋" w:eastAsia="华文中宋"/>
              </w:rPr>
            </w:pPr>
            <w:r>
              <w:rPr>
                <w:rFonts w:hint="eastAsia" w:ascii="宋体" w:hAnsi="宋体" w:eastAsia="宋体" w:cs="宋体"/>
                <w:color w:val="000000"/>
                <w:kern w:val="0"/>
                <w:sz w:val="22"/>
              </w:rPr>
              <w:t>202.32</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rPr>
              <w:t>202.32</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20808</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抚恤</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华文中宋" w:hAnsi="华文中宋" w:eastAsia="华文中宋"/>
              </w:rPr>
            </w:pPr>
            <w:r>
              <w:rPr>
                <w:rFonts w:hint="eastAsia" w:ascii="宋体" w:hAnsi="宋体" w:eastAsia="宋体" w:cs="宋体"/>
                <w:color w:val="000000"/>
                <w:kern w:val="0"/>
                <w:sz w:val="22"/>
              </w:rPr>
              <w:t>35.41</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rPr>
              <w:t>35.41</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2080801</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 xml:space="preserve">  死亡抚恤</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华文中宋" w:hAnsi="华文中宋" w:eastAsia="华文中宋"/>
              </w:rPr>
            </w:pPr>
            <w:r>
              <w:rPr>
                <w:rFonts w:hint="eastAsia" w:ascii="宋体" w:hAnsi="宋体" w:eastAsia="宋体" w:cs="宋体"/>
                <w:color w:val="000000"/>
                <w:kern w:val="0"/>
                <w:sz w:val="22"/>
              </w:rPr>
              <w:t>35.41</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rPr>
              <w:t>35.41</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210</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卫生健康支出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华文中宋" w:hAnsi="华文中宋" w:eastAsia="华文中宋"/>
              </w:rPr>
            </w:pPr>
            <w:r>
              <w:rPr>
                <w:rFonts w:hint="eastAsia" w:ascii="宋体" w:hAnsi="宋体" w:eastAsia="宋体" w:cs="宋体"/>
                <w:color w:val="000000"/>
                <w:kern w:val="0"/>
                <w:sz w:val="22"/>
              </w:rPr>
              <w:t>102.06</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rPr>
              <w:t>102.06</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21011</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行政事业单位医疗</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华文中宋" w:hAnsi="华文中宋" w:eastAsia="华文中宋"/>
              </w:rPr>
            </w:pPr>
            <w:r>
              <w:rPr>
                <w:rFonts w:hint="eastAsia" w:ascii="宋体" w:hAnsi="宋体" w:eastAsia="宋体" w:cs="宋体"/>
                <w:color w:val="000000"/>
                <w:kern w:val="0"/>
                <w:sz w:val="22"/>
              </w:rPr>
              <w:t>102.06</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rPr>
              <w:t>102.06</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2101102</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 xml:space="preserve">  事业单位医疗</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华文中宋" w:hAnsi="华文中宋" w:eastAsia="华文中宋"/>
              </w:rPr>
            </w:pPr>
            <w:r>
              <w:rPr>
                <w:rFonts w:hint="eastAsia" w:ascii="宋体" w:hAnsi="宋体" w:eastAsia="宋体" w:cs="宋体"/>
                <w:color w:val="000000"/>
                <w:kern w:val="0"/>
                <w:sz w:val="22"/>
              </w:rPr>
              <w:t>102.06</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rPr>
              <w:t>102.06</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211</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节能环保支出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华文中宋" w:hAnsi="华文中宋" w:eastAsia="华文中宋"/>
              </w:rPr>
            </w:pPr>
            <w:r>
              <w:rPr>
                <w:rFonts w:hint="eastAsia" w:ascii="宋体" w:hAnsi="宋体" w:eastAsia="宋体" w:cs="宋体"/>
                <w:color w:val="000000"/>
                <w:kern w:val="0"/>
                <w:sz w:val="22"/>
              </w:rPr>
              <w:t>507.50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rPr>
              <w:t>507.50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21104</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自然生态保护</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华文中宋" w:hAnsi="华文中宋" w:eastAsia="华文中宋"/>
              </w:rPr>
            </w:pPr>
            <w:r>
              <w:rPr>
                <w:rFonts w:hint="eastAsia" w:ascii="宋体" w:hAnsi="宋体" w:eastAsia="宋体" w:cs="宋体"/>
                <w:color w:val="000000"/>
                <w:kern w:val="0"/>
                <w:sz w:val="22"/>
              </w:rPr>
              <w:t>4.50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rPr>
              <w:t>4.50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2110401</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 xml:space="preserve">  生态保护</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华文中宋" w:hAnsi="华文中宋" w:eastAsia="华文中宋"/>
              </w:rPr>
            </w:pPr>
            <w:r>
              <w:rPr>
                <w:rFonts w:hint="eastAsia" w:ascii="宋体" w:hAnsi="宋体" w:eastAsia="宋体" w:cs="宋体"/>
                <w:color w:val="000000"/>
                <w:kern w:val="0"/>
                <w:sz w:val="22"/>
              </w:rPr>
              <w:t>4.50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rPr>
              <w:t>4.50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21105</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天然林保护</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华文中宋" w:hAnsi="华文中宋" w:eastAsia="华文中宋"/>
              </w:rPr>
            </w:pPr>
            <w:r>
              <w:rPr>
                <w:rFonts w:hint="eastAsia" w:ascii="宋体" w:hAnsi="宋体" w:eastAsia="宋体" w:cs="宋体"/>
                <w:color w:val="000000"/>
                <w:kern w:val="0"/>
                <w:sz w:val="22"/>
              </w:rPr>
              <w:t>393.00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rPr>
              <w:t>393.00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2110507</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 xml:space="preserve">  停伐补助</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华文中宋" w:hAnsi="华文中宋" w:eastAsia="华文中宋"/>
              </w:rPr>
            </w:pPr>
            <w:r>
              <w:rPr>
                <w:rFonts w:hint="eastAsia" w:ascii="宋体" w:hAnsi="宋体" w:eastAsia="宋体" w:cs="宋体"/>
                <w:color w:val="000000"/>
                <w:kern w:val="0"/>
                <w:sz w:val="22"/>
              </w:rPr>
              <w:t>393.00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rPr>
              <w:t>393.00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21199</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其他节能环保支出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华文中宋" w:hAnsi="华文中宋" w:eastAsia="华文中宋"/>
              </w:rPr>
            </w:pPr>
            <w:r>
              <w:rPr>
                <w:rFonts w:hint="eastAsia" w:ascii="宋体" w:hAnsi="宋体" w:eastAsia="宋体" w:cs="宋体"/>
                <w:color w:val="000000"/>
                <w:kern w:val="0"/>
                <w:sz w:val="22"/>
              </w:rPr>
              <w:t>110.00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rPr>
              <w:t>110.00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2119999</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 xml:space="preserve">  其他节能环保支出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华文中宋" w:hAnsi="华文中宋" w:eastAsia="华文中宋"/>
              </w:rPr>
            </w:pPr>
            <w:r>
              <w:rPr>
                <w:rFonts w:hint="eastAsia" w:ascii="宋体" w:hAnsi="宋体" w:eastAsia="宋体" w:cs="宋体"/>
                <w:color w:val="000000"/>
                <w:kern w:val="0"/>
                <w:sz w:val="22"/>
              </w:rPr>
              <w:t>110.00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rPr>
              <w:t>110.00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212</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城乡社区支出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华文中宋" w:hAnsi="华文中宋" w:eastAsia="华文中宋"/>
              </w:rPr>
            </w:pPr>
            <w:r>
              <w:rPr>
                <w:rFonts w:hint="eastAsia" w:ascii="宋体" w:hAnsi="宋体" w:eastAsia="宋体" w:cs="宋体"/>
                <w:color w:val="000000"/>
                <w:kern w:val="0"/>
                <w:sz w:val="22"/>
              </w:rPr>
              <w:t>1,792.57</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rPr>
              <w:t>1,792.57</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21208</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国有土地使用权出让收入安排的支出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华文中宋" w:hAnsi="华文中宋" w:eastAsia="华文中宋"/>
              </w:rPr>
            </w:pPr>
            <w:r>
              <w:rPr>
                <w:rFonts w:hint="eastAsia" w:ascii="宋体" w:hAnsi="宋体" w:eastAsia="宋体" w:cs="宋体"/>
                <w:color w:val="000000"/>
                <w:kern w:val="0"/>
                <w:sz w:val="22"/>
              </w:rPr>
              <w:t>1,792.57</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rPr>
              <w:t>1,792.57</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2120801</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 xml:space="preserve">  征地和拆迁补偿支出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华文中宋" w:hAnsi="华文中宋" w:eastAsia="华文中宋"/>
              </w:rPr>
            </w:pPr>
            <w:r>
              <w:rPr>
                <w:rFonts w:hint="eastAsia" w:ascii="宋体" w:hAnsi="宋体" w:eastAsia="宋体" w:cs="宋体"/>
                <w:color w:val="000000"/>
                <w:kern w:val="0"/>
                <w:sz w:val="22"/>
              </w:rPr>
              <w:t>2.08</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rPr>
              <w:t>2.08</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2120802</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 xml:space="preserve">  土地开发支出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华文中宋" w:hAnsi="华文中宋" w:eastAsia="华文中宋"/>
              </w:rPr>
            </w:pPr>
            <w:r>
              <w:rPr>
                <w:rFonts w:hint="eastAsia" w:ascii="宋体" w:hAnsi="宋体" w:eastAsia="宋体" w:cs="宋体"/>
                <w:color w:val="000000"/>
                <w:kern w:val="0"/>
                <w:sz w:val="22"/>
              </w:rPr>
              <w:t>1,790.49</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rPr>
              <w:t>1,790.49</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224</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灾害防治及应急管理支出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华文中宋" w:hAnsi="华文中宋" w:eastAsia="华文中宋"/>
              </w:rPr>
            </w:pPr>
            <w:r>
              <w:rPr>
                <w:rFonts w:hint="eastAsia" w:ascii="宋体" w:hAnsi="宋体" w:eastAsia="宋体" w:cs="宋体"/>
                <w:color w:val="000000"/>
                <w:kern w:val="0"/>
                <w:sz w:val="22"/>
              </w:rPr>
              <w:t>16.00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rPr>
              <w:t>16.00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22406</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自然灾害防治</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华文中宋" w:hAnsi="华文中宋" w:eastAsia="华文中宋"/>
              </w:rPr>
            </w:pPr>
            <w:r>
              <w:rPr>
                <w:rFonts w:hint="eastAsia" w:ascii="宋体" w:hAnsi="宋体" w:eastAsia="宋体" w:cs="宋体"/>
                <w:color w:val="000000"/>
                <w:kern w:val="0"/>
                <w:sz w:val="22"/>
              </w:rPr>
              <w:t>16.00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rPr>
              <w:t>16.00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2240602</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pPr>
            <w:r>
              <w:rPr>
                <w:rFonts w:hint="eastAsia" w:ascii="宋体" w:hAnsi="宋体" w:eastAsia="宋体" w:cs="宋体"/>
                <w:color w:val="000000"/>
                <w:kern w:val="0"/>
                <w:sz w:val="22"/>
              </w:rPr>
              <w:t xml:space="preserve">  森林草原防灾减灾</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rPr>
                <w:rFonts w:ascii="华文中宋" w:hAnsi="华文中宋" w:eastAsia="华文中宋"/>
              </w:rPr>
            </w:pPr>
            <w:r>
              <w:rPr>
                <w:rFonts w:hint="eastAsia" w:ascii="宋体" w:hAnsi="宋体" w:eastAsia="宋体" w:cs="宋体"/>
                <w:color w:val="000000"/>
                <w:kern w:val="0"/>
                <w:sz w:val="22"/>
              </w:rPr>
              <w:t>16.00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jc w:val="right"/>
              <w:textAlignment w:val="center"/>
            </w:pPr>
            <w:r>
              <w:rPr>
                <w:rFonts w:hint="eastAsia" w:ascii="宋体" w:hAnsi="宋体" w:eastAsia="宋体" w:cs="宋体"/>
                <w:color w:val="000000"/>
                <w:kern w:val="0"/>
                <w:sz w:val="22"/>
              </w:rPr>
              <w:t>16.00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pPr>
          </w:p>
        </w:tc>
      </w:tr>
      <w:tr>
        <w:tblPrEx>
          <w:tblCellMar>
            <w:top w:w="0" w:type="dxa"/>
            <w:left w:w="0" w:type="dxa"/>
            <w:bottom w:w="0" w:type="dxa"/>
            <w:right w:w="0" w:type="dxa"/>
          </w:tblCellMar>
        </w:tblPrEx>
        <w:trPr>
          <w:trHeight w:val="615" w:hRule="atLeast"/>
        </w:trPr>
        <w:tc>
          <w:tcPr>
            <w:tcW w:w="15386" w:type="dxa"/>
            <w:gridSpan w:val="10"/>
            <w:tcBorders>
              <w:top w:val="nil"/>
              <w:left w:val="nil"/>
              <w:bottom w:val="nil"/>
              <w:right w:val="nil"/>
            </w:tcBorders>
            <w:shd w:val="clear" w:color="auto" w:fill="auto"/>
            <w:tcMar>
              <w:top w:w="15" w:type="dxa"/>
              <w:left w:w="15" w:type="dxa"/>
              <w:bottom w:w="0" w:type="dxa"/>
              <w:right w:w="15" w:type="dxa"/>
            </w:tcMar>
            <w:vAlign w:val="center"/>
          </w:tcPr>
          <w:p>
            <w:pPr>
              <w:rPr>
                <w:rFonts w:ascii="宋体" w:hAnsi="宋体" w:eastAsia="宋体" w:cs="宋体"/>
                <w:sz w:val="24"/>
                <w:szCs w:val="24"/>
              </w:rPr>
            </w:pPr>
            <w:r>
              <w:rPr>
                <w:rFonts w:hint="eastAsia"/>
              </w:rPr>
              <w:t>注：本表反映部门本年度取得的各项收入情况。</w:t>
            </w:r>
          </w:p>
        </w:tc>
      </w:tr>
    </w:tbl>
    <w:p>
      <w:pPr>
        <w:widowControl/>
        <w:jc w:val="left"/>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br w:type="page"/>
      </w:r>
    </w:p>
    <w:p>
      <w:pPr>
        <w:widowControl/>
        <w:rPr>
          <w:rFonts w:ascii="Times New Roman" w:hAnsi="Times New Roman" w:eastAsia="方正小标宋_GBK" w:cs="Times New Roman"/>
          <w:color w:val="000000"/>
          <w:kern w:val="0"/>
          <w:sz w:val="36"/>
          <w:szCs w:val="36"/>
        </w:rPr>
      </w:pPr>
    </w:p>
    <w:tbl>
      <w:tblPr>
        <w:tblStyle w:val="8"/>
        <w:tblW w:w="14111" w:type="dxa"/>
        <w:tblInd w:w="93" w:type="dxa"/>
        <w:tblLayout w:type="autofit"/>
        <w:tblCellMar>
          <w:top w:w="0" w:type="dxa"/>
          <w:left w:w="108" w:type="dxa"/>
          <w:bottom w:w="0" w:type="dxa"/>
          <w:right w:w="108" w:type="dxa"/>
        </w:tblCellMar>
      </w:tblPr>
      <w:tblGrid>
        <w:gridCol w:w="986"/>
        <w:gridCol w:w="822"/>
        <w:gridCol w:w="222"/>
        <w:gridCol w:w="1411"/>
        <w:gridCol w:w="1646"/>
        <w:gridCol w:w="1679"/>
        <w:gridCol w:w="1679"/>
        <w:gridCol w:w="1679"/>
        <w:gridCol w:w="1679"/>
        <w:gridCol w:w="2308"/>
      </w:tblGrid>
      <w:tr>
        <w:tblPrEx>
          <w:tblCellMar>
            <w:top w:w="0" w:type="dxa"/>
            <w:left w:w="108" w:type="dxa"/>
            <w:bottom w:w="0" w:type="dxa"/>
            <w:right w:w="108" w:type="dxa"/>
          </w:tblCellMar>
        </w:tblPrEx>
        <w:trPr>
          <w:trHeight w:val="435" w:hRule="atLeast"/>
        </w:trPr>
        <w:tc>
          <w:tcPr>
            <w:tcW w:w="14111" w:type="dxa"/>
            <w:gridSpan w:val="10"/>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支出决算表</w:t>
            </w:r>
          </w:p>
        </w:tc>
      </w:tr>
      <w:tr>
        <w:tblPrEx>
          <w:tblCellMar>
            <w:top w:w="0" w:type="dxa"/>
            <w:left w:w="108" w:type="dxa"/>
            <w:bottom w:w="0" w:type="dxa"/>
            <w:right w:w="108" w:type="dxa"/>
          </w:tblCellMar>
        </w:tblPrEx>
        <w:trPr>
          <w:trHeight w:val="285" w:hRule="atLeast"/>
        </w:trPr>
        <w:tc>
          <w:tcPr>
            <w:tcW w:w="1808"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2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41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4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08"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公开03表</w:t>
            </w:r>
          </w:p>
        </w:tc>
      </w:tr>
      <w:tr>
        <w:tblPrEx>
          <w:tblCellMar>
            <w:top w:w="0" w:type="dxa"/>
            <w:left w:w="108" w:type="dxa"/>
            <w:bottom w:w="0" w:type="dxa"/>
            <w:right w:w="108" w:type="dxa"/>
          </w:tblCellMar>
        </w:tblPrEx>
        <w:trPr>
          <w:trHeight w:val="285" w:hRule="atLeast"/>
        </w:trPr>
        <w:tc>
          <w:tcPr>
            <w:tcW w:w="1808" w:type="dxa"/>
            <w:gridSpan w:val="2"/>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部门：湖南月岩国家森林公园管理局</w:t>
            </w:r>
          </w:p>
        </w:tc>
        <w:tc>
          <w:tcPr>
            <w:tcW w:w="22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41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4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08"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50" w:hRule="atLeast"/>
        </w:trPr>
        <w:tc>
          <w:tcPr>
            <w:tcW w:w="3441" w:type="dxa"/>
            <w:gridSpan w:val="4"/>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646"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本年支出合计</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基本支出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上缴上级支出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经营支出</w:t>
            </w:r>
          </w:p>
        </w:tc>
        <w:tc>
          <w:tcPr>
            <w:tcW w:w="2308"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对附属单位补助支出</w:t>
            </w:r>
          </w:p>
        </w:tc>
      </w:tr>
      <w:tr>
        <w:tblPrEx>
          <w:tblCellMar>
            <w:top w:w="0" w:type="dxa"/>
            <w:left w:w="108" w:type="dxa"/>
            <w:bottom w:w="0" w:type="dxa"/>
            <w:right w:w="108" w:type="dxa"/>
          </w:tblCellMar>
        </w:tblPrEx>
        <w:trPr>
          <w:trHeight w:val="450" w:hRule="atLeast"/>
        </w:trPr>
        <w:tc>
          <w:tcPr>
            <w:tcW w:w="2030" w:type="dxa"/>
            <w:gridSpan w:val="3"/>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1411"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16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3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203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41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3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3441"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2"/>
              </w:rPr>
              <w:t>栏次</w:t>
            </w:r>
          </w:p>
        </w:tc>
        <w:tc>
          <w:tcPr>
            <w:tcW w:w="1646"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2"/>
              </w:rPr>
              <w:t>1</w:t>
            </w:r>
          </w:p>
        </w:tc>
        <w:tc>
          <w:tcPr>
            <w:tcW w:w="167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2"/>
              </w:rPr>
              <w:t>2</w:t>
            </w:r>
          </w:p>
        </w:tc>
        <w:tc>
          <w:tcPr>
            <w:tcW w:w="167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2"/>
              </w:rPr>
              <w:t>3</w:t>
            </w:r>
          </w:p>
        </w:tc>
        <w:tc>
          <w:tcPr>
            <w:tcW w:w="167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2"/>
              </w:rPr>
              <w:t>4</w:t>
            </w:r>
          </w:p>
        </w:tc>
        <w:tc>
          <w:tcPr>
            <w:tcW w:w="167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2"/>
              </w:rPr>
              <w:t>5</w:t>
            </w:r>
          </w:p>
        </w:tc>
        <w:tc>
          <w:tcPr>
            <w:tcW w:w="2308"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2"/>
              </w:rPr>
              <w:t>6</w:t>
            </w:r>
          </w:p>
        </w:tc>
      </w:tr>
      <w:tr>
        <w:tblPrEx>
          <w:tblCellMar>
            <w:top w:w="0" w:type="dxa"/>
            <w:left w:w="108" w:type="dxa"/>
            <w:bottom w:w="0" w:type="dxa"/>
            <w:right w:w="108" w:type="dxa"/>
          </w:tblCellMar>
        </w:tblPrEx>
        <w:trPr>
          <w:trHeight w:val="450" w:hRule="atLeast"/>
        </w:trPr>
        <w:tc>
          <w:tcPr>
            <w:tcW w:w="3441"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2"/>
              </w:rPr>
              <w:t>合计</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b/>
                <w:bCs/>
                <w:color w:val="000000"/>
                <w:kern w:val="0"/>
                <w:sz w:val="22"/>
              </w:rPr>
              <w:t>2,663.96</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b/>
                <w:bCs/>
                <w:color w:val="000000"/>
                <w:kern w:val="0"/>
                <w:sz w:val="22"/>
              </w:rPr>
              <w:t>2,053.96</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b/>
                <w:bCs/>
                <w:color w:val="000000"/>
                <w:kern w:val="0"/>
                <w:sz w:val="22"/>
              </w:rPr>
              <w:t>610.00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201</w:t>
            </w:r>
          </w:p>
        </w:tc>
        <w:tc>
          <w:tcPr>
            <w:tcW w:w="2455"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一般公共服务支出</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8.10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8.10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20111</w:t>
            </w:r>
          </w:p>
        </w:tc>
        <w:tc>
          <w:tcPr>
            <w:tcW w:w="2455"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纪检监察事务</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8.10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8.10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2011199</w:t>
            </w:r>
          </w:p>
        </w:tc>
        <w:tc>
          <w:tcPr>
            <w:tcW w:w="2455"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 xml:space="preserve">  其他纪检监察事务支出</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8.10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8.10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208</w:t>
            </w:r>
          </w:p>
        </w:tc>
        <w:tc>
          <w:tcPr>
            <w:tcW w:w="2455"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社会保障和就业支出</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237.73</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237.73</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20805</w:t>
            </w:r>
          </w:p>
        </w:tc>
        <w:tc>
          <w:tcPr>
            <w:tcW w:w="2455"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行政事业单位养老支出</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202.32</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202.32</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2080505</w:t>
            </w:r>
          </w:p>
        </w:tc>
        <w:tc>
          <w:tcPr>
            <w:tcW w:w="2455"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 xml:space="preserve">  机关事业单位基本养老保险缴费支出</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202.32</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202.32</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20808</w:t>
            </w:r>
          </w:p>
        </w:tc>
        <w:tc>
          <w:tcPr>
            <w:tcW w:w="2455"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抚恤</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35.41</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35.41</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2080801</w:t>
            </w:r>
          </w:p>
        </w:tc>
        <w:tc>
          <w:tcPr>
            <w:tcW w:w="2455"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 xml:space="preserve">  死亡抚恤</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35.41</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35.41</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210</w:t>
            </w:r>
          </w:p>
        </w:tc>
        <w:tc>
          <w:tcPr>
            <w:tcW w:w="2455"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卫生健康支出</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102.06</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102.06</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21011</w:t>
            </w:r>
          </w:p>
        </w:tc>
        <w:tc>
          <w:tcPr>
            <w:tcW w:w="2455"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行政事业单位医疗</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102.06</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102.06</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2101102</w:t>
            </w:r>
          </w:p>
        </w:tc>
        <w:tc>
          <w:tcPr>
            <w:tcW w:w="2455"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 xml:space="preserve">  事业单位医疗</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102.06</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102.06</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211</w:t>
            </w:r>
          </w:p>
        </w:tc>
        <w:tc>
          <w:tcPr>
            <w:tcW w:w="2455"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节能环保支出</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507.50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507.50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21104</w:t>
            </w:r>
          </w:p>
        </w:tc>
        <w:tc>
          <w:tcPr>
            <w:tcW w:w="2455"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自然生态保护</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4.50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4.50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2110401</w:t>
            </w:r>
          </w:p>
        </w:tc>
        <w:tc>
          <w:tcPr>
            <w:tcW w:w="2455"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 xml:space="preserve">  生态保护</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4.50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4.50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21105</w:t>
            </w:r>
          </w:p>
        </w:tc>
        <w:tc>
          <w:tcPr>
            <w:tcW w:w="2455"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天然林保护</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393.00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393.00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2110507</w:t>
            </w:r>
          </w:p>
        </w:tc>
        <w:tc>
          <w:tcPr>
            <w:tcW w:w="2455"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 xml:space="preserve">  停伐补助</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393.00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393.00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21199</w:t>
            </w:r>
          </w:p>
        </w:tc>
        <w:tc>
          <w:tcPr>
            <w:tcW w:w="2455"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其他节能环保支出</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110.00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110.00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2119999</w:t>
            </w:r>
          </w:p>
        </w:tc>
        <w:tc>
          <w:tcPr>
            <w:tcW w:w="2455"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 xml:space="preserve">  其他节能环保支出</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110.00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110.00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212</w:t>
            </w:r>
          </w:p>
        </w:tc>
        <w:tc>
          <w:tcPr>
            <w:tcW w:w="2455"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城乡社区支出</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1,792.57</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1,714.17</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78.40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21208</w:t>
            </w:r>
          </w:p>
        </w:tc>
        <w:tc>
          <w:tcPr>
            <w:tcW w:w="2455"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国有土地使用权出让收入安排的支出</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1,792.57</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1,714.17</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78.40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2120801</w:t>
            </w:r>
          </w:p>
        </w:tc>
        <w:tc>
          <w:tcPr>
            <w:tcW w:w="2455"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 xml:space="preserve">  征地和拆迁补偿支出</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2.08</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2.08</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2120802</w:t>
            </w:r>
          </w:p>
        </w:tc>
        <w:tc>
          <w:tcPr>
            <w:tcW w:w="2455"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 xml:space="preserve">  土地开发支出</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1,790.49</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1,712.09</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78.40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224</w:t>
            </w:r>
          </w:p>
        </w:tc>
        <w:tc>
          <w:tcPr>
            <w:tcW w:w="2455"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灾害防治及应急管理支出</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16.00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16.00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22406</w:t>
            </w:r>
          </w:p>
        </w:tc>
        <w:tc>
          <w:tcPr>
            <w:tcW w:w="2455"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自然灾害防治</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16.00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16.00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2240602</w:t>
            </w:r>
          </w:p>
        </w:tc>
        <w:tc>
          <w:tcPr>
            <w:tcW w:w="2455"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 xml:space="preserve">  森林草原防灾减灾</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16.00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color w:val="000000"/>
                <w:kern w:val="0"/>
                <w:sz w:val="22"/>
              </w:rPr>
              <w:t>16.00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630" w:hRule="atLeast"/>
        </w:trPr>
        <w:tc>
          <w:tcPr>
            <w:tcW w:w="14111" w:type="dxa"/>
            <w:gridSpan w:val="10"/>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注：本表反映部门本年度各项支出情况。</w:t>
            </w:r>
          </w:p>
        </w:tc>
      </w:tr>
    </w:tbl>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tbl>
      <w:tblPr>
        <w:tblStyle w:val="8"/>
        <w:tblW w:w="15521" w:type="dxa"/>
        <w:tblInd w:w="93" w:type="dxa"/>
        <w:tblLayout w:type="autofit"/>
        <w:tblCellMar>
          <w:top w:w="0" w:type="dxa"/>
          <w:left w:w="108" w:type="dxa"/>
          <w:bottom w:w="0" w:type="dxa"/>
          <w:right w:w="108" w:type="dxa"/>
        </w:tblCellMar>
      </w:tblPr>
      <w:tblGrid>
        <w:gridCol w:w="3591"/>
        <w:gridCol w:w="436"/>
        <w:gridCol w:w="1095"/>
        <w:gridCol w:w="495"/>
        <w:gridCol w:w="2911"/>
        <w:gridCol w:w="631"/>
        <w:gridCol w:w="435"/>
        <w:gridCol w:w="1571"/>
        <w:gridCol w:w="1392"/>
        <w:gridCol w:w="1392"/>
        <w:gridCol w:w="1572"/>
      </w:tblGrid>
      <w:tr>
        <w:tblPrEx>
          <w:tblCellMar>
            <w:top w:w="0" w:type="dxa"/>
            <w:left w:w="108" w:type="dxa"/>
            <w:bottom w:w="0" w:type="dxa"/>
            <w:right w:w="108" w:type="dxa"/>
          </w:tblCellMar>
        </w:tblPrEx>
        <w:trPr>
          <w:trHeight w:val="285" w:hRule="atLeast"/>
        </w:trPr>
        <w:tc>
          <w:tcPr>
            <w:tcW w:w="3595" w:type="dxa"/>
            <w:tcBorders>
              <w:top w:val="nil"/>
              <w:left w:val="nil"/>
              <w:bottom w:val="nil"/>
              <w:right w:val="nil"/>
            </w:tcBorders>
            <w:shd w:val="clear" w:color="auto" w:fill="auto"/>
            <w:noWrap/>
            <w:vAlign w:val="center"/>
          </w:tcPr>
          <w:p>
            <w:pPr>
              <w:widowControl/>
              <w:jc w:val="left"/>
              <w:rPr>
                <w:rFonts w:ascii="黑体" w:hAnsi="黑体" w:eastAsia="黑体" w:cs="宋体"/>
                <w:kern w:val="0"/>
                <w:sz w:val="24"/>
                <w:szCs w:val="24"/>
              </w:rPr>
            </w:pPr>
            <w:bookmarkStart w:id="0" w:name="RANGE!A1:I22"/>
            <w:bookmarkEnd w:id="0"/>
            <w:bookmarkStart w:id="1" w:name="RANGE!A1:F16"/>
          </w:p>
        </w:tc>
        <w:tc>
          <w:tcPr>
            <w:tcW w:w="436"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4" w:type="dxa"/>
            <w:gridSpan w:val="2"/>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3547" w:type="dxa"/>
            <w:gridSpan w:val="2"/>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435"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3"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394"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394"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3"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360" w:hRule="atLeast"/>
        </w:trPr>
        <w:tc>
          <w:tcPr>
            <w:tcW w:w="15521" w:type="dxa"/>
            <w:gridSpan w:val="11"/>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财政拨款收入支出决算总表</w:t>
            </w:r>
          </w:p>
        </w:tc>
      </w:tr>
      <w:tr>
        <w:tblPrEx>
          <w:tblCellMar>
            <w:top w:w="0" w:type="dxa"/>
            <w:left w:w="108" w:type="dxa"/>
            <w:bottom w:w="0" w:type="dxa"/>
            <w:right w:w="108" w:type="dxa"/>
          </w:tblCellMar>
        </w:tblPrEx>
        <w:trPr>
          <w:trHeight w:val="199" w:hRule="atLeast"/>
        </w:trPr>
        <w:tc>
          <w:tcPr>
            <w:tcW w:w="359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04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公开04表</w:t>
            </w:r>
          </w:p>
        </w:tc>
      </w:tr>
      <w:tr>
        <w:tblPrEx>
          <w:tblCellMar>
            <w:top w:w="0" w:type="dxa"/>
            <w:left w:w="108" w:type="dxa"/>
            <w:bottom w:w="0" w:type="dxa"/>
            <w:right w:w="108" w:type="dxa"/>
          </w:tblCellMar>
        </w:tblPrEx>
        <w:trPr>
          <w:trHeight w:val="300" w:hRule="atLeast"/>
        </w:trPr>
        <w:tc>
          <w:tcPr>
            <w:tcW w:w="3595" w:type="dxa"/>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部门：湖南月岩国家森林公园管理局</w:t>
            </w:r>
          </w:p>
        </w:tc>
        <w:tc>
          <w:tcPr>
            <w:tcW w:w="43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04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5109"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10412" w:type="dxa"/>
            <w:gridSpan w:val="8"/>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CellMar>
            <w:top w:w="0" w:type="dxa"/>
            <w:left w:w="108" w:type="dxa"/>
            <w:bottom w:w="0" w:type="dxa"/>
            <w:right w:w="108" w:type="dxa"/>
          </w:tblCellMar>
        </w:tblPrEx>
        <w:trPr>
          <w:trHeight w:val="630"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0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金额</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一般公共预算财政拨款</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政府性基金预算财政拨款</w:t>
            </w:r>
          </w:p>
        </w:tc>
        <w:tc>
          <w:tcPr>
            <w:tcW w:w="15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国有资本经营预算财政拨款</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2"/>
              </w:rPr>
              <w:t>栏次</w:t>
            </w:r>
          </w:p>
        </w:tc>
        <w:tc>
          <w:tcPr>
            <w:tcW w:w="43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kern w:val="0"/>
                <w:sz w:val="24"/>
                <w:szCs w:val="24"/>
              </w:rPr>
            </w:pPr>
          </w:p>
        </w:tc>
        <w:tc>
          <w:tcPr>
            <w:tcW w:w="1078"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2"/>
              </w:rPr>
              <w:t>1</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2"/>
              </w:rPr>
              <w:t>栏次</w:t>
            </w:r>
          </w:p>
        </w:tc>
        <w:tc>
          <w:tcPr>
            <w:tcW w:w="1067"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kern w:val="0"/>
                <w:sz w:val="24"/>
                <w:szCs w:val="24"/>
              </w:rPr>
            </w:pP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2"/>
              </w:rPr>
              <w:t>2</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2"/>
              </w:rPr>
              <w:t>3</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2"/>
              </w:rPr>
              <w:t>4</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color w:val="000000"/>
                <w:kern w:val="0"/>
                <w:sz w:val="22"/>
              </w:rPr>
              <w:t>5</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一、一般公共预算财政拨款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rPr>
              <w:t>871.39</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一、一般公共服务支出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33</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rPr>
              <w:t>8.10</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rPr>
              <w:t>8.10</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二、政府性基金预算财政拨款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2</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rPr>
              <w:t>1,792.57</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二、外交支出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34</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三、国有资本经营财政拨款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三、国防支出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35</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四、公共安全支出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36</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五、教育支出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37</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6</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六、科学技术支出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38</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7</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color w:val="000000"/>
                <w:kern w:val="0"/>
                <w:sz w:val="22"/>
              </w:rPr>
              <w:t>七、文化旅游体育与传媒支出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39</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8</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八、社会保障和就业支出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40</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rPr>
              <w:t>237.73</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rPr>
              <w:t>237.73</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9</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九、卫生健康支出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41</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rPr>
              <w:t>102.06</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rPr>
              <w:t>102.06</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10</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十、节能环保支出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42</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rPr>
              <w:t>507.50</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rPr>
              <w:t>507.50</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11</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十一、城乡社区支出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43</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rPr>
              <w:t>1,792.57</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rPr>
              <w:t>1,792.57</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12</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十二、农林水支出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44</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13</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十三、交通运输支出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45</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14</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十四、资源勘探工业信息等支出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46</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15</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十五、商业服务业等支出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47</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16</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十六、金融支出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48</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17</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十七、援助其他地区支出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49</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18</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十八、自然资源海洋气象等支出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50</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19</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十九、住房保障支出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51</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20</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二十、粮油物资储备支出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52</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21</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二十一、国有资本经营预算支出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53</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22</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二十二、灾害防治及应急管理支出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54</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rPr>
              <w:t>16.00</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rPr>
              <w:t>16.00</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23</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二十三、其他支出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55</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24</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二十四、债务还本支出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56</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25</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二十五、债务付息支出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57</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26</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二十六、抗疫特别国债安排的支出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58</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b/>
                <w:bCs/>
                <w:kern w:val="0"/>
                <w:sz w:val="22"/>
              </w:rPr>
            </w:pPr>
            <w:r>
              <w:rPr>
                <w:rFonts w:hint="eastAsia" w:ascii="宋体" w:hAnsi="宋体" w:eastAsia="宋体" w:cs="宋体"/>
                <w:b/>
                <w:bCs/>
                <w:color w:val="000000"/>
                <w:kern w:val="0"/>
                <w:sz w:val="22"/>
              </w:rPr>
              <w:t>本年收入合计</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27</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rPr>
              <w:t>2,663.96</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b/>
                <w:bCs/>
                <w:kern w:val="0"/>
                <w:sz w:val="22"/>
              </w:rPr>
            </w:pPr>
            <w:r>
              <w:rPr>
                <w:rFonts w:hint="eastAsia" w:ascii="宋体" w:hAnsi="宋体" w:eastAsia="宋体" w:cs="宋体"/>
                <w:b/>
                <w:bCs/>
                <w:color w:val="000000"/>
                <w:kern w:val="0"/>
                <w:sz w:val="22"/>
              </w:rPr>
              <w:t>本年支出合计</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59</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rPr>
              <w:t>2,663.96</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rPr>
              <w:t>871.39</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rPr>
              <w:t>1,792.57</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年初财政拨款结转和结余</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28</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rPr>
              <w:t>665.14</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年末财政拨款结转和结余</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60</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rPr>
              <w:t>665.14</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rPr>
              <w:t>665.14</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 xml:space="preserve">  一般公共预算财政拨款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29</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rPr>
              <w:t>665.14</w:t>
            </w:r>
          </w:p>
        </w:tc>
        <w:tc>
          <w:tcPr>
            <w:tcW w:w="3411" w:type="dxa"/>
            <w:gridSpan w:val="2"/>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61</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 xml:space="preserve">  政府性基金预算财政拨款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30</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62</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kern w:val="0"/>
                <w:sz w:val="22"/>
              </w:rPr>
            </w:pPr>
            <w:r>
              <w:rPr>
                <w:rFonts w:hint="eastAsia" w:ascii="宋体" w:hAnsi="宋体" w:eastAsia="宋体" w:cs="宋体"/>
                <w:color w:val="000000"/>
                <w:kern w:val="0"/>
                <w:sz w:val="22"/>
              </w:rPr>
              <w:t xml:space="preserve">  国有资本经营预算财政拨款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31</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63</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b/>
                <w:bCs/>
                <w:kern w:val="0"/>
                <w:sz w:val="22"/>
              </w:rPr>
            </w:pPr>
            <w:r>
              <w:rPr>
                <w:rFonts w:hint="eastAsia" w:ascii="宋体" w:hAnsi="宋体" w:eastAsia="宋体" w:cs="宋体"/>
                <w:b/>
                <w:bCs/>
                <w:color w:val="000000"/>
                <w:kern w:val="0"/>
                <w:sz w:val="22"/>
              </w:rPr>
              <w:t>总计</w:t>
            </w:r>
          </w:p>
        </w:tc>
        <w:tc>
          <w:tcPr>
            <w:tcW w:w="436"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32</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rPr>
              <w:t>3,329.10</w:t>
            </w:r>
          </w:p>
        </w:tc>
        <w:tc>
          <w:tcPr>
            <w:tcW w:w="3411" w:type="dxa"/>
            <w:gridSpan w:val="2"/>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b/>
                <w:bCs/>
                <w:kern w:val="0"/>
                <w:sz w:val="22"/>
              </w:rPr>
            </w:pPr>
            <w:r>
              <w:rPr>
                <w:rFonts w:hint="eastAsia" w:ascii="宋体" w:hAnsi="宋体" w:eastAsia="宋体" w:cs="宋体"/>
                <w:b/>
                <w:bCs/>
                <w:color w:val="000000"/>
                <w:kern w:val="0"/>
                <w:sz w:val="22"/>
              </w:rPr>
              <w:t>总计</w:t>
            </w:r>
          </w:p>
        </w:tc>
        <w:tc>
          <w:tcPr>
            <w:tcW w:w="1067" w:type="dxa"/>
            <w:gridSpan w:val="2"/>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hAnsi="宋体" w:eastAsia="宋体" w:cs="宋体"/>
                <w:kern w:val="0"/>
                <w:sz w:val="22"/>
              </w:rPr>
            </w:pPr>
            <w:r>
              <w:rPr>
                <w:rFonts w:hint="eastAsia" w:ascii="宋体" w:hAnsi="宋体" w:eastAsia="宋体" w:cs="宋体"/>
                <w:color w:val="000000"/>
                <w:kern w:val="0"/>
                <w:sz w:val="22"/>
              </w:rPr>
              <w:t>64</w:t>
            </w:r>
          </w:p>
        </w:tc>
        <w:tc>
          <w:tcPr>
            <w:tcW w:w="1573" w:type="dxa"/>
            <w:tcBorders>
              <w:top w:val="nil"/>
              <w:left w:val="nil"/>
              <w:bottom w:val="single" w:color="auto" w:sz="4" w:space="0"/>
              <w:right w:val="single" w:color="auto" w:sz="4" w:space="0"/>
            </w:tcBorders>
            <w:shd w:val="clear" w:color="000000" w:fill="FFFFFF"/>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rPr>
              <w:t>3,329.10</w:t>
            </w:r>
          </w:p>
        </w:tc>
        <w:tc>
          <w:tcPr>
            <w:tcW w:w="1394" w:type="dxa"/>
            <w:tcBorders>
              <w:top w:val="nil"/>
              <w:left w:val="nil"/>
              <w:bottom w:val="single" w:color="auto" w:sz="4" w:space="0"/>
              <w:right w:val="single" w:color="auto" w:sz="4" w:space="0"/>
            </w:tcBorders>
            <w:shd w:val="clear" w:color="000000" w:fill="FFFFFF"/>
            <w:noWrap/>
            <w:vAlign w:val="center"/>
          </w:tcPr>
          <w:p>
            <w:pPr>
              <w:widowControl/>
              <w:jc w:val="right"/>
              <w:textAlignment w:val="center"/>
              <w:rPr>
                <w:rFonts w:ascii="宋体" w:hAnsi="宋体" w:eastAsia="宋体" w:cs="宋体"/>
                <w:kern w:val="0"/>
                <w:sz w:val="22"/>
              </w:rPr>
            </w:pPr>
            <w:r>
              <w:rPr>
                <w:rFonts w:hint="eastAsia" w:ascii="宋体" w:hAnsi="宋体" w:eastAsia="宋体" w:cs="宋体"/>
                <w:color w:val="000000"/>
                <w:kern w:val="0"/>
                <w:sz w:val="22"/>
              </w:rPr>
              <w:t>1,536.53</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b/>
                <w:bCs/>
                <w:kern w:val="0"/>
                <w:sz w:val="22"/>
              </w:rPr>
            </w:pPr>
            <w:r>
              <w:rPr>
                <w:rFonts w:hint="eastAsia" w:ascii="宋体" w:hAnsi="宋体" w:eastAsia="宋体" w:cs="宋体"/>
                <w:color w:val="000000"/>
                <w:kern w:val="0"/>
                <w:sz w:val="22"/>
              </w:rPr>
              <w:t>1,792.57</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585" w:hRule="atLeast"/>
        </w:trPr>
        <w:tc>
          <w:tcPr>
            <w:tcW w:w="15521" w:type="dxa"/>
            <w:gridSpan w:val="11"/>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注：本表反映部门本年度一般公共预算财政拨款、政府性基金预算财政拨款和国有资本经营预算财政拨款的总收支和年末结转结余情况。</w:t>
            </w:r>
          </w:p>
        </w:tc>
      </w:tr>
    </w:tbl>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一般公共预算财政拨款支出决算表</w:t>
      </w:r>
      <w:bookmarkEnd w:id="1"/>
    </w:p>
    <w:p>
      <w:pPr>
        <w:widowControl/>
        <w:spacing w:beforeLines="50"/>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部门：</w:t>
      </w:r>
      <w:r>
        <w:rPr>
          <w:rFonts w:hint="eastAsia" w:ascii="宋体" w:hAnsi="宋体" w:eastAsia="宋体" w:cs="宋体"/>
          <w:color w:val="000000"/>
          <w:kern w:val="0"/>
          <w:sz w:val="20"/>
          <w:szCs w:val="20"/>
        </w:rPr>
        <w:t>湖南月岩国家森林公园管理局</w:t>
      </w:r>
      <w:r>
        <w:rPr>
          <w:rFonts w:ascii="Times New Roman" w:hAnsi="Times New Roman" w:eastAsia="仿宋_GB2312" w:cs="Times New Roman"/>
          <w:color w:val="000000"/>
          <w:kern w:val="0"/>
          <w:szCs w:val="21"/>
        </w:rPr>
        <w:t xml:space="preserve">                                                                     公开05表</w:t>
      </w:r>
    </w:p>
    <w:p>
      <w:pPr>
        <w:widowControl/>
        <w:jc w:val="left"/>
        <w:rPr>
          <w:rFonts w:ascii="Times New Roman" w:hAnsi="Times New Roman" w:eastAsia="宋体" w:cs="Times New Roman"/>
          <w:color w:val="000000"/>
          <w:kern w:val="0"/>
          <w:sz w:val="20"/>
          <w:szCs w:val="20"/>
        </w:rPr>
      </w:pPr>
      <w:r>
        <w:rPr>
          <w:rFonts w:ascii="Times New Roman" w:hAnsi="Times New Roman" w:eastAsia="仿宋_GB2312" w:cs="Times New Roman"/>
          <w:color w:val="000000"/>
          <w:kern w:val="0"/>
          <w:szCs w:val="21"/>
        </w:rPr>
        <w:t xml:space="preserve">       单位：万元</w:t>
      </w:r>
    </w:p>
    <w:tbl>
      <w:tblPr>
        <w:tblStyle w:val="8"/>
        <w:tblW w:w="14219" w:type="dxa"/>
        <w:jc w:val="center"/>
        <w:tblLayout w:type="autofit"/>
        <w:tblCellMar>
          <w:top w:w="0" w:type="dxa"/>
          <w:left w:w="108" w:type="dxa"/>
          <w:bottom w:w="0" w:type="dxa"/>
          <w:right w:w="108" w:type="dxa"/>
        </w:tblCellMar>
      </w:tblPr>
      <w:tblGrid>
        <w:gridCol w:w="986"/>
        <w:gridCol w:w="1003"/>
        <w:gridCol w:w="3281"/>
        <w:gridCol w:w="2832"/>
        <w:gridCol w:w="3285"/>
        <w:gridCol w:w="2832"/>
      </w:tblGrid>
      <w:tr>
        <w:tblPrEx>
          <w:tblCellMar>
            <w:top w:w="0" w:type="dxa"/>
            <w:left w:w="108" w:type="dxa"/>
            <w:bottom w:w="0" w:type="dxa"/>
            <w:right w:w="108" w:type="dxa"/>
          </w:tblCellMar>
        </w:tblPrEx>
        <w:trPr>
          <w:trHeight w:val="405" w:hRule="atLeast"/>
          <w:jc w:val="center"/>
        </w:trPr>
        <w:tc>
          <w:tcPr>
            <w:tcW w:w="5270" w:type="dxa"/>
            <w:gridSpan w:val="3"/>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 目</w:t>
            </w:r>
          </w:p>
        </w:tc>
        <w:tc>
          <w:tcPr>
            <w:tcW w:w="8949" w:type="dxa"/>
            <w:gridSpan w:val="3"/>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r>
      <w:tr>
        <w:tblPrEx>
          <w:tblCellMar>
            <w:top w:w="0" w:type="dxa"/>
            <w:left w:w="108" w:type="dxa"/>
            <w:bottom w:w="0" w:type="dxa"/>
            <w:right w:w="108" w:type="dxa"/>
          </w:tblCellMar>
        </w:tblPrEx>
        <w:trPr>
          <w:trHeight w:val="495" w:hRule="atLeast"/>
          <w:jc w:val="center"/>
        </w:trPr>
        <w:tc>
          <w:tcPr>
            <w:tcW w:w="1989" w:type="dxa"/>
            <w:gridSpan w:val="2"/>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328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2832"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3285"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基本支出</w:t>
            </w:r>
          </w:p>
        </w:tc>
        <w:tc>
          <w:tcPr>
            <w:tcW w:w="2832"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r>
      <w:tr>
        <w:tblPrEx>
          <w:tblCellMar>
            <w:top w:w="0" w:type="dxa"/>
            <w:left w:w="108" w:type="dxa"/>
            <w:bottom w:w="0" w:type="dxa"/>
            <w:right w:w="108" w:type="dxa"/>
          </w:tblCellMar>
        </w:tblPrEx>
        <w:trPr>
          <w:trHeight w:val="360" w:hRule="atLeast"/>
          <w:jc w:val="center"/>
        </w:trPr>
        <w:tc>
          <w:tcPr>
            <w:tcW w:w="1989"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81"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32"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85"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32"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989"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81"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32"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85"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32"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5270" w:type="dxa"/>
            <w:gridSpan w:val="3"/>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栏次</w:t>
            </w:r>
          </w:p>
        </w:tc>
        <w:tc>
          <w:tcPr>
            <w:tcW w:w="2832"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1</w:t>
            </w:r>
          </w:p>
        </w:tc>
        <w:tc>
          <w:tcPr>
            <w:tcW w:w="3285"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w:t>
            </w:r>
          </w:p>
        </w:tc>
        <w:tc>
          <w:tcPr>
            <w:tcW w:w="2832" w:type="dxa"/>
            <w:tcBorders>
              <w:top w:val="nil"/>
              <w:left w:val="nil"/>
              <w:bottom w:val="single" w:color="auto" w:sz="4" w:space="0"/>
              <w:right w:val="single" w:color="auto" w:sz="8" w:space="0"/>
            </w:tcBorders>
            <w:shd w:val="clear" w:color="auto" w:fill="auto"/>
            <w:vAlign w:val="center"/>
          </w:tcPr>
          <w:p>
            <w:pPr>
              <w:widowControl/>
              <w:jc w:val="center"/>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3</w:t>
            </w:r>
          </w:p>
        </w:tc>
      </w:tr>
      <w:tr>
        <w:tblPrEx>
          <w:tblCellMar>
            <w:top w:w="0" w:type="dxa"/>
            <w:left w:w="108" w:type="dxa"/>
            <w:bottom w:w="0" w:type="dxa"/>
            <w:right w:w="108" w:type="dxa"/>
          </w:tblCellMar>
        </w:tblPrEx>
        <w:trPr>
          <w:trHeight w:val="450" w:hRule="atLeast"/>
          <w:jc w:val="center"/>
        </w:trPr>
        <w:tc>
          <w:tcPr>
            <w:tcW w:w="5270" w:type="dxa"/>
            <w:gridSpan w:val="3"/>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合计</w:t>
            </w:r>
          </w:p>
        </w:tc>
        <w:tc>
          <w:tcPr>
            <w:tcW w:w="2832"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b/>
                <w:bCs/>
                <w:color w:val="000000"/>
                <w:kern w:val="0"/>
                <w:sz w:val="22"/>
              </w:rPr>
              <w:t>871.39</w:t>
            </w:r>
          </w:p>
        </w:tc>
        <w:tc>
          <w:tcPr>
            <w:tcW w:w="3285"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b/>
                <w:bCs/>
                <w:color w:val="000000"/>
                <w:kern w:val="0"/>
                <w:sz w:val="22"/>
              </w:rPr>
              <w:t>339.79</w:t>
            </w:r>
          </w:p>
        </w:tc>
        <w:tc>
          <w:tcPr>
            <w:tcW w:w="2832" w:type="dxa"/>
            <w:tcBorders>
              <w:top w:val="nil"/>
              <w:left w:val="nil"/>
              <w:bottom w:val="single" w:color="auto" w:sz="4" w:space="0"/>
              <w:right w:val="single" w:color="auto" w:sz="8"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b/>
                <w:bCs/>
                <w:color w:val="000000"/>
                <w:kern w:val="0"/>
                <w:sz w:val="22"/>
              </w:rPr>
              <w:t>531.60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201</w:t>
            </w:r>
          </w:p>
        </w:tc>
        <w:tc>
          <w:tcPr>
            <w:tcW w:w="4284"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一般公共服务支出</w:t>
            </w:r>
          </w:p>
        </w:tc>
        <w:tc>
          <w:tcPr>
            <w:tcW w:w="2832"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8.10</w:t>
            </w:r>
          </w:p>
        </w:tc>
        <w:tc>
          <w:tcPr>
            <w:tcW w:w="3285"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2832" w:type="dxa"/>
            <w:tcBorders>
              <w:top w:val="nil"/>
              <w:left w:val="nil"/>
              <w:bottom w:val="single" w:color="auto" w:sz="4" w:space="0"/>
              <w:right w:val="single" w:color="auto" w:sz="8"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8.10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20111</w:t>
            </w:r>
          </w:p>
        </w:tc>
        <w:tc>
          <w:tcPr>
            <w:tcW w:w="4284"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纪检监察事务</w:t>
            </w:r>
          </w:p>
        </w:tc>
        <w:tc>
          <w:tcPr>
            <w:tcW w:w="2832"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8.10</w:t>
            </w:r>
          </w:p>
        </w:tc>
        <w:tc>
          <w:tcPr>
            <w:tcW w:w="3285"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2832" w:type="dxa"/>
            <w:tcBorders>
              <w:top w:val="nil"/>
              <w:left w:val="nil"/>
              <w:bottom w:val="single" w:color="auto" w:sz="4" w:space="0"/>
              <w:right w:val="single" w:color="auto" w:sz="8"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8.10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2011199</w:t>
            </w:r>
          </w:p>
        </w:tc>
        <w:tc>
          <w:tcPr>
            <w:tcW w:w="4284"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 xml:space="preserve">  其他纪检监察事务支出</w:t>
            </w:r>
          </w:p>
        </w:tc>
        <w:tc>
          <w:tcPr>
            <w:tcW w:w="2832"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8.10</w:t>
            </w:r>
          </w:p>
        </w:tc>
        <w:tc>
          <w:tcPr>
            <w:tcW w:w="3285"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2832" w:type="dxa"/>
            <w:tcBorders>
              <w:top w:val="nil"/>
              <w:left w:val="nil"/>
              <w:bottom w:val="single" w:color="auto" w:sz="4" w:space="0"/>
              <w:right w:val="single" w:color="auto" w:sz="8"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8.10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208</w:t>
            </w:r>
          </w:p>
        </w:tc>
        <w:tc>
          <w:tcPr>
            <w:tcW w:w="4284"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社会保障和就业支出</w:t>
            </w:r>
          </w:p>
        </w:tc>
        <w:tc>
          <w:tcPr>
            <w:tcW w:w="2832"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237.73</w:t>
            </w:r>
          </w:p>
        </w:tc>
        <w:tc>
          <w:tcPr>
            <w:tcW w:w="3285"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237.73</w:t>
            </w:r>
          </w:p>
        </w:tc>
        <w:tc>
          <w:tcPr>
            <w:tcW w:w="2832"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20805</w:t>
            </w:r>
          </w:p>
        </w:tc>
        <w:tc>
          <w:tcPr>
            <w:tcW w:w="4284"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行政事业单位养老支出</w:t>
            </w:r>
          </w:p>
        </w:tc>
        <w:tc>
          <w:tcPr>
            <w:tcW w:w="2832"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202.32</w:t>
            </w:r>
          </w:p>
        </w:tc>
        <w:tc>
          <w:tcPr>
            <w:tcW w:w="3285"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202.32</w:t>
            </w:r>
          </w:p>
        </w:tc>
        <w:tc>
          <w:tcPr>
            <w:tcW w:w="2832"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2080505</w:t>
            </w:r>
          </w:p>
        </w:tc>
        <w:tc>
          <w:tcPr>
            <w:tcW w:w="4284"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 xml:space="preserve">  机关事业单位基本养老保险缴费支出</w:t>
            </w:r>
          </w:p>
        </w:tc>
        <w:tc>
          <w:tcPr>
            <w:tcW w:w="2832"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202.32</w:t>
            </w:r>
          </w:p>
        </w:tc>
        <w:tc>
          <w:tcPr>
            <w:tcW w:w="3285"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202.32</w:t>
            </w:r>
          </w:p>
        </w:tc>
        <w:tc>
          <w:tcPr>
            <w:tcW w:w="2832"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20808</w:t>
            </w:r>
          </w:p>
        </w:tc>
        <w:tc>
          <w:tcPr>
            <w:tcW w:w="4284"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抚恤</w:t>
            </w:r>
          </w:p>
        </w:tc>
        <w:tc>
          <w:tcPr>
            <w:tcW w:w="2832"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35.41</w:t>
            </w:r>
          </w:p>
        </w:tc>
        <w:tc>
          <w:tcPr>
            <w:tcW w:w="3285"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35.41</w:t>
            </w:r>
          </w:p>
        </w:tc>
        <w:tc>
          <w:tcPr>
            <w:tcW w:w="2832"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2080801</w:t>
            </w:r>
          </w:p>
        </w:tc>
        <w:tc>
          <w:tcPr>
            <w:tcW w:w="4284"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 xml:space="preserve">  死亡抚恤</w:t>
            </w:r>
          </w:p>
        </w:tc>
        <w:tc>
          <w:tcPr>
            <w:tcW w:w="2832"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35.41</w:t>
            </w:r>
          </w:p>
        </w:tc>
        <w:tc>
          <w:tcPr>
            <w:tcW w:w="3285"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35.41</w:t>
            </w:r>
          </w:p>
        </w:tc>
        <w:tc>
          <w:tcPr>
            <w:tcW w:w="2832"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210</w:t>
            </w:r>
          </w:p>
        </w:tc>
        <w:tc>
          <w:tcPr>
            <w:tcW w:w="4284"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卫生健康支出</w:t>
            </w:r>
          </w:p>
        </w:tc>
        <w:tc>
          <w:tcPr>
            <w:tcW w:w="2832"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102.06</w:t>
            </w:r>
          </w:p>
        </w:tc>
        <w:tc>
          <w:tcPr>
            <w:tcW w:w="3285"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102.06</w:t>
            </w:r>
          </w:p>
        </w:tc>
        <w:tc>
          <w:tcPr>
            <w:tcW w:w="2832"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21011</w:t>
            </w:r>
          </w:p>
        </w:tc>
        <w:tc>
          <w:tcPr>
            <w:tcW w:w="4284"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行政事业单位医疗</w:t>
            </w:r>
          </w:p>
        </w:tc>
        <w:tc>
          <w:tcPr>
            <w:tcW w:w="2832"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102.06</w:t>
            </w:r>
          </w:p>
        </w:tc>
        <w:tc>
          <w:tcPr>
            <w:tcW w:w="3285"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102.06</w:t>
            </w:r>
          </w:p>
        </w:tc>
        <w:tc>
          <w:tcPr>
            <w:tcW w:w="2832"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2101102</w:t>
            </w:r>
          </w:p>
        </w:tc>
        <w:tc>
          <w:tcPr>
            <w:tcW w:w="4284"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 xml:space="preserve">  事业单位医疗</w:t>
            </w:r>
          </w:p>
        </w:tc>
        <w:tc>
          <w:tcPr>
            <w:tcW w:w="2832"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102.06</w:t>
            </w:r>
          </w:p>
        </w:tc>
        <w:tc>
          <w:tcPr>
            <w:tcW w:w="3285"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102.06</w:t>
            </w:r>
          </w:p>
        </w:tc>
        <w:tc>
          <w:tcPr>
            <w:tcW w:w="2832"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211</w:t>
            </w:r>
          </w:p>
        </w:tc>
        <w:tc>
          <w:tcPr>
            <w:tcW w:w="4284"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节能环保支出</w:t>
            </w:r>
          </w:p>
        </w:tc>
        <w:tc>
          <w:tcPr>
            <w:tcW w:w="2832"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507.50</w:t>
            </w:r>
          </w:p>
        </w:tc>
        <w:tc>
          <w:tcPr>
            <w:tcW w:w="3285"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2832" w:type="dxa"/>
            <w:tcBorders>
              <w:top w:val="nil"/>
              <w:left w:val="nil"/>
              <w:bottom w:val="single" w:color="auto" w:sz="4" w:space="0"/>
              <w:right w:val="single" w:color="auto" w:sz="8"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507.50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21104</w:t>
            </w:r>
          </w:p>
        </w:tc>
        <w:tc>
          <w:tcPr>
            <w:tcW w:w="4284"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自然生态保护</w:t>
            </w:r>
          </w:p>
        </w:tc>
        <w:tc>
          <w:tcPr>
            <w:tcW w:w="2832"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4.50</w:t>
            </w:r>
          </w:p>
        </w:tc>
        <w:tc>
          <w:tcPr>
            <w:tcW w:w="3285"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2832" w:type="dxa"/>
            <w:tcBorders>
              <w:top w:val="nil"/>
              <w:left w:val="nil"/>
              <w:bottom w:val="single" w:color="auto" w:sz="4" w:space="0"/>
              <w:right w:val="single" w:color="auto" w:sz="8"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4.50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2110401</w:t>
            </w:r>
          </w:p>
        </w:tc>
        <w:tc>
          <w:tcPr>
            <w:tcW w:w="4284"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 xml:space="preserve">  生态保护</w:t>
            </w:r>
          </w:p>
        </w:tc>
        <w:tc>
          <w:tcPr>
            <w:tcW w:w="2832"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4.50</w:t>
            </w:r>
          </w:p>
        </w:tc>
        <w:tc>
          <w:tcPr>
            <w:tcW w:w="3285"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2832" w:type="dxa"/>
            <w:tcBorders>
              <w:top w:val="nil"/>
              <w:left w:val="nil"/>
              <w:bottom w:val="single" w:color="auto" w:sz="4" w:space="0"/>
              <w:right w:val="single" w:color="auto" w:sz="8"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4.50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21105</w:t>
            </w:r>
          </w:p>
        </w:tc>
        <w:tc>
          <w:tcPr>
            <w:tcW w:w="4284"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天然林保护</w:t>
            </w:r>
          </w:p>
        </w:tc>
        <w:tc>
          <w:tcPr>
            <w:tcW w:w="2832"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393.00</w:t>
            </w:r>
          </w:p>
        </w:tc>
        <w:tc>
          <w:tcPr>
            <w:tcW w:w="3285"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2832" w:type="dxa"/>
            <w:tcBorders>
              <w:top w:val="nil"/>
              <w:left w:val="nil"/>
              <w:bottom w:val="single" w:color="auto" w:sz="4" w:space="0"/>
              <w:right w:val="single" w:color="auto" w:sz="8"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393.00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2110507</w:t>
            </w:r>
          </w:p>
        </w:tc>
        <w:tc>
          <w:tcPr>
            <w:tcW w:w="4284"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 xml:space="preserve">  停伐补助</w:t>
            </w:r>
          </w:p>
        </w:tc>
        <w:tc>
          <w:tcPr>
            <w:tcW w:w="2832"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393.00</w:t>
            </w:r>
          </w:p>
        </w:tc>
        <w:tc>
          <w:tcPr>
            <w:tcW w:w="3285"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2832" w:type="dxa"/>
            <w:tcBorders>
              <w:top w:val="nil"/>
              <w:left w:val="nil"/>
              <w:bottom w:val="single" w:color="auto" w:sz="4" w:space="0"/>
              <w:right w:val="single" w:color="auto" w:sz="8"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393.00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21199</w:t>
            </w:r>
          </w:p>
        </w:tc>
        <w:tc>
          <w:tcPr>
            <w:tcW w:w="4284"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其他节能环保支出</w:t>
            </w:r>
          </w:p>
        </w:tc>
        <w:tc>
          <w:tcPr>
            <w:tcW w:w="2832"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110.00</w:t>
            </w:r>
          </w:p>
        </w:tc>
        <w:tc>
          <w:tcPr>
            <w:tcW w:w="3285"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2832" w:type="dxa"/>
            <w:tcBorders>
              <w:top w:val="nil"/>
              <w:left w:val="nil"/>
              <w:bottom w:val="single" w:color="auto" w:sz="4" w:space="0"/>
              <w:right w:val="single" w:color="auto" w:sz="8"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110.00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2119999</w:t>
            </w:r>
          </w:p>
        </w:tc>
        <w:tc>
          <w:tcPr>
            <w:tcW w:w="4284"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 xml:space="preserve">  其他节能环保支出</w:t>
            </w:r>
          </w:p>
        </w:tc>
        <w:tc>
          <w:tcPr>
            <w:tcW w:w="2832"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110.00</w:t>
            </w:r>
          </w:p>
        </w:tc>
        <w:tc>
          <w:tcPr>
            <w:tcW w:w="3285"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2832" w:type="dxa"/>
            <w:tcBorders>
              <w:top w:val="nil"/>
              <w:left w:val="nil"/>
              <w:bottom w:val="single" w:color="auto" w:sz="4" w:space="0"/>
              <w:right w:val="single" w:color="auto" w:sz="8"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110.00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224</w:t>
            </w:r>
          </w:p>
        </w:tc>
        <w:tc>
          <w:tcPr>
            <w:tcW w:w="4284"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灾害防治及应急管理支出</w:t>
            </w:r>
          </w:p>
        </w:tc>
        <w:tc>
          <w:tcPr>
            <w:tcW w:w="2832"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16.00</w:t>
            </w:r>
          </w:p>
        </w:tc>
        <w:tc>
          <w:tcPr>
            <w:tcW w:w="3285"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2832" w:type="dxa"/>
            <w:tcBorders>
              <w:top w:val="nil"/>
              <w:left w:val="nil"/>
              <w:bottom w:val="single" w:color="auto" w:sz="4" w:space="0"/>
              <w:right w:val="single" w:color="auto" w:sz="8"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16.00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22406</w:t>
            </w:r>
          </w:p>
        </w:tc>
        <w:tc>
          <w:tcPr>
            <w:tcW w:w="4284"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自然灾害防治</w:t>
            </w:r>
          </w:p>
        </w:tc>
        <w:tc>
          <w:tcPr>
            <w:tcW w:w="2832"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16.00</w:t>
            </w:r>
          </w:p>
        </w:tc>
        <w:tc>
          <w:tcPr>
            <w:tcW w:w="3285"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2832" w:type="dxa"/>
            <w:tcBorders>
              <w:top w:val="nil"/>
              <w:left w:val="nil"/>
              <w:bottom w:val="single" w:color="auto" w:sz="4" w:space="0"/>
              <w:right w:val="single" w:color="auto" w:sz="8"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16.00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2240602</w:t>
            </w:r>
          </w:p>
        </w:tc>
        <w:tc>
          <w:tcPr>
            <w:tcW w:w="4284" w:type="dxa"/>
            <w:gridSpan w:val="2"/>
            <w:tcBorders>
              <w:top w:val="nil"/>
              <w:left w:val="nil"/>
              <w:bottom w:val="single" w:color="auto" w:sz="4" w:space="0"/>
              <w:right w:val="single" w:color="auto" w:sz="4" w:space="0"/>
            </w:tcBorders>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 xml:space="preserve">  森林草原防灾减灾</w:t>
            </w:r>
          </w:p>
        </w:tc>
        <w:tc>
          <w:tcPr>
            <w:tcW w:w="2832"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16.00</w:t>
            </w:r>
          </w:p>
        </w:tc>
        <w:tc>
          <w:tcPr>
            <w:tcW w:w="3285"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2832" w:type="dxa"/>
            <w:tcBorders>
              <w:top w:val="nil"/>
              <w:left w:val="nil"/>
              <w:bottom w:val="single" w:color="auto" w:sz="4" w:space="0"/>
              <w:right w:val="single" w:color="auto" w:sz="8"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16.00</w:t>
            </w:r>
          </w:p>
        </w:tc>
      </w:tr>
      <w:tr>
        <w:tblPrEx>
          <w:tblCellMar>
            <w:top w:w="0" w:type="dxa"/>
            <w:left w:w="108" w:type="dxa"/>
            <w:bottom w:w="0" w:type="dxa"/>
            <w:right w:w="108" w:type="dxa"/>
          </w:tblCellMar>
        </w:tblPrEx>
        <w:trPr>
          <w:trHeight w:val="645" w:hRule="atLeast"/>
          <w:jc w:val="center"/>
        </w:trPr>
        <w:tc>
          <w:tcPr>
            <w:tcW w:w="14219" w:type="dxa"/>
            <w:gridSpan w:val="6"/>
            <w:tcBorders>
              <w:top w:val="nil"/>
              <w:left w:val="nil"/>
              <w:bottom w:val="nil"/>
              <w:right w:val="nil"/>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注：本表反映部门本年度一般公共预算财政拨款支出情况。</w:t>
            </w:r>
          </w:p>
        </w:tc>
      </w:tr>
    </w:tbl>
    <w:p>
      <w:pPr>
        <w:widowControl/>
        <w:jc w:val="left"/>
        <w:rPr>
          <w:rFonts w:ascii="Times New Roman" w:hAnsi="Times New Roman" w:eastAsia="仿宋_GB2312" w:cs="Times New Roman"/>
          <w:bCs/>
          <w:kern w:val="0"/>
          <w:szCs w:val="21"/>
        </w:rPr>
      </w:pPr>
    </w:p>
    <w:p>
      <w:pPr>
        <w:widowControl/>
        <w:jc w:val="left"/>
        <w:rPr>
          <w:rFonts w:ascii="Times New Roman" w:hAnsi="Times New Roman" w:eastAsia="仿宋_GB2312" w:cs="Times New Roman"/>
          <w:bCs/>
          <w:kern w:val="0"/>
          <w:szCs w:val="21"/>
        </w:rPr>
      </w:pPr>
      <w:r>
        <w:rPr>
          <w:rFonts w:ascii="Times New Roman" w:hAnsi="Times New Roman" w:eastAsia="仿宋_GB2312" w:cs="Times New Roman"/>
          <w:bCs/>
          <w:kern w:val="0"/>
          <w:szCs w:val="21"/>
        </w:rPr>
        <w:br w:type="page"/>
      </w:r>
    </w:p>
    <w:tbl>
      <w:tblPr>
        <w:tblStyle w:val="8"/>
        <w:tblW w:w="0" w:type="auto"/>
        <w:jc w:val="center"/>
        <w:tblLayout w:type="autofit"/>
        <w:tblCellMar>
          <w:top w:w="0" w:type="dxa"/>
          <w:left w:w="108" w:type="dxa"/>
          <w:bottom w:w="0" w:type="dxa"/>
          <w:right w:w="108" w:type="dxa"/>
        </w:tblCellMar>
      </w:tblPr>
      <w:tblGrid>
        <w:gridCol w:w="1320"/>
        <w:gridCol w:w="3314"/>
        <w:gridCol w:w="865"/>
        <w:gridCol w:w="1205"/>
        <w:gridCol w:w="2281"/>
        <w:gridCol w:w="641"/>
        <w:gridCol w:w="1206"/>
        <w:gridCol w:w="4140"/>
        <w:gridCol w:w="642"/>
      </w:tblGrid>
      <w:tr>
        <w:tblPrEx>
          <w:tblCellMar>
            <w:top w:w="0" w:type="dxa"/>
            <w:left w:w="108" w:type="dxa"/>
            <w:bottom w:w="0" w:type="dxa"/>
            <w:right w:w="108" w:type="dxa"/>
          </w:tblCellMar>
        </w:tblPrEx>
        <w:trPr>
          <w:trHeight w:val="454" w:hRule="atLeast"/>
          <w:jc w:val="center"/>
        </w:trPr>
        <w:tc>
          <w:tcPr>
            <w:tcW w:w="0" w:type="auto"/>
            <w:gridSpan w:val="9"/>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Cs w:val="32"/>
              </w:rPr>
            </w:pPr>
            <w:bookmarkStart w:id="2" w:name="RANGE!A1:I34"/>
            <w:r>
              <w:rPr>
                <w:rFonts w:hint="eastAsia" w:ascii="华文中宋" w:hAnsi="华文中宋" w:eastAsia="华文中宋" w:cs="宋体"/>
                <w:color w:val="000000"/>
                <w:kern w:val="0"/>
                <w:szCs w:val="32"/>
              </w:rPr>
              <w:t>一般公共预算财政拨款基本支出决算明细表</w:t>
            </w:r>
            <w:bookmarkEnd w:id="2"/>
          </w:p>
          <w:p>
            <w:pPr>
              <w:widowControl/>
              <w:wordWrap w:val="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部门：</w:t>
            </w:r>
            <w:r>
              <w:rPr>
                <w:rFonts w:hint="eastAsia" w:ascii="宋体" w:hAnsi="宋体" w:eastAsia="宋体" w:cs="宋体"/>
                <w:color w:val="000000"/>
                <w:kern w:val="0"/>
                <w:sz w:val="20"/>
                <w:szCs w:val="20"/>
              </w:rPr>
              <w:t>湖南月岩国家森林公园管理局</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公开06表</w:t>
            </w:r>
          </w:p>
          <w:p>
            <w:pPr>
              <w:widowControl/>
              <w:jc w:val="right"/>
              <w:rPr>
                <w:rFonts w:ascii="华文中宋" w:hAnsi="华文中宋" w:eastAsia="华文中宋" w:cs="宋体"/>
                <w:color w:val="000000"/>
                <w:kern w:val="0"/>
                <w:szCs w:val="32"/>
              </w:rPr>
            </w:pPr>
            <w:r>
              <w:rPr>
                <w:rFonts w:hint="eastAsia" w:ascii="Times New Roman" w:hAnsi="Times New Roman" w:eastAsia="仿宋_GB2312" w:cs="Times New Roman"/>
                <w:color w:val="000000"/>
                <w:kern w:val="0"/>
                <w:szCs w:val="21"/>
              </w:rPr>
              <w:t>单位：万元</w:t>
            </w:r>
          </w:p>
        </w:tc>
      </w:tr>
      <w:tr>
        <w:tblPrEx>
          <w:tblCellMar>
            <w:top w:w="0" w:type="dxa"/>
            <w:left w:w="108" w:type="dxa"/>
            <w:bottom w:w="0" w:type="dxa"/>
            <w:right w:w="108" w:type="dxa"/>
          </w:tblCellMar>
        </w:tblPrEx>
        <w:trPr>
          <w:trHeight w:val="454" w:hRule="atLeast"/>
          <w:jc w:val="center"/>
        </w:trPr>
        <w:tc>
          <w:tcPr>
            <w:tcW w:w="13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 w:val="20"/>
                <w:szCs w:val="20"/>
              </w:rPr>
              <w:t>经济分类科目编码</w:t>
            </w:r>
          </w:p>
        </w:tc>
        <w:tc>
          <w:tcPr>
            <w:tcW w:w="33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r>
      <w:tr>
        <w:tblPrEx>
          <w:tblCellMar>
            <w:top w:w="0" w:type="dxa"/>
            <w:left w:w="108" w:type="dxa"/>
            <w:bottom w:w="0" w:type="dxa"/>
            <w:right w:w="108" w:type="dxa"/>
          </w:tblCellMar>
        </w:tblPrEx>
        <w:trPr>
          <w:trHeight w:val="454" w:hRule="exact"/>
          <w:jc w:val="center"/>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301</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工资福利支出</w:t>
            </w:r>
          </w:p>
        </w:tc>
        <w:tc>
          <w:tcPr>
            <w:tcW w:w="647"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rPr>
              <w:t>304.38</w:t>
            </w: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商品和服务支出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307</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债务利息及费用支出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454" w:hRule="exact"/>
          <w:jc w:val="center"/>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30101</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基本工资</w:t>
            </w:r>
          </w:p>
        </w:tc>
        <w:tc>
          <w:tcPr>
            <w:tcW w:w="647"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rPr>
              <w:t>1.00</w:t>
            </w: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30201</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办公费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30701</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国内债务付息</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454" w:hRule="exact"/>
          <w:jc w:val="center"/>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30102</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津贴补贴</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30202</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印刷费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30702</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国外债务付息</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454" w:hRule="exact"/>
          <w:jc w:val="center"/>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30103</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奖金</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30203</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咨询费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310</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资本性支出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454" w:hRule="exact"/>
          <w:jc w:val="center"/>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30106</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伙食补助费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30204</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手续费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31001</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房屋建筑物购建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454" w:hRule="exact"/>
          <w:jc w:val="center"/>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30107</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绩效工资</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30205</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水费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31002</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办公设备购置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454" w:hRule="exact"/>
          <w:jc w:val="center"/>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30108</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机关事业单位基本养老保险缴费</w:t>
            </w:r>
          </w:p>
        </w:tc>
        <w:tc>
          <w:tcPr>
            <w:tcW w:w="647"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rPr>
              <w:t>201.32</w:t>
            </w: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30206</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电费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31003</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专用设备购置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454" w:hRule="exact"/>
          <w:jc w:val="center"/>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30109</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职业年金缴费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30207</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邮电费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31005</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基础设施建设</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454" w:hRule="exact"/>
          <w:jc w:val="center"/>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30110</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职工基本医疗保险缴费</w:t>
            </w:r>
          </w:p>
        </w:tc>
        <w:tc>
          <w:tcPr>
            <w:tcW w:w="647"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rPr>
              <w:t>102.06</w:t>
            </w: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30208</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取暖费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31006</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大型修缮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454" w:hRule="exact"/>
          <w:jc w:val="center"/>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30111</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公务员医疗补助缴费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30209</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物业管理费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31007</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信息网络及软件购置更新</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454" w:hRule="exact"/>
          <w:jc w:val="center"/>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30112</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其他社会保障缴费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30211</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差旅费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31008</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物资储备</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454" w:hRule="exact"/>
          <w:jc w:val="center"/>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30113</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住房公积金</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30212</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因公出国（境）费用</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31009</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土地补偿</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454" w:hRule="exact"/>
          <w:jc w:val="center"/>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30114</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医疗费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30213</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维修（护）费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31010</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安置补助</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454" w:hRule="exact"/>
          <w:jc w:val="center"/>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30199</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其他工资福利支出</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30214</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租赁费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31011</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地上附着物和青苗补偿</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454" w:hRule="exact"/>
          <w:jc w:val="center"/>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303</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对个人和家庭的补助</w:t>
            </w:r>
          </w:p>
        </w:tc>
        <w:tc>
          <w:tcPr>
            <w:tcW w:w="647"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rPr>
              <w:t>35.41</w:t>
            </w: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30215</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会议费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31012</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拆迁补偿</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454" w:hRule="exact"/>
          <w:jc w:val="center"/>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30301</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离休费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30216</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培训费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31013</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公务用车购置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454" w:hRule="exact"/>
          <w:jc w:val="center"/>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30302</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退休费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30217</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公务接待费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31019</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其他交通工具购置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454" w:hRule="exact"/>
          <w:jc w:val="center"/>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30303</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退职（役）费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30218</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专用材料费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31021</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文物和陈列品购置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454" w:hRule="exact"/>
          <w:jc w:val="center"/>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30304</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抚恤金</w:t>
            </w:r>
          </w:p>
        </w:tc>
        <w:tc>
          <w:tcPr>
            <w:tcW w:w="647"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rPr>
              <w:t>35.41</w:t>
            </w: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30224</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被装购置费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31022</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无形资产购置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454" w:hRule="exact"/>
          <w:jc w:val="center"/>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30305</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生活补助</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30225</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专用燃料费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31099</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其他资本性支出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454" w:hRule="exact"/>
          <w:jc w:val="center"/>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30306</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救济费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30226</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劳务费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399</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其他支出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454" w:hRule="exact"/>
          <w:jc w:val="center"/>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30307</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医疗费补助</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30227</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委托业务费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39906</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赠与</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454" w:hRule="exact"/>
          <w:jc w:val="center"/>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30308</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助学金</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30228</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工会经费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39907</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国家赔偿费用支出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454" w:hRule="exact"/>
          <w:jc w:val="center"/>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30309</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奖励金</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30229</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福利费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39908</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对民间非营利组织和群众性自治组织补贴</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454" w:hRule="exact"/>
          <w:jc w:val="center"/>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30310</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个人农业生产补贴</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30231</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公务用车运行维护费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39999</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其他支出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454" w:hRule="exact"/>
          <w:jc w:val="center"/>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30311</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代缴社会保险费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30239</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其他交通费用</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420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454" w:hRule="exact"/>
          <w:jc w:val="center"/>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30399</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其他对个人和家庭的补助</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30240</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税金及附加费用</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420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454" w:hRule="exact"/>
          <w:jc w:val="center"/>
        </w:trPr>
        <w:tc>
          <w:tcPr>
            <w:tcW w:w="1338"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20"/>
              </w:rPr>
            </w:pPr>
          </w:p>
        </w:tc>
        <w:tc>
          <w:tcPr>
            <w:tcW w:w="336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20"/>
              </w:rPr>
            </w:pP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30299</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color w:val="000000"/>
                <w:kern w:val="0"/>
                <w:sz w:val="22"/>
              </w:rPr>
              <w:t xml:space="preserve">  其他商品和服务支出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420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454" w:hRule="exact"/>
          <w:jc w:val="center"/>
        </w:trPr>
        <w:tc>
          <w:tcPr>
            <w:tcW w:w="4704"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Cs w:val="20"/>
              </w:rPr>
            </w:pPr>
            <w:r>
              <w:rPr>
                <w:rFonts w:hint="eastAsia" w:ascii="宋体" w:hAnsi="宋体" w:eastAsia="宋体" w:cs="宋体"/>
                <w:color w:val="000000"/>
                <w:kern w:val="0"/>
                <w:sz w:val="22"/>
              </w:rPr>
              <w:t>人员经费合计</w:t>
            </w:r>
          </w:p>
        </w:tc>
        <w:tc>
          <w:tcPr>
            <w:tcW w:w="647" w:type="dxa"/>
            <w:tcBorders>
              <w:top w:val="nil"/>
              <w:left w:val="nil"/>
              <w:bottom w:val="single" w:color="auto" w:sz="4" w:space="0"/>
              <w:right w:val="single" w:color="auto" w:sz="4" w:space="0"/>
            </w:tcBorders>
            <w:shd w:val="clear" w:color="auto" w:fill="auto"/>
            <w:noWrap/>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color w:val="000000"/>
                <w:kern w:val="0"/>
                <w:sz w:val="22"/>
              </w:rPr>
              <w:t>339.79</w:t>
            </w:r>
          </w:p>
        </w:tc>
        <w:tc>
          <w:tcPr>
            <w:tcW w:w="9615" w:type="dxa"/>
            <w:gridSpan w:val="5"/>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color w:val="000000"/>
                <w:kern w:val="0"/>
                <w:szCs w:val="20"/>
              </w:rPr>
            </w:pPr>
            <w:r>
              <w:rPr>
                <w:rFonts w:hint="eastAsia" w:ascii="宋体" w:hAnsi="宋体" w:eastAsia="宋体" w:cs="宋体"/>
                <w:color w:val="000000"/>
                <w:kern w:val="0"/>
                <w:sz w:val="22"/>
              </w:rPr>
              <w:t>公用经费合计</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18"/>
              </w:rPr>
            </w:pPr>
          </w:p>
        </w:tc>
      </w:tr>
      <w:tr>
        <w:tblPrEx>
          <w:tblCellMar>
            <w:top w:w="0" w:type="dxa"/>
            <w:left w:w="108" w:type="dxa"/>
            <w:bottom w:w="0" w:type="dxa"/>
            <w:right w:w="108" w:type="dxa"/>
          </w:tblCellMar>
        </w:tblPrEx>
        <w:trPr>
          <w:trHeight w:val="454" w:hRule="exact"/>
          <w:jc w:val="center"/>
        </w:trPr>
        <w:tc>
          <w:tcPr>
            <w:tcW w:w="0" w:type="auto"/>
            <w:gridSpan w:val="9"/>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Cs w:val="24"/>
              </w:rPr>
            </w:pPr>
            <w:r>
              <w:rPr>
                <w:rFonts w:hint="eastAsia" w:ascii="宋体" w:hAnsi="宋体" w:eastAsia="宋体" w:cs="宋体"/>
                <w:color w:val="000000"/>
                <w:kern w:val="0"/>
                <w:szCs w:val="24"/>
              </w:rPr>
              <w:t>注：本表反映部门本年度一般公共预算财政拨款基本支出明细情况。</w:t>
            </w:r>
          </w:p>
        </w:tc>
      </w:tr>
    </w:tbl>
    <w:p>
      <w:pPr>
        <w:widowControl/>
        <w:jc w:val="center"/>
        <w:rPr>
          <w:rFonts w:ascii="Times New Roman" w:hAnsi="Times New Roman" w:eastAsia="方正小标宋_GBK" w:cs="Times New Roman"/>
          <w:color w:val="000000"/>
          <w:kern w:val="0"/>
          <w:sz w:val="36"/>
          <w:szCs w:val="36"/>
        </w:rPr>
      </w:pPr>
      <w:r>
        <w:rPr>
          <w:rFonts w:hint="eastAsia" w:ascii="Times New Roman" w:hAnsi="Times New Roman" w:eastAsia="方正小标宋_GBK" w:cs="Times New Roman"/>
          <w:color w:val="000000"/>
          <w:kern w:val="0"/>
          <w:sz w:val="36"/>
          <w:szCs w:val="36"/>
        </w:rPr>
        <w:t>一般公共预算财政拨款“三公”经费支出决算表</w:t>
      </w:r>
    </w:p>
    <w:p>
      <w:pPr>
        <w:widowControl/>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部门：</w:t>
      </w:r>
      <w:r>
        <w:rPr>
          <w:rFonts w:hint="eastAsia" w:ascii="宋体" w:hAnsi="宋体" w:eastAsia="宋体" w:cs="宋体"/>
          <w:color w:val="000000"/>
          <w:kern w:val="0"/>
          <w:sz w:val="20"/>
          <w:szCs w:val="20"/>
        </w:rPr>
        <w:t>湖南月岩国家森林公园管理局</w:t>
      </w:r>
      <w:r>
        <w:rPr>
          <w:rFonts w:ascii="Times New Roman" w:hAnsi="Times New Roman" w:eastAsia="仿宋_GB2312" w:cs="Times New Roman"/>
          <w:color w:val="000000"/>
          <w:kern w:val="0"/>
          <w:szCs w:val="21"/>
        </w:rPr>
        <w:t xml:space="preserve">                                                                                                                      公开0</w:t>
      </w:r>
      <w:r>
        <w:rPr>
          <w:rFonts w:hint="eastAsia" w:ascii="Times New Roman" w:hAnsi="Times New Roman" w:eastAsia="仿宋_GB2312" w:cs="Times New Roman"/>
          <w:color w:val="000000"/>
          <w:kern w:val="0"/>
          <w:szCs w:val="21"/>
        </w:rPr>
        <w:t>7</w:t>
      </w:r>
      <w:r>
        <w:rPr>
          <w:rFonts w:ascii="Times New Roman" w:hAnsi="Times New Roman" w:eastAsia="仿宋_GB2312" w:cs="Times New Roman"/>
          <w:color w:val="000000"/>
          <w:kern w:val="0"/>
          <w:szCs w:val="21"/>
        </w:rPr>
        <w:t>表</w:t>
      </w:r>
    </w:p>
    <w:p>
      <w:pPr>
        <w:widowControl/>
        <w:ind w:right="42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8"/>
        <w:tblW w:w="14640" w:type="dxa"/>
        <w:jc w:val="center"/>
        <w:tblLayout w:type="autofit"/>
        <w:tblCellMar>
          <w:top w:w="0" w:type="dxa"/>
          <w:left w:w="108" w:type="dxa"/>
          <w:bottom w:w="0" w:type="dxa"/>
          <w:right w:w="108" w:type="dxa"/>
        </w:tblCellMar>
      </w:tblPr>
      <w:tblGrid>
        <w:gridCol w:w="1220"/>
        <w:gridCol w:w="1220"/>
        <w:gridCol w:w="1220"/>
        <w:gridCol w:w="1220"/>
        <w:gridCol w:w="1220"/>
        <w:gridCol w:w="1220"/>
        <w:gridCol w:w="1220"/>
        <w:gridCol w:w="1220"/>
        <w:gridCol w:w="1220"/>
        <w:gridCol w:w="1220"/>
        <w:gridCol w:w="1220"/>
        <w:gridCol w:w="1220"/>
      </w:tblGrid>
      <w:tr>
        <w:tblPrEx>
          <w:tblCellMar>
            <w:top w:w="0" w:type="dxa"/>
            <w:left w:w="108" w:type="dxa"/>
            <w:bottom w:w="0" w:type="dxa"/>
            <w:right w:w="108" w:type="dxa"/>
          </w:tblCellMar>
        </w:tblPrEx>
        <w:trPr>
          <w:trHeight w:val="397" w:hRule="atLeast"/>
          <w:jc w:val="center"/>
        </w:trPr>
        <w:tc>
          <w:tcPr>
            <w:tcW w:w="7320" w:type="dxa"/>
            <w:gridSpan w:val="6"/>
            <w:tcBorders>
              <w:top w:val="single" w:color="auto" w:sz="8" w:space="0"/>
              <w:left w:val="single" w:color="auto" w:sz="8" w:space="0"/>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预算数</w:t>
            </w:r>
          </w:p>
        </w:tc>
        <w:tc>
          <w:tcPr>
            <w:tcW w:w="7320" w:type="dxa"/>
            <w:gridSpan w:val="6"/>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决算数</w:t>
            </w:r>
          </w:p>
        </w:tc>
      </w:tr>
      <w:tr>
        <w:tblPrEx>
          <w:tblCellMar>
            <w:top w:w="0" w:type="dxa"/>
            <w:left w:w="108" w:type="dxa"/>
            <w:bottom w:w="0" w:type="dxa"/>
            <w:right w:w="108" w:type="dxa"/>
          </w:tblCellMar>
        </w:tblPrEx>
        <w:trPr>
          <w:trHeight w:val="397" w:hRule="atLeast"/>
          <w:jc w:val="center"/>
        </w:trPr>
        <w:tc>
          <w:tcPr>
            <w:tcW w:w="1220" w:type="dxa"/>
            <w:vMerge w:val="restart"/>
            <w:tcBorders>
              <w:top w:val="nil"/>
              <w:left w:val="single" w:color="auto" w:sz="8"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c>
          <w:tcPr>
            <w:tcW w:w="1220" w:type="dxa"/>
            <w:vMerge w:val="restart"/>
            <w:tcBorders>
              <w:top w:val="nil"/>
              <w:left w:val="nil"/>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r>
      <w:tr>
        <w:tblPrEx>
          <w:tblCellMar>
            <w:top w:w="0" w:type="dxa"/>
            <w:left w:w="108" w:type="dxa"/>
            <w:bottom w:w="0" w:type="dxa"/>
            <w:right w:w="108" w:type="dxa"/>
          </w:tblCellMar>
        </w:tblPrEx>
        <w:trPr>
          <w:trHeight w:val="397" w:hRule="atLeast"/>
          <w:jc w:val="center"/>
        </w:trPr>
        <w:tc>
          <w:tcPr>
            <w:tcW w:w="1220" w:type="dxa"/>
            <w:vMerge w:val="continue"/>
            <w:tcBorders>
              <w:top w:val="nil"/>
              <w:left w:val="single" w:color="auto" w:sz="8"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nil"/>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7</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8</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9</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10</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11</w:t>
            </w:r>
          </w:p>
        </w:tc>
        <w:tc>
          <w:tcPr>
            <w:tcW w:w="122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12</w:t>
            </w: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8"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31.35</w:t>
            </w: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12.00</w:t>
            </w: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12.00</w:t>
            </w:r>
          </w:p>
        </w:tc>
        <w:tc>
          <w:tcPr>
            <w:tcW w:w="1220" w:type="dxa"/>
            <w:tcBorders>
              <w:top w:val="nil"/>
              <w:left w:val="nil"/>
              <w:bottom w:val="single" w:color="auto" w:sz="8" w:space="0"/>
              <w:right w:val="single" w:color="auto" w:sz="4" w:space="0"/>
            </w:tcBorders>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19.35</w:t>
            </w: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nil"/>
            </w:tcBorders>
            <w:shd w:val="clear" w:color="auto" w:fill="auto"/>
            <w:vAlign w:val="center"/>
          </w:tcPr>
          <w:p>
            <w:pPr>
              <w:jc w:val="right"/>
              <w:rPr>
                <w:rFonts w:hint="eastAsia" w:ascii="Times New Roman" w:hAnsi="Times New Roman" w:eastAsia="仿宋_GB2312" w:cs="Times New Roman"/>
                <w:kern w:val="0"/>
                <w:szCs w:val="21"/>
                <w:lang w:val="en-US" w:eastAsia="zh-CN"/>
              </w:rPr>
            </w:pPr>
          </w:p>
        </w:tc>
        <w:tc>
          <w:tcPr>
            <w:tcW w:w="1220" w:type="dxa"/>
            <w:tcBorders>
              <w:top w:val="nil"/>
              <w:left w:val="single" w:color="auto" w:sz="4" w:space="0"/>
              <w:bottom w:val="single" w:color="auto" w:sz="8"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bl>
    <w:p>
      <w:pPr>
        <w:widowControl/>
        <w:jc w:val="left"/>
        <w:rPr>
          <w:rFonts w:ascii="宋体" w:eastAsia="宋体" w:cs="宋体"/>
          <w:kern w:val="0"/>
          <w:sz w:val="24"/>
          <w:szCs w:val="24"/>
        </w:rPr>
      </w:pPr>
      <w:r>
        <w:rPr>
          <w:rFonts w:hint="eastAsia" w:ascii="宋体" w:eastAsia="宋体" w:cs="宋体"/>
          <w:kern w:val="0"/>
          <w:sz w:val="24"/>
          <w:szCs w:val="24"/>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ascii="宋体" w:eastAsia="宋体" w:cs="宋体"/>
          <w:kern w:val="0"/>
          <w:sz w:val="24"/>
          <w:szCs w:val="24"/>
        </w:rPr>
        <w:br w:type="page"/>
      </w:r>
    </w:p>
    <w:p>
      <w:pPr>
        <w:autoSpaceDE w:val="0"/>
        <w:autoSpaceDN w:val="0"/>
        <w:adjustRightInd w:val="0"/>
        <w:ind w:left="315" w:leftChars="150"/>
        <w:jc w:val="left"/>
        <w:rPr>
          <w:rFonts w:ascii="宋体" w:eastAsia="宋体" w:cs="宋体"/>
          <w:kern w:val="0"/>
          <w:sz w:val="24"/>
          <w:szCs w:val="24"/>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政府性基金预算财政拨款收入支出决算表</w:t>
      </w:r>
    </w:p>
    <w:p>
      <w:pPr>
        <w:widowControl/>
        <w:wordWrap w:val="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部门：</w:t>
      </w:r>
      <w:r>
        <w:rPr>
          <w:rFonts w:hint="eastAsia" w:ascii="宋体" w:hAnsi="宋体" w:eastAsia="宋体" w:cs="宋体"/>
          <w:color w:val="000000"/>
          <w:kern w:val="0"/>
          <w:sz w:val="20"/>
          <w:szCs w:val="20"/>
        </w:rPr>
        <w:t>湖南月岩国家森林公园管理局</w:t>
      </w:r>
      <w:r>
        <w:rPr>
          <w:rFonts w:ascii="Times New Roman" w:hAnsi="Times New Roman" w:eastAsia="仿宋_GB2312" w:cs="Times New Roman"/>
          <w:color w:val="000000"/>
          <w:kern w:val="0"/>
          <w:szCs w:val="21"/>
        </w:rPr>
        <w:t xml:space="preserve">                                                                                                                       公开08表</w:t>
      </w:r>
    </w:p>
    <w:p>
      <w:pPr>
        <w:widowControl/>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8"/>
        <w:tblW w:w="1444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986"/>
        <w:gridCol w:w="955"/>
        <w:gridCol w:w="1228"/>
        <w:gridCol w:w="1838"/>
        <w:gridCol w:w="1907"/>
        <w:gridCol w:w="1907"/>
        <w:gridCol w:w="1907"/>
        <w:gridCol w:w="1873"/>
        <w:gridCol w:w="183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3169" w:type="dxa"/>
            <w:gridSpan w:val="3"/>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 目</w:t>
            </w:r>
          </w:p>
        </w:tc>
        <w:tc>
          <w:tcPr>
            <w:tcW w:w="1838"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年初结转和结余</w:t>
            </w:r>
          </w:p>
        </w:tc>
        <w:tc>
          <w:tcPr>
            <w:tcW w:w="1907"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本年收入</w:t>
            </w:r>
          </w:p>
        </w:tc>
        <w:tc>
          <w:tcPr>
            <w:tcW w:w="5687" w:type="dxa"/>
            <w:gridSpan w:val="3"/>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c>
          <w:tcPr>
            <w:tcW w:w="1839"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年末结转和结余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941" w:type="dxa"/>
            <w:gridSpan w:val="2"/>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1228"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1838" w:type="dxa"/>
            <w:vMerge w:val="continue"/>
            <w:vAlign w:val="center"/>
          </w:tcPr>
          <w:p>
            <w:pPr>
              <w:widowControl/>
              <w:jc w:val="left"/>
              <w:rPr>
                <w:rFonts w:ascii="Times New Roman" w:hAnsi="Times New Roman" w:eastAsia="仿宋_GB2312" w:cs="Times New Roman"/>
                <w:b/>
                <w:kern w:val="0"/>
                <w:szCs w:val="21"/>
              </w:rPr>
            </w:pPr>
          </w:p>
        </w:tc>
        <w:tc>
          <w:tcPr>
            <w:tcW w:w="1907" w:type="dxa"/>
            <w:vMerge w:val="continue"/>
            <w:vAlign w:val="center"/>
          </w:tcPr>
          <w:p>
            <w:pPr>
              <w:widowControl/>
              <w:jc w:val="left"/>
              <w:rPr>
                <w:rFonts w:ascii="Times New Roman" w:hAnsi="Times New Roman" w:eastAsia="仿宋_GB2312" w:cs="Times New Roman"/>
                <w:b/>
                <w:kern w:val="0"/>
                <w:szCs w:val="21"/>
              </w:rPr>
            </w:pPr>
          </w:p>
        </w:tc>
        <w:tc>
          <w:tcPr>
            <w:tcW w:w="1907"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1907"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基本支出  </w:t>
            </w:r>
          </w:p>
        </w:tc>
        <w:tc>
          <w:tcPr>
            <w:tcW w:w="1873"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c>
          <w:tcPr>
            <w:tcW w:w="1839" w:type="dxa"/>
            <w:vMerge w:val="continue"/>
            <w:vAlign w:val="center"/>
          </w:tcPr>
          <w:p>
            <w:pPr>
              <w:widowControl/>
              <w:jc w:val="left"/>
              <w:rPr>
                <w:rFonts w:ascii="Times New Roman" w:hAnsi="Times New Roman" w:eastAsia="仿宋_GB2312" w:cs="Times New Roman"/>
                <w:b/>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941" w:type="dxa"/>
            <w:gridSpan w:val="2"/>
            <w:vMerge w:val="continue"/>
            <w:vAlign w:val="center"/>
          </w:tcPr>
          <w:p>
            <w:pPr>
              <w:widowControl/>
              <w:jc w:val="left"/>
              <w:rPr>
                <w:rFonts w:ascii="Times New Roman" w:hAnsi="Times New Roman" w:eastAsia="仿宋_GB2312" w:cs="Times New Roman"/>
                <w:kern w:val="0"/>
                <w:szCs w:val="21"/>
              </w:rPr>
            </w:pPr>
          </w:p>
        </w:tc>
        <w:tc>
          <w:tcPr>
            <w:tcW w:w="1228" w:type="dxa"/>
            <w:vMerge w:val="continue"/>
            <w:vAlign w:val="center"/>
          </w:tcPr>
          <w:p>
            <w:pPr>
              <w:widowControl/>
              <w:jc w:val="left"/>
              <w:rPr>
                <w:rFonts w:ascii="Times New Roman" w:hAnsi="Times New Roman" w:eastAsia="仿宋_GB2312" w:cs="Times New Roman"/>
                <w:kern w:val="0"/>
                <w:szCs w:val="21"/>
              </w:rPr>
            </w:pPr>
          </w:p>
        </w:tc>
        <w:tc>
          <w:tcPr>
            <w:tcW w:w="1838" w:type="dxa"/>
            <w:vMerge w:val="continue"/>
            <w:vAlign w:val="center"/>
          </w:tcPr>
          <w:p>
            <w:pPr>
              <w:widowControl/>
              <w:jc w:val="left"/>
              <w:rPr>
                <w:rFonts w:ascii="Times New Roman" w:hAnsi="Times New Roman" w:eastAsia="仿宋_GB2312" w:cs="Times New Roman"/>
                <w:kern w:val="0"/>
                <w:szCs w:val="21"/>
              </w:rPr>
            </w:pPr>
          </w:p>
        </w:tc>
        <w:tc>
          <w:tcPr>
            <w:tcW w:w="1907" w:type="dxa"/>
            <w:vMerge w:val="continue"/>
            <w:vAlign w:val="center"/>
          </w:tcPr>
          <w:p>
            <w:pPr>
              <w:widowControl/>
              <w:jc w:val="left"/>
              <w:rPr>
                <w:rFonts w:ascii="Times New Roman" w:hAnsi="Times New Roman" w:eastAsia="仿宋_GB2312" w:cs="Times New Roman"/>
                <w:kern w:val="0"/>
                <w:szCs w:val="21"/>
              </w:rPr>
            </w:pPr>
          </w:p>
        </w:tc>
        <w:tc>
          <w:tcPr>
            <w:tcW w:w="1907" w:type="dxa"/>
            <w:vMerge w:val="continue"/>
            <w:vAlign w:val="center"/>
          </w:tcPr>
          <w:p>
            <w:pPr>
              <w:widowControl/>
              <w:jc w:val="left"/>
              <w:rPr>
                <w:rFonts w:ascii="Times New Roman" w:hAnsi="Times New Roman" w:eastAsia="仿宋_GB2312" w:cs="Times New Roman"/>
                <w:kern w:val="0"/>
                <w:szCs w:val="21"/>
              </w:rPr>
            </w:pPr>
          </w:p>
        </w:tc>
        <w:tc>
          <w:tcPr>
            <w:tcW w:w="1907" w:type="dxa"/>
            <w:vMerge w:val="continue"/>
            <w:vAlign w:val="center"/>
          </w:tcPr>
          <w:p>
            <w:pPr>
              <w:widowControl/>
              <w:jc w:val="left"/>
              <w:rPr>
                <w:rFonts w:ascii="Times New Roman" w:hAnsi="Times New Roman" w:eastAsia="仿宋_GB2312" w:cs="Times New Roman"/>
                <w:kern w:val="0"/>
                <w:szCs w:val="21"/>
              </w:rPr>
            </w:pPr>
          </w:p>
        </w:tc>
        <w:tc>
          <w:tcPr>
            <w:tcW w:w="1873" w:type="dxa"/>
            <w:vMerge w:val="continue"/>
            <w:vAlign w:val="center"/>
          </w:tcPr>
          <w:p>
            <w:pPr>
              <w:widowControl/>
              <w:jc w:val="left"/>
              <w:rPr>
                <w:rFonts w:ascii="Times New Roman" w:hAnsi="Times New Roman" w:eastAsia="仿宋_GB2312" w:cs="Times New Roman"/>
                <w:kern w:val="0"/>
                <w:szCs w:val="21"/>
              </w:rPr>
            </w:pPr>
          </w:p>
        </w:tc>
        <w:tc>
          <w:tcPr>
            <w:tcW w:w="1839"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941" w:type="dxa"/>
            <w:gridSpan w:val="2"/>
            <w:vMerge w:val="continue"/>
            <w:vAlign w:val="center"/>
          </w:tcPr>
          <w:p>
            <w:pPr>
              <w:widowControl/>
              <w:jc w:val="left"/>
              <w:rPr>
                <w:rFonts w:ascii="Times New Roman" w:hAnsi="Times New Roman" w:eastAsia="仿宋_GB2312" w:cs="Times New Roman"/>
                <w:kern w:val="0"/>
                <w:szCs w:val="21"/>
              </w:rPr>
            </w:pPr>
          </w:p>
        </w:tc>
        <w:tc>
          <w:tcPr>
            <w:tcW w:w="1228" w:type="dxa"/>
            <w:vMerge w:val="continue"/>
            <w:vAlign w:val="center"/>
          </w:tcPr>
          <w:p>
            <w:pPr>
              <w:widowControl/>
              <w:jc w:val="left"/>
              <w:rPr>
                <w:rFonts w:ascii="Times New Roman" w:hAnsi="Times New Roman" w:eastAsia="仿宋_GB2312" w:cs="Times New Roman"/>
                <w:kern w:val="0"/>
                <w:szCs w:val="21"/>
              </w:rPr>
            </w:pPr>
          </w:p>
        </w:tc>
        <w:tc>
          <w:tcPr>
            <w:tcW w:w="1838" w:type="dxa"/>
            <w:vMerge w:val="continue"/>
            <w:vAlign w:val="center"/>
          </w:tcPr>
          <w:p>
            <w:pPr>
              <w:widowControl/>
              <w:jc w:val="left"/>
              <w:rPr>
                <w:rFonts w:ascii="Times New Roman" w:hAnsi="Times New Roman" w:eastAsia="仿宋_GB2312" w:cs="Times New Roman"/>
                <w:kern w:val="0"/>
                <w:szCs w:val="21"/>
              </w:rPr>
            </w:pPr>
          </w:p>
        </w:tc>
        <w:tc>
          <w:tcPr>
            <w:tcW w:w="1907" w:type="dxa"/>
            <w:vMerge w:val="continue"/>
            <w:vAlign w:val="center"/>
          </w:tcPr>
          <w:p>
            <w:pPr>
              <w:widowControl/>
              <w:jc w:val="left"/>
              <w:rPr>
                <w:rFonts w:ascii="Times New Roman" w:hAnsi="Times New Roman" w:eastAsia="仿宋_GB2312" w:cs="Times New Roman"/>
                <w:kern w:val="0"/>
                <w:szCs w:val="21"/>
              </w:rPr>
            </w:pPr>
          </w:p>
        </w:tc>
        <w:tc>
          <w:tcPr>
            <w:tcW w:w="1907" w:type="dxa"/>
            <w:vMerge w:val="continue"/>
            <w:vAlign w:val="center"/>
          </w:tcPr>
          <w:p>
            <w:pPr>
              <w:widowControl/>
              <w:jc w:val="left"/>
              <w:rPr>
                <w:rFonts w:ascii="Times New Roman" w:hAnsi="Times New Roman" w:eastAsia="仿宋_GB2312" w:cs="Times New Roman"/>
                <w:kern w:val="0"/>
                <w:szCs w:val="21"/>
              </w:rPr>
            </w:pPr>
          </w:p>
        </w:tc>
        <w:tc>
          <w:tcPr>
            <w:tcW w:w="1907" w:type="dxa"/>
            <w:vMerge w:val="continue"/>
            <w:vAlign w:val="center"/>
          </w:tcPr>
          <w:p>
            <w:pPr>
              <w:widowControl/>
              <w:jc w:val="left"/>
              <w:rPr>
                <w:rFonts w:ascii="Times New Roman" w:hAnsi="Times New Roman" w:eastAsia="仿宋_GB2312" w:cs="Times New Roman"/>
                <w:kern w:val="0"/>
                <w:szCs w:val="21"/>
              </w:rPr>
            </w:pPr>
          </w:p>
        </w:tc>
        <w:tc>
          <w:tcPr>
            <w:tcW w:w="1873" w:type="dxa"/>
            <w:vMerge w:val="continue"/>
            <w:vAlign w:val="center"/>
          </w:tcPr>
          <w:p>
            <w:pPr>
              <w:widowControl/>
              <w:jc w:val="left"/>
              <w:rPr>
                <w:rFonts w:ascii="Times New Roman" w:hAnsi="Times New Roman" w:eastAsia="仿宋_GB2312" w:cs="Times New Roman"/>
                <w:kern w:val="0"/>
                <w:szCs w:val="21"/>
              </w:rPr>
            </w:pPr>
          </w:p>
        </w:tc>
        <w:tc>
          <w:tcPr>
            <w:tcW w:w="1839"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3169" w:type="dxa"/>
            <w:gridSpan w:val="3"/>
            <w:shd w:val="clear" w:color="auto" w:fill="auto"/>
            <w:vAlign w:val="center"/>
          </w:tcPr>
          <w:p>
            <w:pPr>
              <w:widowControl/>
              <w:jc w:val="center"/>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栏次</w:t>
            </w:r>
          </w:p>
        </w:tc>
        <w:tc>
          <w:tcPr>
            <w:tcW w:w="1838" w:type="dxa"/>
            <w:shd w:val="clear" w:color="auto" w:fill="auto"/>
            <w:vAlign w:val="center"/>
          </w:tcPr>
          <w:p>
            <w:pPr>
              <w:widowControl/>
              <w:jc w:val="center"/>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1</w:t>
            </w:r>
          </w:p>
        </w:tc>
        <w:tc>
          <w:tcPr>
            <w:tcW w:w="1907" w:type="dxa"/>
            <w:shd w:val="clear" w:color="auto" w:fill="auto"/>
            <w:vAlign w:val="center"/>
          </w:tcPr>
          <w:p>
            <w:pPr>
              <w:widowControl/>
              <w:jc w:val="center"/>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w:t>
            </w:r>
          </w:p>
        </w:tc>
        <w:tc>
          <w:tcPr>
            <w:tcW w:w="1907" w:type="dxa"/>
            <w:shd w:val="clear" w:color="auto" w:fill="auto"/>
            <w:vAlign w:val="center"/>
          </w:tcPr>
          <w:p>
            <w:pPr>
              <w:widowControl/>
              <w:jc w:val="center"/>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3</w:t>
            </w:r>
          </w:p>
        </w:tc>
        <w:tc>
          <w:tcPr>
            <w:tcW w:w="1907" w:type="dxa"/>
            <w:shd w:val="clear" w:color="auto" w:fill="auto"/>
            <w:vAlign w:val="center"/>
          </w:tcPr>
          <w:p>
            <w:pPr>
              <w:widowControl/>
              <w:jc w:val="center"/>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4</w:t>
            </w:r>
          </w:p>
        </w:tc>
        <w:tc>
          <w:tcPr>
            <w:tcW w:w="1873" w:type="dxa"/>
            <w:shd w:val="clear" w:color="auto" w:fill="auto"/>
            <w:vAlign w:val="center"/>
          </w:tcPr>
          <w:p>
            <w:pPr>
              <w:widowControl/>
              <w:jc w:val="center"/>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5</w:t>
            </w:r>
          </w:p>
        </w:tc>
        <w:tc>
          <w:tcPr>
            <w:tcW w:w="1839" w:type="dxa"/>
            <w:shd w:val="clear" w:color="auto" w:fill="auto"/>
            <w:vAlign w:val="center"/>
          </w:tcPr>
          <w:p>
            <w:pPr>
              <w:widowControl/>
              <w:jc w:val="center"/>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3169" w:type="dxa"/>
            <w:gridSpan w:val="3"/>
            <w:shd w:val="clear" w:color="auto" w:fill="auto"/>
            <w:vAlign w:val="center"/>
          </w:tcPr>
          <w:p>
            <w:pPr>
              <w:widowControl/>
              <w:jc w:val="center"/>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合计</w:t>
            </w:r>
          </w:p>
        </w:tc>
        <w:tc>
          <w:tcPr>
            <w:tcW w:w="1838" w:type="dxa"/>
            <w:shd w:val="clear" w:color="auto" w:fill="auto"/>
            <w:vAlign w:val="center"/>
          </w:tcPr>
          <w:p>
            <w:pPr>
              <w:jc w:val="right"/>
              <w:rPr>
                <w:rFonts w:ascii="Times New Roman" w:hAnsi="Times New Roman" w:eastAsia="仿宋_GB2312" w:cs="Times New Roman"/>
                <w:kern w:val="0"/>
                <w:szCs w:val="21"/>
              </w:rPr>
            </w:pPr>
          </w:p>
        </w:tc>
        <w:tc>
          <w:tcPr>
            <w:tcW w:w="1907" w:type="dxa"/>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b/>
                <w:bCs/>
                <w:color w:val="000000"/>
                <w:kern w:val="0"/>
                <w:sz w:val="22"/>
              </w:rPr>
              <w:t>1,792.57</w:t>
            </w:r>
          </w:p>
        </w:tc>
        <w:tc>
          <w:tcPr>
            <w:tcW w:w="1907" w:type="dxa"/>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b/>
                <w:bCs/>
                <w:color w:val="000000"/>
                <w:kern w:val="0"/>
                <w:sz w:val="22"/>
              </w:rPr>
              <w:t>1,792.57</w:t>
            </w:r>
          </w:p>
        </w:tc>
        <w:tc>
          <w:tcPr>
            <w:tcW w:w="1907" w:type="dxa"/>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b/>
                <w:bCs/>
                <w:color w:val="000000"/>
                <w:kern w:val="0"/>
                <w:sz w:val="22"/>
              </w:rPr>
              <w:t>1,714.17</w:t>
            </w:r>
          </w:p>
        </w:tc>
        <w:tc>
          <w:tcPr>
            <w:tcW w:w="1873" w:type="dxa"/>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b/>
                <w:bCs/>
                <w:color w:val="000000"/>
                <w:kern w:val="0"/>
                <w:sz w:val="22"/>
              </w:rPr>
              <w:t>78.40</w:t>
            </w:r>
          </w:p>
        </w:tc>
        <w:tc>
          <w:tcPr>
            <w:tcW w:w="1839" w:type="dxa"/>
            <w:shd w:val="clear" w:color="auto" w:fill="auto"/>
            <w:vAlign w:val="center"/>
          </w:tcPr>
          <w:p>
            <w:pPr>
              <w:jc w:val="righ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986" w:type="dxa"/>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212</w:t>
            </w:r>
          </w:p>
        </w:tc>
        <w:tc>
          <w:tcPr>
            <w:tcW w:w="2183" w:type="dxa"/>
            <w:gridSpan w:val="2"/>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城乡社区支出</w:t>
            </w:r>
          </w:p>
        </w:tc>
        <w:tc>
          <w:tcPr>
            <w:tcW w:w="1838" w:type="dxa"/>
            <w:shd w:val="clear" w:color="auto" w:fill="auto"/>
            <w:vAlign w:val="center"/>
          </w:tcPr>
          <w:p>
            <w:pPr>
              <w:jc w:val="right"/>
              <w:rPr>
                <w:rFonts w:ascii="Times New Roman" w:hAnsi="Times New Roman" w:eastAsia="仿宋_GB2312" w:cs="Times New Roman"/>
                <w:kern w:val="0"/>
                <w:szCs w:val="21"/>
              </w:rPr>
            </w:pPr>
          </w:p>
        </w:tc>
        <w:tc>
          <w:tcPr>
            <w:tcW w:w="1907" w:type="dxa"/>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1,792.57</w:t>
            </w:r>
          </w:p>
        </w:tc>
        <w:tc>
          <w:tcPr>
            <w:tcW w:w="1907" w:type="dxa"/>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1,792.57</w:t>
            </w:r>
          </w:p>
        </w:tc>
        <w:tc>
          <w:tcPr>
            <w:tcW w:w="1907" w:type="dxa"/>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1,714.17</w:t>
            </w:r>
          </w:p>
        </w:tc>
        <w:tc>
          <w:tcPr>
            <w:tcW w:w="1873" w:type="dxa"/>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78.40</w:t>
            </w:r>
          </w:p>
        </w:tc>
        <w:tc>
          <w:tcPr>
            <w:tcW w:w="1839" w:type="dxa"/>
            <w:shd w:val="clear" w:color="auto" w:fill="auto"/>
            <w:vAlign w:val="center"/>
          </w:tcPr>
          <w:p>
            <w:pPr>
              <w:jc w:val="righ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986" w:type="dxa"/>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21208</w:t>
            </w:r>
          </w:p>
        </w:tc>
        <w:tc>
          <w:tcPr>
            <w:tcW w:w="2183" w:type="dxa"/>
            <w:gridSpan w:val="2"/>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国有土地使用权出让收入安排的支出</w:t>
            </w:r>
          </w:p>
        </w:tc>
        <w:tc>
          <w:tcPr>
            <w:tcW w:w="1838" w:type="dxa"/>
            <w:shd w:val="clear" w:color="auto" w:fill="auto"/>
            <w:vAlign w:val="center"/>
          </w:tcPr>
          <w:p>
            <w:pPr>
              <w:jc w:val="right"/>
              <w:rPr>
                <w:rFonts w:ascii="Times New Roman" w:hAnsi="Times New Roman" w:eastAsia="仿宋_GB2312" w:cs="Times New Roman"/>
                <w:kern w:val="0"/>
                <w:szCs w:val="21"/>
              </w:rPr>
            </w:pPr>
          </w:p>
        </w:tc>
        <w:tc>
          <w:tcPr>
            <w:tcW w:w="1907" w:type="dxa"/>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1,792.57</w:t>
            </w:r>
          </w:p>
        </w:tc>
        <w:tc>
          <w:tcPr>
            <w:tcW w:w="1907" w:type="dxa"/>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1,792.57</w:t>
            </w:r>
          </w:p>
        </w:tc>
        <w:tc>
          <w:tcPr>
            <w:tcW w:w="1907" w:type="dxa"/>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1,714.17</w:t>
            </w:r>
          </w:p>
        </w:tc>
        <w:tc>
          <w:tcPr>
            <w:tcW w:w="1873" w:type="dxa"/>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78.40</w:t>
            </w:r>
          </w:p>
        </w:tc>
        <w:tc>
          <w:tcPr>
            <w:tcW w:w="1839" w:type="dxa"/>
            <w:shd w:val="clear" w:color="auto" w:fill="auto"/>
            <w:vAlign w:val="center"/>
          </w:tcPr>
          <w:p>
            <w:pPr>
              <w:jc w:val="righ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986" w:type="dxa"/>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2120801</w:t>
            </w:r>
          </w:p>
        </w:tc>
        <w:tc>
          <w:tcPr>
            <w:tcW w:w="2183" w:type="dxa"/>
            <w:gridSpan w:val="2"/>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 xml:space="preserve">  征地和拆迁补偿支出</w:t>
            </w:r>
          </w:p>
        </w:tc>
        <w:tc>
          <w:tcPr>
            <w:tcW w:w="1838" w:type="dxa"/>
            <w:shd w:val="clear" w:color="auto" w:fill="auto"/>
            <w:vAlign w:val="center"/>
          </w:tcPr>
          <w:p>
            <w:pPr>
              <w:jc w:val="right"/>
              <w:rPr>
                <w:rFonts w:ascii="Times New Roman" w:hAnsi="Times New Roman" w:eastAsia="仿宋_GB2312" w:cs="Times New Roman"/>
                <w:kern w:val="0"/>
                <w:szCs w:val="21"/>
              </w:rPr>
            </w:pPr>
          </w:p>
        </w:tc>
        <w:tc>
          <w:tcPr>
            <w:tcW w:w="1907" w:type="dxa"/>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2.08</w:t>
            </w:r>
          </w:p>
        </w:tc>
        <w:tc>
          <w:tcPr>
            <w:tcW w:w="1907" w:type="dxa"/>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2.08</w:t>
            </w:r>
          </w:p>
        </w:tc>
        <w:tc>
          <w:tcPr>
            <w:tcW w:w="1907" w:type="dxa"/>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2.08</w:t>
            </w:r>
          </w:p>
        </w:tc>
        <w:tc>
          <w:tcPr>
            <w:tcW w:w="1873" w:type="dxa"/>
            <w:shd w:val="clear" w:color="auto" w:fill="auto"/>
            <w:vAlign w:val="center"/>
          </w:tcPr>
          <w:p>
            <w:pPr>
              <w:jc w:val="right"/>
              <w:rPr>
                <w:rFonts w:ascii="Times New Roman" w:hAnsi="Times New Roman" w:eastAsia="仿宋_GB2312" w:cs="Times New Roman"/>
                <w:kern w:val="0"/>
                <w:szCs w:val="21"/>
              </w:rPr>
            </w:pPr>
          </w:p>
        </w:tc>
        <w:tc>
          <w:tcPr>
            <w:tcW w:w="1839" w:type="dxa"/>
            <w:shd w:val="clear" w:color="auto" w:fill="auto"/>
            <w:vAlign w:val="center"/>
          </w:tcPr>
          <w:p>
            <w:pPr>
              <w:jc w:val="righ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986" w:type="dxa"/>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2120802</w:t>
            </w:r>
          </w:p>
        </w:tc>
        <w:tc>
          <w:tcPr>
            <w:tcW w:w="2183" w:type="dxa"/>
            <w:gridSpan w:val="2"/>
            <w:shd w:val="clear" w:color="auto" w:fill="auto"/>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 xml:space="preserve">  土地开发支出</w:t>
            </w:r>
          </w:p>
        </w:tc>
        <w:tc>
          <w:tcPr>
            <w:tcW w:w="1838" w:type="dxa"/>
            <w:shd w:val="clear" w:color="auto" w:fill="auto"/>
            <w:vAlign w:val="center"/>
          </w:tcPr>
          <w:p>
            <w:pPr>
              <w:jc w:val="right"/>
              <w:rPr>
                <w:rFonts w:ascii="Times New Roman" w:hAnsi="Times New Roman" w:eastAsia="仿宋_GB2312" w:cs="Times New Roman"/>
                <w:kern w:val="0"/>
                <w:szCs w:val="21"/>
              </w:rPr>
            </w:pPr>
          </w:p>
        </w:tc>
        <w:tc>
          <w:tcPr>
            <w:tcW w:w="1907" w:type="dxa"/>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1,790.49</w:t>
            </w:r>
          </w:p>
        </w:tc>
        <w:tc>
          <w:tcPr>
            <w:tcW w:w="1907" w:type="dxa"/>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1,790.49</w:t>
            </w:r>
          </w:p>
        </w:tc>
        <w:tc>
          <w:tcPr>
            <w:tcW w:w="1907" w:type="dxa"/>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1,712.09</w:t>
            </w:r>
          </w:p>
        </w:tc>
        <w:tc>
          <w:tcPr>
            <w:tcW w:w="1873" w:type="dxa"/>
            <w:shd w:val="clear" w:color="auto" w:fill="auto"/>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color w:val="000000"/>
                <w:kern w:val="0"/>
                <w:sz w:val="22"/>
              </w:rPr>
              <w:t>78.40</w:t>
            </w:r>
          </w:p>
        </w:tc>
        <w:tc>
          <w:tcPr>
            <w:tcW w:w="1839" w:type="dxa"/>
            <w:shd w:val="clear" w:color="auto" w:fill="auto"/>
            <w:vAlign w:val="center"/>
          </w:tcPr>
          <w:p>
            <w:pPr>
              <w:jc w:val="right"/>
              <w:rPr>
                <w:rFonts w:ascii="Times New Roman" w:hAnsi="Times New Roman" w:eastAsia="仿宋_GB2312" w:cs="Times New Roman"/>
                <w:kern w:val="0"/>
                <w:szCs w:val="21"/>
              </w:rPr>
            </w:pPr>
          </w:p>
        </w:tc>
      </w:tr>
    </w:tbl>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注：本表反映部门本年度政府性基金预算财政拨款收入、支出及结转和结余情况</w:t>
      </w:r>
    </w:p>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(若本单位无政府性基金收支</w:t>
      </w:r>
      <w:r>
        <w:rPr>
          <w:rFonts w:hint="eastAsia" w:ascii="Times New Roman" w:hAnsi="Times New Roman" w:eastAsia="仿宋_GB2312" w:cs="Times New Roman"/>
          <w:kern w:val="0"/>
          <w:szCs w:val="21"/>
        </w:rPr>
        <w:t>,请说明：XX单位没有政府性基金收入，也没有使用政府性基金安排的支出，故本表无数据</w:t>
      </w:r>
      <w:r>
        <w:rPr>
          <w:rFonts w:ascii="Times New Roman" w:hAnsi="Times New Roman" w:eastAsia="仿宋_GB2312" w:cs="Times New Roman"/>
          <w:kern w:val="0"/>
          <w:szCs w:val="21"/>
        </w:rPr>
        <w:t>)。</w:t>
      </w:r>
    </w:p>
    <w:p>
      <w:pPr>
        <w:widowControl/>
        <w:jc w:val="left"/>
        <w:rPr>
          <w:rFonts w:ascii="黑体" w:hAnsi="黑体" w:eastAsia="黑体"/>
          <w:szCs w:val="21"/>
        </w:rPr>
      </w:pPr>
      <w:r>
        <w:rPr>
          <w:rFonts w:ascii="黑体" w:hAnsi="黑体" w:eastAsia="黑体"/>
          <w:szCs w:val="21"/>
        </w:rPr>
        <w:br w:type="page"/>
      </w:r>
    </w:p>
    <w:tbl>
      <w:tblPr>
        <w:tblStyle w:val="8"/>
        <w:tblW w:w="14190" w:type="dxa"/>
        <w:tblInd w:w="93" w:type="dxa"/>
        <w:tblLayout w:type="autofit"/>
        <w:tblCellMar>
          <w:top w:w="0" w:type="dxa"/>
          <w:left w:w="108" w:type="dxa"/>
          <w:bottom w:w="0" w:type="dxa"/>
          <w:right w:w="108" w:type="dxa"/>
        </w:tblCellMar>
      </w:tblPr>
      <w:tblGrid>
        <w:gridCol w:w="2709"/>
        <w:gridCol w:w="880"/>
        <w:gridCol w:w="495"/>
        <w:gridCol w:w="751"/>
        <w:gridCol w:w="1225"/>
        <w:gridCol w:w="1326"/>
        <w:gridCol w:w="1294"/>
        <w:gridCol w:w="1683"/>
        <w:gridCol w:w="3827"/>
      </w:tblGrid>
      <w:tr>
        <w:tblPrEx>
          <w:tblCellMar>
            <w:top w:w="0" w:type="dxa"/>
            <w:left w:w="108" w:type="dxa"/>
            <w:bottom w:w="0" w:type="dxa"/>
            <w:right w:w="108" w:type="dxa"/>
          </w:tblCellMar>
        </w:tblPrEx>
        <w:trPr>
          <w:trHeight w:val="720" w:hRule="atLeast"/>
        </w:trPr>
        <w:tc>
          <w:tcPr>
            <w:tcW w:w="14190" w:type="dxa"/>
            <w:gridSpan w:val="9"/>
            <w:tcBorders>
              <w:top w:val="nil"/>
              <w:left w:val="nil"/>
              <w:bottom w:val="nil"/>
              <w:right w:val="nil"/>
            </w:tcBorders>
            <w:shd w:val="clear" w:color="000000" w:fill="FFFFFF"/>
            <w:vAlign w:val="center"/>
          </w:tcPr>
          <w:p>
            <w:pPr>
              <w:widowControl/>
              <w:jc w:val="center"/>
              <w:rPr>
                <w:rFonts w:ascii="华文中宋" w:hAnsi="华文中宋" w:eastAsia="华文中宋" w:cs="宋体"/>
                <w:kern w:val="0"/>
                <w:sz w:val="32"/>
                <w:szCs w:val="32"/>
              </w:rPr>
            </w:pPr>
            <w:r>
              <w:rPr>
                <w:rFonts w:hint="eastAsia" w:ascii="华文中宋" w:hAnsi="华文中宋" w:eastAsia="华文中宋" w:cs="宋体"/>
                <w:kern w:val="0"/>
                <w:sz w:val="32"/>
                <w:szCs w:val="32"/>
              </w:rPr>
              <w:t>国有资本经营预算财政拨款支出决算表</w:t>
            </w:r>
          </w:p>
        </w:tc>
      </w:tr>
      <w:tr>
        <w:tblPrEx>
          <w:tblCellMar>
            <w:top w:w="0" w:type="dxa"/>
            <w:left w:w="108" w:type="dxa"/>
            <w:bottom w:w="0" w:type="dxa"/>
            <w:right w:w="108" w:type="dxa"/>
          </w:tblCellMar>
        </w:tblPrEx>
        <w:trPr>
          <w:trHeight w:val="285" w:hRule="atLeast"/>
        </w:trPr>
        <w:tc>
          <w:tcPr>
            <w:tcW w:w="3589" w:type="dxa"/>
            <w:gridSpan w:val="2"/>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495"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751"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225"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20" w:type="dxa"/>
            <w:gridSpan w:val="2"/>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公开09表</w:t>
            </w:r>
          </w:p>
        </w:tc>
      </w:tr>
      <w:tr>
        <w:tblPrEx>
          <w:tblCellMar>
            <w:top w:w="0" w:type="dxa"/>
            <w:left w:w="108" w:type="dxa"/>
            <w:bottom w:w="0" w:type="dxa"/>
            <w:right w:w="108" w:type="dxa"/>
          </w:tblCellMar>
        </w:tblPrEx>
        <w:trPr>
          <w:trHeight w:val="285" w:hRule="atLeast"/>
        </w:trPr>
        <w:tc>
          <w:tcPr>
            <w:tcW w:w="3589" w:type="dxa"/>
            <w:gridSpan w:val="2"/>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部门：湖南月岩国家森林公园管理局</w:t>
            </w:r>
          </w:p>
        </w:tc>
        <w:tc>
          <w:tcPr>
            <w:tcW w:w="495"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751"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225" w:type="dxa"/>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20" w:type="dxa"/>
            <w:gridSpan w:val="2"/>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4835" w:type="dxa"/>
            <w:gridSpan w:val="4"/>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9355" w:type="dxa"/>
            <w:gridSpan w:val="5"/>
            <w:tcBorders>
              <w:top w:val="single" w:color="auto" w:sz="8"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w:t>
            </w:r>
          </w:p>
        </w:tc>
      </w:tr>
      <w:tr>
        <w:tblPrEx>
          <w:tblCellMar>
            <w:top w:w="0" w:type="dxa"/>
            <w:left w:w="108" w:type="dxa"/>
            <w:bottom w:w="0" w:type="dxa"/>
            <w:right w:w="108" w:type="dxa"/>
          </w:tblCellMar>
        </w:tblPrEx>
        <w:trPr>
          <w:trHeight w:val="402" w:hRule="atLeast"/>
        </w:trPr>
        <w:tc>
          <w:tcPr>
            <w:tcW w:w="2709" w:type="dxa"/>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2126" w:type="dxa"/>
            <w:gridSpan w:val="3"/>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2551"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977"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基本支出  </w:t>
            </w:r>
          </w:p>
        </w:tc>
        <w:tc>
          <w:tcPr>
            <w:tcW w:w="3827"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r>
      <w:tr>
        <w:tblPrEx>
          <w:tblCellMar>
            <w:top w:w="0" w:type="dxa"/>
            <w:left w:w="108" w:type="dxa"/>
            <w:bottom w:w="0" w:type="dxa"/>
            <w:right w:w="108" w:type="dxa"/>
          </w:tblCellMar>
        </w:tblPrEx>
        <w:trPr>
          <w:trHeight w:val="402" w:hRule="atLeast"/>
        </w:trPr>
        <w:tc>
          <w:tcPr>
            <w:tcW w:w="2709"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126" w:type="dxa"/>
            <w:gridSpan w:val="3"/>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02" w:hRule="atLeast"/>
        </w:trPr>
        <w:tc>
          <w:tcPr>
            <w:tcW w:w="2709"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126" w:type="dxa"/>
            <w:gridSpan w:val="3"/>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02" w:hRule="atLeast"/>
        </w:trPr>
        <w:tc>
          <w:tcPr>
            <w:tcW w:w="4835" w:type="dxa"/>
            <w:gridSpan w:val="4"/>
            <w:tcBorders>
              <w:top w:val="single" w:color="auto" w:sz="4" w:space="0"/>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r>
      <w:tr>
        <w:tblPrEx>
          <w:tblCellMar>
            <w:top w:w="0" w:type="dxa"/>
            <w:left w:w="108" w:type="dxa"/>
            <w:bottom w:w="0" w:type="dxa"/>
            <w:right w:w="108" w:type="dxa"/>
          </w:tblCellMar>
        </w:tblPrEx>
        <w:trPr>
          <w:trHeight w:val="402" w:hRule="atLeast"/>
        </w:trPr>
        <w:tc>
          <w:tcPr>
            <w:tcW w:w="4835" w:type="dxa"/>
            <w:gridSpan w:val="4"/>
            <w:tcBorders>
              <w:top w:val="nil"/>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4084" w:type="dxa"/>
            <w:gridSpan w:val="3"/>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75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4084" w:type="dxa"/>
            <w:gridSpan w:val="3"/>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75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4084" w:type="dxa"/>
            <w:gridSpan w:val="3"/>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75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4084" w:type="dxa"/>
            <w:gridSpan w:val="3"/>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75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4084" w:type="dxa"/>
            <w:gridSpan w:val="3"/>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75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4084" w:type="dxa"/>
            <w:gridSpan w:val="3"/>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751" w:type="dxa"/>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720" w:hRule="atLeast"/>
        </w:trPr>
        <w:tc>
          <w:tcPr>
            <w:tcW w:w="14190" w:type="dxa"/>
            <w:gridSpan w:val="9"/>
            <w:tcBorders>
              <w:top w:val="single" w:color="auto" w:sz="8" w:space="0"/>
              <w:left w:val="nil"/>
              <w:bottom w:val="nil"/>
              <w:right w:val="nil"/>
            </w:tcBorders>
            <w:shd w:val="clear" w:color="auto" w:fill="auto"/>
            <w:vAlign w:val="center"/>
          </w:tcPr>
          <w:p>
            <w:pPr>
              <w:widowControl/>
              <w:jc w:val="left"/>
              <w:rPr>
                <w:rFonts w:hint="eastAsia" w:ascii="宋体" w:hAnsi="宋体" w:eastAsia="宋体" w:cs="宋体"/>
                <w:kern w:val="0"/>
                <w:sz w:val="24"/>
                <w:szCs w:val="24"/>
                <w:lang w:eastAsia="zh-CN"/>
              </w:rPr>
            </w:pPr>
            <w:r>
              <w:rPr>
                <w:rFonts w:hint="eastAsia" w:ascii="宋体" w:hAnsi="宋体" w:eastAsia="宋体" w:cs="宋体"/>
                <w:kern w:val="0"/>
                <w:sz w:val="24"/>
                <w:szCs w:val="24"/>
              </w:rPr>
              <w:t>注：本表反映部门本年度国有资本经营预算财政拨款支出情况。</w:t>
            </w:r>
            <w:r>
              <w:rPr>
                <w:rFonts w:hint="eastAsia" w:ascii="宋体" w:hAnsi="宋体" w:eastAsia="宋体" w:cs="宋体"/>
                <w:kern w:val="0"/>
                <w:sz w:val="24"/>
                <w:szCs w:val="24"/>
                <w:lang w:eastAsia="zh-CN"/>
              </w:rPr>
              <w:t>本部门无国有资本经营情况，故本表无数据。</w:t>
            </w:r>
          </w:p>
        </w:tc>
      </w:tr>
    </w:tbl>
    <w:p>
      <w:pPr>
        <w:pStyle w:val="13"/>
        <w:rPr>
          <w:sz w:val="72"/>
          <w:szCs w:val="72"/>
        </w:rPr>
        <w:sectPr>
          <w:pgSz w:w="16838" w:h="11906" w:orient="landscape"/>
          <w:pgMar w:top="720" w:right="720" w:bottom="720" w:left="720" w:header="851" w:footer="992" w:gutter="0"/>
          <w:cols w:space="425" w:num="1"/>
          <w:docGrid w:type="lines" w:linePitch="312" w:charSpace="0"/>
        </w:sectPr>
      </w:pPr>
    </w:p>
    <w:p>
      <w:pPr>
        <w:pStyle w:val="13"/>
        <w:rPr>
          <w:sz w:val="72"/>
          <w:szCs w:val="72"/>
        </w:rPr>
      </w:pPr>
    </w:p>
    <w:p>
      <w:pPr>
        <w:pStyle w:val="13"/>
        <w:rPr>
          <w:sz w:val="72"/>
          <w:szCs w:val="72"/>
        </w:rPr>
      </w:pPr>
    </w:p>
    <w:p>
      <w:pPr>
        <w:pStyle w:val="13"/>
        <w:rPr>
          <w:sz w:val="72"/>
          <w:szCs w:val="72"/>
        </w:rPr>
      </w:pPr>
    </w:p>
    <w:p>
      <w:pPr>
        <w:pStyle w:val="13"/>
        <w:rPr>
          <w:sz w:val="72"/>
          <w:szCs w:val="72"/>
        </w:rPr>
      </w:pPr>
    </w:p>
    <w:p>
      <w:pPr>
        <w:pStyle w:val="13"/>
        <w:jc w:val="center"/>
        <w:rPr>
          <w:sz w:val="72"/>
          <w:szCs w:val="72"/>
        </w:rPr>
      </w:pPr>
    </w:p>
    <w:p>
      <w:pPr>
        <w:pStyle w:val="13"/>
        <w:jc w:val="center"/>
        <w:rPr>
          <w:sz w:val="72"/>
          <w:szCs w:val="72"/>
        </w:rPr>
      </w:pPr>
    </w:p>
    <w:p>
      <w:pPr>
        <w:pStyle w:val="13"/>
        <w:jc w:val="center"/>
        <w:rPr>
          <w:sz w:val="72"/>
          <w:szCs w:val="72"/>
        </w:rPr>
      </w:pPr>
      <w:r>
        <w:rPr>
          <w:rFonts w:hint="eastAsia"/>
          <w:sz w:val="72"/>
          <w:szCs w:val="72"/>
        </w:rPr>
        <w:t>第三部分</w:t>
      </w:r>
    </w:p>
    <w:p>
      <w:pPr>
        <w:pStyle w:val="13"/>
        <w:jc w:val="center"/>
        <w:rPr>
          <w:sz w:val="70"/>
          <w:szCs w:val="70"/>
        </w:rPr>
      </w:pPr>
    </w:p>
    <w:p>
      <w:pPr>
        <w:pStyle w:val="13"/>
        <w:jc w:val="center"/>
        <w:rPr>
          <w:sz w:val="70"/>
          <w:szCs w:val="70"/>
        </w:rPr>
      </w:pPr>
      <w:r>
        <w:rPr>
          <w:sz w:val="70"/>
          <w:szCs w:val="70"/>
        </w:rPr>
        <w:t>20</w:t>
      </w:r>
      <w:r>
        <w:rPr>
          <w:rFonts w:hint="eastAsia"/>
          <w:sz w:val="70"/>
          <w:szCs w:val="70"/>
        </w:rPr>
        <w:t>21年度部门决算情况说明</w:t>
      </w:r>
    </w:p>
    <w:p>
      <w:pPr>
        <w:widowControl/>
        <w:jc w:val="left"/>
        <w:rPr>
          <w:rFonts w:ascii="黑体" w:eastAsia="黑体" w:cs="黑体"/>
          <w:color w:val="000000"/>
          <w:kern w:val="0"/>
          <w:sz w:val="70"/>
          <w:szCs w:val="70"/>
        </w:rPr>
      </w:pPr>
      <w:r>
        <w:rPr>
          <w:sz w:val="70"/>
          <w:szCs w:val="70"/>
        </w:rPr>
        <w:br w:type="page"/>
      </w:r>
    </w:p>
    <w:p>
      <w:pPr>
        <w:pStyle w:val="13"/>
        <w:rPr>
          <w:rFonts w:asciiTheme="minorEastAsia" w:hAnsiTheme="minorEastAsia" w:eastAsiaTheme="minorEastAsia"/>
          <w:sz w:val="32"/>
          <w:szCs w:val="32"/>
        </w:rPr>
      </w:pPr>
    </w:p>
    <w:p>
      <w:pPr>
        <w:pStyle w:val="13"/>
        <w:rPr>
          <w:rFonts w:hAnsi="黑体"/>
          <w:b/>
          <w:sz w:val="32"/>
          <w:szCs w:val="32"/>
        </w:rPr>
      </w:pPr>
      <w:r>
        <w:rPr>
          <w:rFonts w:hint="eastAsia" w:hAnsi="黑体"/>
          <w:b/>
          <w:sz w:val="32"/>
          <w:szCs w:val="32"/>
        </w:rPr>
        <w:t>一、收入支出决算总体情况说明</w:t>
      </w:r>
    </w:p>
    <w:p>
      <w:pPr>
        <w:pStyle w:val="13"/>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2021年度收、支总计2663.96万元。与上年相比，减少962.38万元，减少26%，主要是因为项目的减少、人员的退休。</w:t>
      </w:r>
    </w:p>
    <w:p>
      <w:pPr>
        <w:pStyle w:val="13"/>
        <w:rPr>
          <w:rFonts w:hAnsi="黑体"/>
          <w:b/>
          <w:sz w:val="32"/>
          <w:szCs w:val="32"/>
        </w:rPr>
      </w:pPr>
      <w:r>
        <w:rPr>
          <w:rFonts w:hint="eastAsia" w:hAnsi="黑体"/>
          <w:b/>
          <w:sz w:val="32"/>
          <w:szCs w:val="32"/>
        </w:rPr>
        <w:t>二、收入决算情况说明</w:t>
      </w:r>
    </w:p>
    <w:p>
      <w:pPr>
        <w:pStyle w:val="13"/>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2021年度收入合计2663.96万元，其中：财政拨款收入2663.96万元，占100%；上级补助收入0万元，占0%；事业收入0万元，占0%；经营收入0万元，占0%；附属单位上缴收入0万元，占0%；其他收入0万元，占0%。</w:t>
      </w:r>
    </w:p>
    <w:p>
      <w:pPr>
        <w:pStyle w:val="13"/>
        <w:rPr>
          <w:rFonts w:hAnsi="黑体"/>
          <w:b/>
          <w:sz w:val="32"/>
          <w:szCs w:val="32"/>
        </w:rPr>
      </w:pPr>
      <w:r>
        <w:rPr>
          <w:rFonts w:hint="eastAsia" w:hAnsi="黑体"/>
          <w:b/>
          <w:sz w:val="32"/>
          <w:szCs w:val="32"/>
        </w:rPr>
        <w:t>三、支出决算情况说明</w:t>
      </w:r>
    </w:p>
    <w:p>
      <w:pPr>
        <w:pStyle w:val="13"/>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2021年度支出合计2663.96万元，其中：基本支出2053.96万元，占77%；项目支出610万元，占23%；上缴上级支出0万元，占0%；经营支出0万元，占0%；对附属单位补助支出0万元，占0%。</w:t>
      </w:r>
    </w:p>
    <w:p>
      <w:pPr>
        <w:pStyle w:val="13"/>
        <w:rPr>
          <w:rFonts w:hAnsi="黑体"/>
          <w:b/>
          <w:sz w:val="32"/>
          <w:szCs w:val="32"/>
        </w:rPr>
      </w:pPr>
      <w:r>
        <w:rPr>
          <w:rFonts w:hint="eastAsia" w:hAnsi="黑体"/>
          <w:b/>
          <w:sz w:val="32"/>
          <w:szCs w:val="32"/>
        </w:rPr>
        <w:t>四、财政拨款收入支出决算总体情况说明</w:t>
      </w:r>
    </w:p>
    <w:p>
      <w:pPr>
        <w:pStyle w:val="13"/>
        <w:ind w:firstLine="640"/>
        <w:rPr>
          <w:rFonts w:asciiTheme="minorEastAsia" w:hAnsiTheme="minorEastAsia" w:eastAsiaTheme="minorEastAsia"/>
          <w:sz w:val="32"/>
          <w:szCs w:val="32"/>
        </w:rPr>
      </w:pPr>
      <w:r>
        <w:rPr>
          <w:rFonts w:hint="eastAsia" w:asciiTheme="minorEastAsia" w:hAnsiTheme="minorEastAsia" w:eastAsiaTheme="minorEastAsia"/>
          <w:sz w:val="32"/>
          <w:szCs w:val="32"/>
        </w:rPr>
        <w:t>2021年度财政拨款收、支总计2663.96万元，与上年相比，减少962.38万元,减少26%，主要是因为项目的减少、人员的退休。</w:t>
      </w:r>
    </w:p>
    <w:p>
      <w:pPr>
        <w:pStyle w:val="13"/>
        <w:ind w:firstLine="640"/>
        <w:rPr>
          <w:rFonts w:hAnsi="黑体"/>
          <w:b/>
          <w:sz w:val="32"/>
          <w:szCs w:val="32"/>
        </w:rPr>
      </w:pPr>
      <w:r>
        <w:rPr>
          <w:rFonts w:hint="eastAsia" w:hAnsi="黑体"/>
          <w:b/>
          <w:sz w:val="32"/>
          <w:szCs w:val="32"/>
        </w:rPr>
        <w:t>五、一般公共预算财政拨款支出决算情况说明</w:t>
      </w:r>
    </w:p>
    <w:p>
      <w:pPr>
        <w:pStyle w:val="13"/>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（一）财政拨款支出决算总体情况</w:t>
      </w:r>
    </w:p>
    <w:p>
      <w:pPr>
        <w:pStyle w:val="13"/>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2021年度财政拨款支出2663.96万元，占本年支出合计的100%，与上年相比，财政拨款支出减少962.38万元，减少26%，主要是因为项目的减少、人员的退休。</w:t>
      </w:r>
    </w:p>
    <w:p>
      <w:pPr>
        <w:pStyle w:val="13"/>
        <w:ind w:firstLine="480" w:firstLineChars="150"/>
        <w:rPr>
          <w:rFonts w:asciiTheme="minorEastAsia" w:hAnsiTheme="minorEastAsia" w:eastAsiaTheme="minorEastAsia"/>
          <w:b/>
          <w:sz w:val="32"/>
          <w:szCs w:val="32"/>
        </w:rPr>
      </w:pPr>
      <w:r>
        <w:rPr>
          <w:rFonts w:hint="eastAsia" w:asciiTheme="minorEastAsia" w:hAnsiTheme="minorEastAsia" w:eastAsiaTheme="minorEastAsia"/>
          <w:b/>
          <w:sz w:val="32"/>
          <w:szCs w:val="32"/>
        </w:rPr>
        <w:t>（二）财政拨款支出决算结构情况</w:t>
      </w:r>
    </w:p>
    <w:p>
      <w:pPr>
        <w:pStyle w:val="13"/>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2021年度财政拨款支出2663.96万元，主要用于以下方面：一般公共服务支出8.1万元，占0.3%；社会保障和就业支出237.73万元，占8.93%;</w:t>
      </w:r>
      <w:r>
        <w:rPr>
          <w:rFonts w:hint="eastAsia" w:ascii="宋体" w:hAnsi="宋体" w:eastAsia="宋体" w:cs="宋体"/>
          <w:sz w:val="32"/>
          <w:szCs w:val="32"/>
        </w:rPr>
        <w:t>卫生健康支出102.06万元，占3.83%；节能环保支出507.5万元，占19.05%；城乡社区支出1792.57万元，占67.29%；灾害防治及应急管理支出16万元，占0.6%。</w:t>
      </w:r>
    </w:p>
    <w:p>
      <w:pPr>
        <w:pStyle w:val="13"/>
        <w:ind w:firstLine="800" w:firstLineChars="250"/>
        <w:rPr>
          <w:rFonts w:asciiTheme="minorEastAsia" w:hAnsiTheme="minorEastAsia" w:eastAsiaTheme="minorEastAsia"/>
          <w:b/>
          <w:sz w:val="32"/>
          <w:szCs w:val="32"/>
        </w:rPr>
      </w:pPr>
      <w:r>
        <w:rPr>
          <w:rFonts w:hint="eastAsia" w:asciiTheme="minorEastAsia" w:hAnsiTheme="minorEastAsia" w:eastAsiaTheme="minorEastAsia"/>
          <w:b/>
          <w:sz w:val="32"/>
          <w:szCs w:val="32"/>
        </w:rPr>
        <w:t>（三）财政拨款支出决算具体情况</w:t>
      </w:r>
    </w:p>
    <w:p>
      <w:pPr>
        <w:pStyle w:val="13"/>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2021年度财政拨款支出年初预算数为2432.75万元，支出决算数为2663.96万元，完成年初预算的109%，其中：</w:t>
      </w:r>
    </w:p>
    <w:p>
      <w:pPr>
        <w:pStyle w:val="7"/>
        <w:widowControl/>
        <w:spacing w:beforeAutospacing="0" w:after="2" w:afterAutospacing="0"/>
        <w:ind w:firstLine="641"/>
        <w:rPr>
          <w:sz w:val="27"/>
          <w:szCs w:val="27"/>
        </w:rPr>
      </w:pPr>
      <w:r>
        <w:rPr>
          <w:rStyle w:val="10"/>
          <w:rFonts w:hint="eastAsia" w:ascii="宋体" w:hAnsi="宋体" w:eastAsia="宋体" w:cs="宋体"/>
          <w:color w:val="000000"/>
          <w:sz w:val="32"/>
          <w:szCs w:val="32"/>
        </w:rPr>
        <w:t>1、一般公共服务支出（类）纪检监察事务（款）其他纪检监察事务支出（项）</w:t>
      </w:r>
    </w:p>
    <w:p>
      <w:pPr>
        <w:pStyle w:val="7"/>
        <w:widowControl/>
        <w:spacing w:beforeAutospacing="0" w:after="2" w:afterAutospacing="0"/>
        <w:ind w:firstLine="641"/>
        <w:rPr>
          <w:sz w:val="27"/>
          <w:szCs w:val="27"/>
        </w:rPr>
      </w:pPr>
      <w:r>
        <w:rPr>
          <w:rFonts w:hint="eastAsia" w:ascii="宋体" w:hAnsi="宋体" w:eastAsia="宋体" w:cs="宋体"/>
          <w:color w:val="000000"/>
          <w:sz w:val="32"/>
          <w:szCs w:val="32"/>
        </w:rPr>
        <w:t>年初预算为8.1万元，支出决算为8.1万元，完成年初预算的100%。</w:t>
      </w:r>
    </w:p>
    <w:p>
      <w:pPr>
        <w:pStyle w:val="7"/>
        <w:widowControl/>
        <w:spacing w:beforeAutospacing="0" w:after="2" w:afterAutospacing="0"/>
        <w:ind w:firstLine="641"/>
        <w:rPr>
          <w:sz w:val="27"/>
          <w:szCs w:val="27"/>
        </w:rPr>
      </w:pPr>
      <w:r>
        <w:rPr>
          <w:rStyle w:val="10"/>
          <w:rFonts w:hint="eastAsia" w:ascii="宋体" w:hAnsi="宋体" w:eastAsia="宋体" w:cs="宋体"/>
          <w:color w:val="000000"/>
          <w:sz w:val="32"/>
          <w:szCs w:val="32"/>
        </w:rPr>
        <w:t>2、社会保障和就业支出（类）行政事业单位养老支出（款）机关事业单位基本养老保险缴费支出（项）</w:t>
      </w:r>
    </w:p>
    <w:p>
      <w:pPr>
        <w:pStyle w:val="7"/>
        <w:widowControl/>
        <w:spacing w:beforeAutospacing="0" w:after="2" w:afterAutospacing="0"/>
        <w:ind w:firstLine="641"/>
        <w:rPr>
          <w:sz w:val="27"/>
          <w:szCs w:val="27"/>
        </w:rPr>
      </w:pPr>
      <w:r>
        <w:rPr>
          <w:rFonts w:hint="eastAsia" w:ascii="宋体" w:hAnsi="宋体" w:eastAsia="宋体" w:cs="宋体"/>
          <w:color w:val="000000"/>
          <w:sz w:val="32"/>
          <w:szCs w:val="32"/>
        </w:rPr>
        <w:t>年初预算为251.45万元，支出决算为202.32万元，完成年初预算的80%。决算数小于年初预算数的主要原因是：养老保险职业年金单位部分财政没有拨付。</w:t>
      </w:r>
    </w:p>
    <w:p>
      <w:pPr>
        <w:pStyle w:val="7"/>
        <w:widowControl/>
        <w:spacing w:beforeAutospacing="0" w:after="2" w:afterAutospacing="0"/>
        <w:ind w:firstLine="641"/>
        <w:rPr>
          <w:sz w:val="27"/>
          <w:szCs w:val="27"/>
        </w:rPr>
      </w:pPr>
      <w:r>
        <w:rPr>
          <w:rStyle w:val="10"/>
          <w:rFonts w:hint="eastAsia" w:ascii="宋体" w:hAnsi="宋体" w:eastAsia="宋体" w:cs="宋体"/>
          <w:color w:val="000000"/>
          <w:sz w:val="32"/>
          <w:szCs w:val="32"/>
        </w:rPr>
        <w:t>3、社会保障和就业支出（类）抚恤（款）死亡抚恤（项）</w:t>
      </w:r>
    </w:p>
    <w:p>
      <w:pPr>
        <w:pStyle w:val="7"/>
        <w:widowControl/>
        <w:spacing w:beforeAutospacing="0" w:after="2" w:afterAutospacing="0"/>
        <w:ind w:firstLine="641"/>
        <w:rPr>
          <w:sz w:val="27"/>
          <w:szCs w:val="27"/>
        </w:rPr>
      </w:pPr>
      <w:r>
        <w:rPr>
          <w:rFonts w:hint="eastAsia" w:ascii="宋体" w:hAnsi="宋体" w:eastAsia="宋体" w:cs="宋体"/>
          <w:color w:val="000000"/>
          <w:sz w:val="32"/>
          <w:szCs w:val="32"/>
        </w:rPr>
        <w:t>年初预算为0万元，支出决算为35.41万元，超出年初预算的100%。决算数大于年初预算数的主要原因是：财政纳入大预算。</w:t>
      </w:r>
    </w:p>
    <w:p>
      <w:pPr>
        <w:pStyle w:val="7"/>
        <w:widowControl/>
        <w:spacing w:beforeAutospacing="0" w:after="2" w:afterAutospacing="0"/>
        <w:ind w:firstLine="641"/>
        <w:rPr>
          <w:sz w:val="27"/>
          <w:szCs w:val="27"/>
        </w:rPr>
      </w:pPr>
      <w:r>
        <w:rPr>
          <w:rStyle w:val="10"/>
          <w:rFonts w:hint="eastAsia" w:ascii="宋体" w:hAnsi="宋体" w:eastAsia="宋体" w:cs="宋体"/>
          <w:color w:val="000000"/>
          <w:sz w:val="32"/>
          <w:szCs w:val="32"/>
        </w:rPr>
        <w:t>4、卫生健康支出（类）行政事业单位医疗（款）事业单位医疗（项）</w:t>
      </w:r>
    </w:p>
    <w:p>
      <w:pPr>
        <w:pStyle w:val="7"/>
        <w:widowControl/>
        <w:spacing w:beforeAutospacing="0" w:after="2" w:afterAutospacing="0"/>
        <w:ind w:firstLine="641"/>
        <w:rPr>
          <w:sz w:val="27"/>
          <w:szCs w:val="27"/>
        </w:rPr>
      </w:pPr>
      <w:r>
        <w:rPr>
          <w:rFonts w:hint="eastAsia" w:ascii="宋体" w:hAnsi="宋体" w:eastAsia="宋体" w:cs="宋体"/>
          <w:color w:val="000000"/>
          <w:sz w:val="32"/>
          <w:szCs w:val="32"/>
        </w:rPr>
        <w:t>年初预算为125.72万元，支出决算为102.06万元，完成年初预算的81%。决算数小于年初预算数的主要原因是：在职人员退休减少。</w:t>
      </w:r>
    </w:p>
    <w:p>
      <w:pPr>
        <w:pStyle w:val="7"/>
        <w:widowControl/>
        <w:spacing w:beforeAutospacing="0" w:after="2" w:afterAutospacing="0"/>
        <w:ind w:firstLine="641"/>
        <w:rPr>
          <w:sz w:val="27"/>
          <w:szCs w:val="27"/>
        </w:rPr>
      </w:pPr>
      <w:r>
        <w:rPr>
          <w:rStyle w:val="10"/>
          <w:rFonts w:hint="eastAsia" w:ascii="宋体" w:hAnsi="宋体" w:eastAsia="宋体" w:cs="宋体"/>
          <w:color w:val="000000"/>
          <w:sz w:val="32"/>
          <w:szCs w:val="32"/>
        </w:rPr>
        <w:t>5、节能环保支出（类）自然生态保护（款）生态保护（项）</w:t>
      </w:r>
    </w:p>
    <w:p>
      <w:pPr>
        <w:pStyle w:val="7"/>
        <w:widowControl/>
        <w:spacing w:beforeAutospacing="0" w:after="2" w:afterAutospacing="0"/>
        <w:ind w:firstLine="641"/>
        <w:rPr>
          <w:sz w:val="27"/>
          <w:szCs w:val="27"/>
        </w:rPr>
      </w:pPr>
      <w:r>
        <w:rPr>
          <w:rFonts w:hint="eastAsia" w:ascii="宋体" w:hAnsi="宋体" w:eastAsia="宋体" w:cs="宋体"/>
          <w:color w:val="000000"/>
          <w:sz w:val="32"/>
          <w:szCs w:val="32"/>
        </w:rPr>
        <w:t>年初预算为4.5万元，支出决算为4.5万元，完成年初预算的100%。</w:t>
      </w:r>
    </w:p>
    <w:p>
      <w:pPr>
        <w:pStyle w:val="7"/>
        <w:widowControl/>
        <w:spacing w:beforeAutospacing="0" w:after="2" w:afterAutospacing="0"/>
        <w:ind w:firstLine="641"/>
        <w:rPr>
          <w:sz w:val="27"/>
          <w:szCs w:val="27"/>
        </w:rPr>
      </w:pPr>
      <w:r>
        <w:rPr>
          <w:rStyle w:val="10"/>
          <w:rFonts w:hint="eastAsia" w:ascii="宋体" w:hAnsi="宋体" w:eastAsia="宋体" w:cs="宋体"/>
          <w:color w:val="000000"/>
          <w:sz w:val="32"/>
          <w:szCs w:val="32"/>
        </w:rPr>
        <w:t>6、节能环保支出（类）自然生态保护（款）其他节能环保支出（项）</w:t>
      </w:r>
    </w:p>
    <w:p>
      <w:pPr>
        <w:pStyle w:val="7"/>
        <w:widowControl/>
        <w:spacing w:beforeAutospacing="0" w:after="2" w:afterAutospacing="0"/>
        <w:ind w:firstLine="641"/>
        <w:rPr>
          <w:sz w:val="27"/>
          <w:szCs w:val="27"/>
        </w:rPr>
      </w:pPr>
      <w:r>
        <w:rPr>
          <w:rFonts w:hint="eastAsia" w:ascii="宋体" w:hAnsi="宋体" w:eastAsia="宋体" w:cs="宋体"/>
          <w:color w:val="000000"/>
          <w:sz w:val="32"/>
          <w:szCs w:val="32"/>
        </w:rPr>
        <w:t>年初预算为0万元，支出决算为110万元，超出年初预算的100%。决算数大于年初预算数的主要原因是：小水电拆除补偿款未纳入年初预算。</w:t>
      </w:r>
    </w:p>
    <w:p>
      <w:pPr>
        <w:pStyle w:val="7"/>
        <w:widowControl/>
        <w:spacing w:beforeAutospacing="0" w:after="2" w:afterAutospacing="0"/>
        <w:ind w:firstLine="641"/>
        <w:rPr>
          <w:sz w:val="27"/>
          <w:szCs w:val="27"/>
        </w:rPr>
      </w:pPr>
      <w:r>
        <w:rPr>
          <w:rStyle w:val="10"/>
          <w:rFonts w:hint="eastAsia" w:ascii="宋体" w:hAnsi="宋体" w:eastAsia="宋体" w:cs="宋体"/>
          <w:color w:val="000000"/>
          <w:sz w:val="32"/>
          <w:szCs w:val="32"/>
        </w:rPr>
        <w:t>7、节能环保支出（类）天然林保护（款）停伐补助（项）</w:t>
      </w:r>
    </w:p>
    <w:p>
      <w:pPr>
        <w:pStyle w:val="7"/>
        <w:widowControl/>
        <w:spacing w:beforeAutospacing="0" w:after="2" w:afterAutospacing="0"/>
        <w:ind w:firstLine="641"/>
        <w:rPr>
          <w:sz w:val="27"/>
          <w:szCs w:val="27"/>
        </w:rPr>
      </w:pPr>
      <w:r>
        <w:rPr>
          <w:rFonts w:hint="eastAsia" w:ascii="宋体" w:hAnsi="宋体" w:eastAsia="宋体" w:cs="宋体"/>
          <w:color w:val="000000"/>
          <w:sz w:val="32"/>
          <w:szCs w:val="32"/>
        </w:rPr>
        <w:t>年初预算为0万元，支出决算为393万元，超出年初预算的100%。决算数大于年初预算数的主要原因是：天然林禁伐补助，省厅下拨指标，未纳入年初预算。</w:t>
      </w:r>
    </w:p>
    <w:p>
      <w:pPr>
        <w:pStyle w:val="7"/>
        <w:widowControl/>
        <w:spacing w:beforeAutospacing="0" w:after="2" w:afterAutospacing="0"/>
        <w:ind w:firstLine="641"/>
        <w:rPr>
          <w:sz w:val="27"/>
          <w:szCs w:val="27"/>
        </w:rPr>
      </w:pPr>
      <w:r>
        <w:rPr>
          <w:rStyle w:val="10"/>
          <w:rFonts w:hint="eastAsia" w:ascii="宋体" w:hAnsi="宋体" w:eastAsia="宋体" w:cs="宋体"/>
          <w:color w:val="000000"/>
          <w:sz w:val="32"/>
          <w:szCs w:val="32"/>
        </w:rPr>
        <w:t>8、灾害防治及应急管理支出（类）自然灾害防治（款）森林草原防灾减灾（项）</w:t>
      </w:r>
    </w:p>
    <w:p>
      <w:pPr>
        <w:pStyle w:val="7"/>
        <w:widowControl/>
        <w:spacing w:beforeAutospacing="0" w:after="2" w:afterAutospacing="0"/>
        <w:ind w:firstLine="641"/>
        <w:rPr>
          <w:rFonts w:asciiTheme="minorEastAsia" w:hAnsiTheme="minorEastAsia"/>
          <w:sz w:val="32"/>
          <w:szCs w:val="32"/>
        </w:rPr>
      </w:pPr>
      <w:r>
        <w:rPr>
          <w:rFonts w:hint="eastAsia" w:ascii="宋体" w:hAnsi="宋体" w:eastAsia="宋体" w:cs="宋体"/>
          <w:color w:val="000000"/>
          <w:sz w:val="32"/>
          <w:szCs w:val="32"/>
        </w:rPr>
        <w:t>年初预算为16万元，支出决算为16万元，完成年初预算的100%。</w:t>
      </w:r>
    </w:p>
    <w:p>
      <w:pPr>
        <w:pStyle w:val="13"/>
        <w:rPr>
          <w:rFonts w:hAnsi="黑体"/>
          <w:b/>
          <w:sz w:val="32"/>
          <w:szCs w:val="32"/>
        </w:rPr>
      </w:pPr>
      <w:r>
        <w:rPr>
          <w:rFonts w:hint="eastAsia" w:hAnsi="黑体"/>
          <w:b/>
          <w:sz w:val="32"/>
          <w:szCs w:val="32"/>
        </w:rPr>
        <w:t>六、一般公共预算财政拨款基本支出决算情况说明</w:t>
      </w:r>
    </w:p>
    <w:p>
      <w:pPr>
        <w:pStyle w:val="13"/>
        <w:ind w:firstLine="640" w:firstLineChars="200"/>
        <w:rPr>
          <w:rFonts w:asciiTheme="minorEastAsia" w:hAnsiTheme="minorEastAsia" w:eastAsiaTheme="minorEastAsia"/>
          <w:i/>
          <w:color w:val="FF0000"/>
          <w:sz w:val="32"/>
          <w:szCs w:val="32"/>
        </w:rPr>
      </w:pPr>
      <w:r>
        <w:rPr>
          <w:rFonts w:hint="eastAsia" w:asciiTheme="minorEastAsia" w:hAnsiTheme="minorEastAsia" w:eastAsiaTheme="minorEastAsia"/>
          <w:sz w:val="32"/>
          <w:szCs w:val="32"/>
        </w:rPr>
        <w:t>2021年度财政拨款基本支出2053.96万元，</w:t>
      </w:r>
      <w:r>
        <w:rPr>
          <w:rFonts w:hint="eastAsia" w:ascii="宋体" w:hAnsi="宋体" w:eastAsia="宋体" w:cs="宋体"/>
          <w:sz w:val="32"/>
          <w:szCs w:val="32"/>
        </w:rPr>
        <w:t>其中：人员经费1962.98万元，占基本支出的95.57%，主要包括：基本工资、津贴补贴、奖金、绩效工资、机关事业单位基本养老保险缴费、职工基本医疗保险缴费、抚恤金。公用经费90.98万元，占基本支出的4.43%，主要包括：办公费、印刷费、电费、邮电费、差旅费、维修（护）费、会议费、培训费、公务接待费、劳务费、工会经费、福利费、公务用车运行维护费、其他交通费用、税金及附加费用。</w:t>
      </w:r>
    </w:p>
    <w:p>
      <w:pPr>
        <w:pStyle w:val="13"/>
        <w:rPr>
          <w:rFonts w:hAnsi="黑体"/>
          <w:b/>
          <w:sz w:val="32"/>
          <w:szCs w:val="32"/>
        </w:rPr>
      </w:pPr>
      <w:r>
        <w:rPr>
          <w:rFonts w:hint="eastAsia" w:hAnsi="黑体"/>
          <w:b/>
          <w:sz w:val="32"/>
          <w:szCs w:val="32"/>
        </w:rPr>
        <w:t>七、一般公共预算财政拨款“三公”经费支出决算情况说明</w:t>
      </w:r>
    </w:p>
    <w:p>
      <w:pPr>
        <w:pStyle w:val="13"/>
        <w:rPr>
          <w:rFonts w:asciiTheme="minorEastAsia" w:hAnsiTheme="minorEastAsia" w:eastAsiaTheme="minorEastAsia"/>
          <w:b/>
          <w:sz w:val="32"/>
          <w:szCs w:val="32"/>
        </w:rPr>
      </w:pPr>
      <w:r>
        <w:rPr>
          <w:rFonts w:hint="eastAsia" w:asciiTheme="minorEastAsia" w:hAnsiTheme="minorEastAsia" w:eastAsiaTheme="minorEastAsia"/>
          <w:b/>
          <w:sz w:val="32"/>
          <w:szCs w:val="32"/>
        </w:rPr>
        <w:t>（一）“三公”经费财政拨款支出决算总体情况说明</w:t>
      </w:r>
    </w:p>
    <w:p>
      <w:pPr>
        <w:pStyle w:val="13"/>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2021年度“三公”经费财政拨款支出预算为31.35万元，支出决算为28.74万元，完成预算的91.67%，其中：</w:t>
      </w:r>
    </w:p>
    <w:p>
      <w:pPr>
        <w:pStyle w:val="13"/>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因公出国（境）费支出预算为</w:t>
      </w:r>
      <w:r>
        <w:rPr>
          <w:rFonts w:hint="eastAsia" w:asciiTheme="minorEastAsia" w:hAnsiTheme="minorEastAsia" w:eastAsiaTheme="minorEastAsia"/>
          <w:sz w:val="32"/>
          <w:szCs w:val="32"/>
          <w:lang w:eastAsia="zh-CN"/>
        </w:rPr>
        <w:t>０</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eastAsia="zh-CN"/>
        </w:rPr>
        <w:t>０</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由于预算数为0，无法计算百分比</w:t>
      </w:r>
      <w:r>
        <w:rPr>
          <w:rFonts w:hint="eastAsia" w:asciiTheme="minorEastAsia" w:hAnsiTheme="minorEastAsia" w:eastAsiaTheme="minorEastAsia"/>
          <w:sz w:val="32"/>
          <w:szCs w:val="32"/>
          <w:lang w:val="en-US" w:eastAsia="zh-CN"/>
        </w:rPr>
        <w:t>，2021年我单位未开展因公出国（境）活动</w:t>
      </w:r>
      <w:r>
        <w:rPr>
          <w:rFonts w:hint="eastAsia" w:asciiTheme="minorEastAsia" w:hAnsiTheme="minorEastAsia" w:eastAsiaTheme="minorEastAsia"/>
          <w:sz w:val="32"/>
          <w:szCs w:val="32"/>
        </w:rPr>
        <w:t>。</w:t>
      </w:r>
    </w:p>
    <w:p>
      <w:pPr>
        <w:pStyle w:val="13"/>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公务接待费支出预算为19.35万元，支出决算为16.74万元，完成预算的96.51%，决算数小于预算数的主要原因是提倡节约、精简开支，与上年相比减少0.62万元，减少3.57%,减少的主要原因是提倡节约、精简开支。</w:t>
      </w:r>
    </w:p>
    <w:p>
      <w:pPr>
        <w:pStyle w:val="13"/>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公务用车购置费</w:t>
      </w:r>
      <w:r>
        <w:rPr>
          <w:rFonts w:hint="eastAsia" w:asciiTheme="minorEastAsia" w:hAnsiTheme="minorEastAsia" w:eastAsiaTheme="minorEastAsia"/>
          <w:sz w:val="32"/>
          <w:szCs w:val="32"/>
          <w:lang w:eastAsia="zh-CN"/>
        </w:rPr>
        <w:t>支出预算为</w:t>
      </w:r>
      <w:r>
        <w:rPr>
          <w:rFonts w:hint="eastAsia" w:asciiTheme="minorEastAsia" w:hAnsiTheme="minorEastAsia" w:eastAsiaTheme="minorEastAsia"/>
          <w:sz w:val="32"/>
          <w:szCs w:val="32"/>
          <w:lang w:val="en-US" w:eastAsia="zh-CN"/>
        </w:rPr>
        <w:t>0万元，支出决算为0万元，</w:t>
      </w:r>
      <w:r>
        <w:rPr>
          <w:rFonts w:hint="eastAsia" w:asciiTheme="minorEastAsia" w:hAnsiTheme="minorEastAsia" w:eastAsiaTheme="minorEastAsia"/>
          <w:sz w:val="32"/>
          <w:szCs w:val="32"/>
        </w:rPr>
        <w:t>由于预算数为0，无法计算百分比</w:t>
      </w:r>
      <w:r>
        <w:rPr>
          <w:rFonts w:hint="eastAsia" w:asciiTheme="minorEastAsia" w:hAnsiTheme="minorEastAsia" w:eastAsiaTheme="minorEastAsia"/>
          <w:sz w:val="32"/>
          <w:szCs w:val="32"/>
          <w:lang w:val="en-US" w:eastAsia="zh-CN"/>
        </w:rPr>
        <w:t>，本年无公务用车购置。</w:t>
      </w:r>
    </w:p>
    <w:p>
      <w:pPr>
        <w:pStyle w:val="13"/>
        <w:ind w:firstLine="640" w:firstLineChars="200"/>
        <w:rPr>
          <w:rFonts w:asciiTheme="minorEastAsia" w:hAnsiTheme="minorEastAsia" w:eastAsiaTheme="minorEastAsia"/>
          <w:sz w:val="32"/>
          <w:szCs w:val="32"/>
        </w:rPr>
      </w:pPr>
      <w:bookmarkStart w:id="3" w:name="_GoBack"/>
      <w:bookmarkEnd w:id="3"/>
    </w:p>
    <w:p>
      <w:pPr>
        <w:pStyle w:val="13"/>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公务用车运行维护费支出预算为12万元，支出决算为12万元，完成预算的100%。</w:t>
      </w:r>
    </w:p>
    <w:p>
      <w:pPr>
        <w:pStyle w:val="13"/>
        <w:rPr>
          <w:rFonts w:asciiTheme="minorEastAsia" w:hAnsiTheme="minorEastAsia" w:eastAsiaTheme="minorEastAsia"/>
          <w:b/>
          <w:sz w:val="32"/>
          <w:szCs w:val="32"/>
        </w:rPr>
      </w:pPr>
      <w:r>
        <w:rPr>
          <w:rFonts w:hint="eastAsia" w:asciiTheme="minorEastAsia" w:hAnsiTheme="minorEastAsia" w:eastAsiaTheme="minorEastAsia"/>
          <w:b/>
          <w:sz w:val="32"/>
          <w:szCs w:val="32"/>
        </w:rPr>
        <w:t>（二）“三公”经费财政拨款支出决算具体情况说明</w:t>
      </w:r>
    </w:p>
    <w:p>
      <w:pPr>
        <w:pStyle w:val="13"/>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2021年度“三公”经费财政拨款支出决算中，公务接待费支出决算16.74万元，占58.25%,因公出国（境）费支出决算</w:t>
      </w:r>
      <w:r>
        <w:rPr>
          <w:rFonts w:hint="eastAsia" w:asciiTheme="minorEastAsia" w:hAnsiTheme="minorEastAsia" w:eastAsiaTheme="minorEastAsia"/>
          <w:sz w:val="32"/>
          <w:szCs w:val="32"/>
          <w:lang w:eastAsia="zh-CN"/>
        </w:rPr>
        <w:t>为</w:t>
      </w:r>
      <w:r>
        <w:rPr>
          <w:rFonts w:hint="eastAsia" w:asciiTheme="minorEastAsia" w:hAnsiTheme="minorEastAsia" w:eastAsiaTheme="minorEastAsia"/>
          <w:sz w:val="32"/>
          <w:szCs w:val="32"/>
        </w:rPr>
        <w:t>0，公务用车购置费及运行维护费支出决算12万元，占41.75%。其中：</w:t>
      </w:r>
    </w:p>
    <w:p>
      <w:pPr>
        <w:pStyle w:val="13"/>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1、因公出国（境）费支出决算为0万元。</w:t>
      </w:r>
    </w:p>
    <w:p>
      <w:pPr>
        <w:pStyle w:val="13"/>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2、公务接待费支出决算为16.74万元，全年共接待来访团组210个、来宾2000人次，主要是</w:t>
      </w:r>
      <w:r>
        <w:rPr>
          <w:rFonts w:hint="eastAsia" w:ascii="宋体" w:hAnsi="宋体" w:eastAsia="宋体" w:cs="宋体"/>
          <w:sz w:val="32"/>
          <w:szCs w:val="32"/>
        </w:rPr>
        <w:t>接待上级领导来我局指导、调研、检查工作和招商引资发生的接待支出</w:t>
      </w:r>
      <w:r>
        <w:rPr>
          <w:rFonts w:hint="eastAsia" w:asciiTheme="minorEastAsia" w:hAnsiTheme="minorEastAsia" w:eastAsiaTheme="minorEastAsia"/>
          <w:sz w:val="32"/>
          <w:szCs w:val="32"/>
        </w:rPr>
        <w:t>。</w:t>
      </w:r>
    </w:p>
    <w:p>
      <w:pPr>
        <w:ind w:firstLine="640" w:firstLineChars="200"/>
        <w:rPr>
          <w:rFonts w:cs="黑体" w:asciiTheme="minorEastAsia" w:hAnsiTheme="minorEastAsia"/>
          <w:color w:val="000000"/>
          <w:kern w:val="0"/>
          <w:sz w:val="32"/>
          <w:szCs w:val="32"/>
        </w:rPr>
      </w:pPr>
      <w:r>
        <w:rPr>
          <w:rFonts w:hint="eastAsia" w:asciiTheme="minorEastAsia" w:hAnsiTheme="minorEastAsia"/>
          <w:sz w:val="32"/>
          <w:szCs w:val="32"/>
        </w:rPr>
        <w:t>3、公务用车购置费及运行维护费支出决算为12万元，其中：公务用车购置费0万元，</w:t>
      </w:r>
      <w:r>
        <w:rPr>
          <w:rFonts w:hint="eastAsia" w:asciiTheme="minorEastAsia" w:hAnsiTheme="minorEastAsia"/>
          <w:sz w:val="32"/>
          <w:szCs w:val="32"/>
          <w:lang w:eastAsia="zh-CN"/>
        </w:rPr>
        <w:t>公务用车购置</w:t>
      </w:r>
      <w:r>
        <w:rPr>
          <w:rFonts w:hint="eastAsia" w:asciiTheme="minorEastAsia" w:hAnsiTheme="minorEastAsia"/>
          <w:sz w:val="32"/>
          <w:szCs w:val="32"/>
          <w:lang w:val="en-US" w:eastAsia="zh-CN"/>
        </w:rPr>
        <w:t>0辆，</w:t>
      </w:r>
      <w:r>
        <w:rPr>
          <w:rFonts w:hint="eastAsia" w:asciiTheme="minorEastAsia" w:hAnsiTheme="minorEastAsia"/>
          <w:sz w:val="32"/>
          <w:szCs w:val="32"/>
        </w:rPr>
        <w:t>公务用车运行维护费12万元，主要是</w:t>
      </w:r>
      <w:r>
        <w:rPr>
          <w:rFonts w:hint="eastAsia" w:ascii="宋体" w:hAnsi="宋体" w:eastAsia="宋体" w:cs="宋体"/>
          <w:color w:val="000000"/>
          <w:sz w:val="32"/>
          <w:szCs w:val="32"/>
        </w:rPr>
        <w:t>油料费、保险费、维修费</w:t>
      </w:r>
      <w:r>
        <w:rPr>
          <w:rFonts w:hint="eastAsia" w:asciiTheme="minorEastAsia" w:hAnsiTheme="minorEastAsia"/>
          <w:sz w:val="32"/>
          <w:szCs w:val="32"/>
        </w:rPr>
        <w:t>支出，截止2021年12月31日，我单位开支财政拨款的公务用车保有量为5辆。</w:t>
      </w:r>
    </w:p>
    <w:p>
      <w:pPr>
        <w:pStyle w:val="13"/>
        <w:rPr>
          <w:rFonts w:hAnsi="黑体"/>
          <w:b/>
          <w:sz w:val="32"/>
          <w:szCs w:val="32"/>
        </w:rPr>
      </w:pPr>
      <w:r>
        <w:rPr>
          <w:rFonts w:hint="eastAsia" w:hAnsi="黑体"/>
          <w:b/>
          <w:sz w:val="32"/>
          <w:szCs w:val="32"/>
        </w:rPr>
        <w:t>八、政府性基金预算收入支出决算情况</w:t>
      </w:r>
    </w:p>
    <w:p>
      <w:pPr>
        <w:pStyle w:val="13"/>
        <w:rPr>
          <w:rFonts w:asciiTheme="minorEastAsia" w:hAnsiTheme="minorEastAsia" w:eastAsiaTheme="minorEastAsia"/>
          <w:i/>
          <w:color w:val="FF0000"/>
          <w:sz w:val="32"/>
          <w:szCs w:val="32"/>
        </w:rPr>
      </w:pPr>
      <w:r>
        <w:rPr>
          <w:rFonts w:hint="eastAsia" w:asciiTheme="minorEastAsia" w:hAnsiTheme="minorEastAsia" w:eastAsiaTheme="minorEastAsia"/>
          <w:sz w:val="32"/>
          <w:szCs w:val="32"/>
        </w:rPr>
        <w:t xml:space="preserve">     2021年度政府性基金预算财政拨款收入1792.57元；年初结转和结余0万元；支出1792.57万元，其中基本支出1714.17万元，项目支出78.4万元；年末结转和结余0万元。具体情况如下：</w:t>
      </w:r>
    </w:p>
    <w:p>
      <w:pPr>
        <w:pStyle w:val="7"/>
        <w:widowControl/>
        <w:spacing w:beforeAutospacing="0" w:after="2" w:afterAutospacing="0"/>
        <w:ind w:firstLine="641"/>
        <w:rPr>
          <w:sz w:val="27"/>
          <w:szCs w:val="27"/>
        </w:rPr>
      </w:pPr>
      <w:r>
        <w:rPr>
          <w:rStyle w:val="10"/>
          <w:rFonts w:hint="eastAsia" w:ascii="宋体" w:hAnsi="宋体" w:eastAsia="宋体" w:cs="宋体"/>
          <w:color w:val="000000"/>
          <w:sz w:val="32"/>
          <w:szCs w:val="32"/>
        </w:rPr>
        <w:t>1、政府性基金财政拨款支出（类）城乡社区支出（室）国有土地使用权出让收入安排的支出（款）征收和拆迁补偿支出（项）</w:t>
      </w:r>
    </w:p>
    <w:p>
      <w:pPr>
        <w:pStyle w:val="7"/>
        <w:widowControl/>
        <w:spacing w:beforeAutospacing="0" w:after="2" w:afterAutospacing="0"/>
        <w:ind w:firstLine="641"/>
        <w:rPr>
          <w:sz w:val="27"/>
          <w:szCs w:val="27"/>
        </w:rPr>
      </w:pPr>
      <w:r>
        <w:rPr>
          <w:rFonts w:hint="eastAsia" w:ascii="宋体" w:hAnsi="宋体" w:eastAsia="宋体" w:cs="宋体"/>
          <w:color w:val="000000"/>
          <w:sz w:val="32"/>
          <w:szCs w:val="32"/>
        </w:rPr>
        <w:t>年初预算为0万元，支出决算为2.08万元，超出年初预算的100%。决算数大于年初预算数的主要原因是：年初预算列入农林水支出。</w:t>
      </w:r>
    </w:p>
    <w:p>
      <w:pPr>
        <w:pStyle w:val="7"/>
        <w:widowControl/>
        <w:spacing w:beforeAutospacing="0" w:after="2" w:afterAutospacing="0"/>
        <w:ind w:firstLine="641"/>
        <w:rPr>
          <w:sz w:val="27"/>
          <w:szCs w:val="27"/>
        </w:rPr>
      </w:pPr>
      <w:r>
        <w:rPr>
          <w:rStyle w:val="10"/>
          <w:rFonts w:hint="eastAsia" w:ascii="宋体" w:hAnsi="宋体" w:eastAsia="宋体" w:cs="宋体"/>
          <w:color w:val="000000"/>
          <w:sz w:val="32"/>
          <w:szCs w:val="32"/>
        </w:rPr>
        <w:t>2、政府性基金财政拨款支出（类）城乡社区支出（室）国有土地使用权出让收入安排的支出（款）土地开发支出（项）</w:t>
      </w:r>
    </w:p>
    <w:p>
      <w:pPr>
        <w:pStyle w:val="7"/>
        <w:widowControl/>
        <w:spacing w:beforeAutospacing="0" w:after="2" w:afterAutospacing="0"/>
        <w:ind w:firstLine="641"/>
        <w:rPr>
          <w:sz w:val="27"/>
          <w:szCs w:val="27"/>
        </w:rPr>
      </w:pPr>
      <w:r>
        <w:rPr>
          <w:rFonts w:hint="eastAsia" w:ascii="宋体" w:hAnsi="宋体" w:eastAsia="宋体" w:cs="宋体"/>
          <w:color w:val="000000"/>
          <w:sz w:val="32"/>
          <w:szCs w:val="32"/>
        </w:rPr>
        <w:t>年初预算为0万元，支出决算为1790.49万元，超出年初预算的100%。决算数大于年初预算数的主要原因是：年初预算列入农林水支出。</w:t>
      </w:r>
    </w:p>
    <w:p>
      <w:pPr>
        <w:pStyle w:val="13"/>
        <w:rPr>
          <w:rFonts w:hAnsi="黑体"/>
          <w:b/>
          <w:sz w:val="32"/>
          <w:szCs w:val="32"/>
        </w:rPr>
      </w:pPr>
      <w:r>
        <w:rPr>
          <w:rFonts w:hint="eastAsia" w:hAnsi="黑体"/>
          <w:b/>
          <w:sz w:val="32"/>
          <w:szCs w:val="32"/>
        </w:rPr>
        <w:t>九、机关运行经费支出说明</w:t>
      </w:r>
    </w:p>
    <w:p>
      <w:pPr>
        <w:pStyle w:val="13"/>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本部门2021年度机关运行经费支出90.98万元，比年初预算数减少0.51万元，降低0.55%。主要原因是：精简费用。</w:t>
      </w:r>
    </w:p>
    <w:p>
      <w:pPr>
        <w:pStyle w:val="13"/>
        <w:rPr>
          <w:rFonts w:hAnsi="黑体"/>
          <w:b/>
          <w:sz w:val="32"/>
          <w:szCs w:val="32"/>
        </w:rPr>
      </w:pPr>
      <w:r>
        <w:rPr>
          <w:rFonts w:hint="eastAsia" w:hAnsi="黑体"/>
          <w:b/>
          <w:sz w:val="32"/>
          <w:szCs w:val="32"/>
        </w:rPr>
        <w:t>十、一般性支出情况说明</w:t>
      </w:r>
    </w:p>
    <w:p>
      <w:pPr>
        <w:pStyle w:val="13"/>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2021年本部门开支会议3.57万元，用于召开</w:t>
      </w:r>
      <w:r>
        <w:rPr>
          <w:rFonts w:hint="eastAsia" w:ascii="宋体" w:hAnsi="宋体" w:eastAsia="宋体" w:cs="宋体"/>
          <w:sz w:val="32"/>
          <w:szCs w:val="32"/>
        </w:rPr>
        <w:t>召开森林防火会、安全生产会、月例会、工作经济会议</w:t>
      </w:r>
      <w:r>
        <w:rPr>
          <w:rFonts w:hint="eastAsia" w:asciiTheme="minorEastAsia" w:hAnsiTheme="minorEastAsia" w:eastAsiaTheme="minorEastAsia"/>
          <w:sz w:val="32"/>
          <w:szCs w:val="32"/>
        </w:rPr>
        <w:t>会议，人数400人，内容为</w:t>
      </w:r>
      <w:r>
        <w:rPr>
          <w:rFonts w:hint="eastAsia" w:ascii="宋体" w:hAnsi="宋体" w:eastAsia="宋体" w:cs="宋体"/>
          <w:sz w:val="32"/>
          <w:szCs w:val="32"/>
        </w:rPr>
        <w:t>森林防火宣传、巡护、安全生产落实、日常工作安排等</w:t>
      </w:r>
      <w:r>
        <w:rPr>
          <w:rFonts w:hint="eastAsia" w:asciiTheme="minorEastAsia" w:hAnsiTheme="minorEastAsia" w:eastAsiaTheme="minorEastAsia"/>
          <w:sz w:val="32"/>
          <w:szCs w:val="32"/>
        </w:rPr>
        <w:t>；开支培训费2.48万元，用于开展</w:t>
      </w:r>
      <w:r>
        <w:rPr>
          <w:rFonts w:hint="eastAsia" w:ascii="宋体" w:hAnsi="宋体" w:eastAsia="宋体" w:cs="宋体"/>
          <w:sz w:val="32"/>
          <w:szCs w:val="32"/>
        </w:rPr>
        <w:t>开展防火演练、专业技能、业务培训等</w:t>
      </w:r>
      <w:r>
        <w:rPr>
          <w:rFonts w:hint="eastAsia" w:asciiTheme="minorEastAsia" w:hAnsiTheme="minorEastAsia" w:eastAsiaTheme="minorEastAsia"/>
          <w:sz w:val="32"/>
          <w:szCs w:val="32"/>
        </w:rPr>
        <w:t>培训，人数310人，内容为</w:t>
      </w:r>
      <w:r>
        <w:rPr>
          <w:rFonts w:hint="eastAsia" w:ascii="宋体" w:hAnsi="宋体" w:eastAsia="宋体" w:cs="宋体"/>
          <w:sz w:val="32"/>
          <w:szCs w:val="32"/>
        </w:rPr>
        <w:t>防火演练、专业技能、工作业务等培训；没有举办节庆、晚会、论坛等活动开支；</w:t>
      </w:r>
    </w:p>
    <w:p>
      <w:pPr>
        <w:pStyle w:val="13"/>
        <w:rPr>
          <w:rFonts w:hAnsi="黑体"/>
          <w:b/>
          <w:sz w:val="32"/>
          <w:szCs w:val="32"/>
        </w:rPr>
      </w:pPr>
      <w:r>
        <w:rPr>
          <w:rFonts w:hint="eastAsia" w:hAnsi="黑体"/>
          <w:b/>
          <w:sz w:val="32"/>
          <w:szCs w:val="32"/>
        </w:rPr>
        <w:t>十一、政府采购支出说明</w:t>
      </w:r>
    </w:p>
    <w:p>
      <w:pPr>
        <w:pStyle w:val="13"/>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本部门2021年度政府采购支出总额0万元，其中：政府采购货物支出0 万元、政府采购工程支出0万元、政府采购服务支出0万元。授予中小企业合同金额0万元。</w:t>
      </w:r>
    </w:p>
    <w:p>
      <w:pPr>
        <w:pStyle w:val="13"/>
        <w:rPr>
          <w:rFonts w:hAnsi="黑体"/>
          <w:b/>
          <w:sz w:val="32"/>
          <w:szCs w:val="32"/>
        </w:rPr>
      </w:pPr>
      <w:r>
        <w:rPr>
          <w:rFonts w:hint="eastAsia" w:hAnsi="黑体"/>
          <w:b/>
          <w:sz w:val="32"/>
          <w:szCs w:val="32"/>
        </w:rPr>
        <w:t>十二、国有资产占用情况说明</w:t>
      </w:r>
    </w:p>
    <w:p>
      <w:pPr>
        <w:pStyle w:val="13"/>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截至2021年12月31日，</w:t>
      </w:r>
      <w:r>
        <w:rPr>
          <w:rFonts w:hint="eastAsia" w:asciiTheme="minorEastAsia" w:hAnsiTheme="minorEastAsia" w:eastAsiaTheme="minorEastAsia"/>
          <w:sz w:val="32"/>
          <w:szCs w:val="32"/>
          <w:lang w:eastAsia="zh-CN"/>
        </w:rPr>
        <w:t>本</w:t>
      </w:r>
      <w:r>
        <w:rPr>
          <w:rFonts w:hint="eastAsia" w:asciiTheme="minorEastAsia" w:hAnsiTheme="minorEastAsia" w:eastAsiaTheme="minorEastAsia"/>
          <w:sz w:val="32"/>
          <w:szCs w:val="32"/>
        </w:rPr>
        <w:t>单位共有车辆5辆，其中，主要领导干部用车2辆，机要通信用车0辆、应急保障用车0辆、执法执勤用车3辆、特种专业技术用车0辆、其他用车0辆；单位价值50万元以上通用设备0台（套）；单位价值100万元以上专用设备0台（套）。</w:t>
      </w:r>
    </w:p>
    <w:p>
      <w:pPr>
        <w:pStyle w:val="13"/>
        <w:rPr>
          <w:rFonts w:hAnsi="黑体"/>
          <w:b/>
          <w:sz w:val="32"/>
          <w:szCs w:val="32"/>
        </w:rPr>
      </w:pPr>
      <w:r>
        <w:rPr>
          <w:rFonts w:hint="eastAsia" w:hAnsi="黑体"/>
          <w:b/>
          <w:sz w:val="32"/>
          <w:szCs w:val="32"/>
        </w:rPr>
        <w:t>十三、2021年度预算绩效情况说明</w:t>
      </w:r>
    </w:p>
    <w:p>
      <w:pPr>
        <w:pStyle w:val="13"/>
        <w:jc w:val="center"/>
        <w:rPr>
          <w:rFonts w:ascii="宋体" w:hAnsi="宋体" w:eastAsia="宋体" w:cs="宋体"/>
          <w:sz w:val="32"/>
          <w:szCs w:val="32"/>
        </w:rPr>
      </w:pPr>
      <w:r>
        <w:rPr>
          <w:rFonts w:ascii="宋体" w:hAnsi="宋体" w:eastAsia="宋体" w:cs="宋体"/>
          <w:sz w:val="32"/>
          <w:szCs w:val="32"/>
        </w:rPr>
        <w:t>按照财政部门预算绩效管理工作部署，202年我单位推行部门整体和20万元以上项目绩效目标全覆盖，涉及一般公共预算拨款2</w:t>
      </w:r>
      <w:r>
        <w:rPr>
          <w:rFonts w:hint="eastAsia" w:ascii="宋体" w:hAnsi="宋体" w:eastAsia="宋体" w:cs="宋体"/>
          <w:sz w:val="32"/>
          <w:szCs w:val="32"/>
        </w:rPr>
        <w:t>663.96</w:t>
      </w:r>
      <w:r>
        <w:rPr>
          <w:rFonts w:ascii="宋体" w:hAnsi="宋体" w:eastAsia="宋体" w:cs="宋体"/>
          <w:sz w:val="32"/>
          <w:szCs w:val="32"/>
        </w:rPr>
        <w:t>万元。其</w:t>
      </w:r>
      <w:r>
        <w:rPr>
          <w:rFonts w:hint="eastAsia" w:ascii="宋体" w:hAnsi="宋体" w:eastAsia="宋体" w:cs="宋体"/>
          <w:sz w:val="32"/>
          <w:szCs w:val="32"/>
        </w:rPr>
        <w:t>中</w:t>
      </w:r>
    </w:p>
    <w:p>
      <w:pPr>
        <w:pStyle w:val="13"/>
        <w:jc w:val="both"/>
        <w:rPr>
          <w:sz w:val="72"/>
          <w:szCs w:val="72"/>
        </w:rPr>
      </w:pPr>
      <w:r>
        <w:rPr>
          <w:rFonts w:ascii="宋体" w:hAnsi="宋体" w:eastAsia="宋体" w:cs="宋体"/>
          <w:sz w:val="32"/>
          <w:szCs w:val="32"/>
        </w:rPr>
        <w:t>20万元以上项目绩效目标</w:t>
      </w:r>
      <w:r>
        <w:rPr>
          <w:rFonts w:hint="eastAsia" w:ascii="宋体" w:hAnsi="宋体" w:eastAsia="宋体" w:cs="宋体"/>
          <w:sz w:val="32"/>
          <w:szCs w:val="32"/>
        </w:rPr>
        <w:t>3</w:t>
      </w:r>
      <w:r>
        <w:rPr>
          <w:rFonts w:ascii="宋体" w:hAnsi="宋体" w:eastAsia="宋体" w:cs="宋体"/>
          <w:sz w:val="32"/>
          <w:szCs w:val="32"/>
        </w:rPr>
        <w:t>个，涉及一般公共预算拨款</w:t>
      </w:r>
      <w:r>
        <w:rPr>
          <w:rFonts w:hint="eastAsia" w:ascii="宋体" w:hAnsi="宋体" w:eastAsia="宋体" w:cs="宋体"/>
          <w:sz w:val="32"/>
          <w:szCs w:val="32"/>
        </w:rPr>
        <w:t>571.4</w:t>
      </w:r>
      <w:r>
        <w:rPr>
          <w:rFonts w:ascii="宋体" w:hAnsi="宋体" w:eastAsia="宋体" w:cs="宋体"/>
          <w:sz w:val="32"/>
          <w:szCs w:val="32"/>
        </w:rPr>
        <w:t>万元。</w:t>
      </w:r>
    </w:p>
    <w:p>
      <w:pPr>
        <w:pStyle w:val="13"/>
        <w:jc w:val="center"/>
        <w:rPr>
          <w:sz w:val="72"/>
          <w:szCs w:val="72"/>
        </w:rPr>
      </w:pPr>
    </w:p>
    <w:p>
      <w:pPr>
        <w:pStyle w:val="13"/>
        <w:jc w:val="center"/>
        <w:rPr>
          <w:sz w:val="72"/>
          <w:szCs w:val="72"/>
        </w:rPr>
      </w:pPr>
    </w:p>
    <w:p>
      <w:pPr>
        <w:pStyle w:val="13"/>
        <w:jc w:val="center"/>
        <w:rPr>
          <w:sz w:val="72"/>
          <w:szCs w:val="72"/>
        </w:rPr>
      </w:pPr>
    </w:p>
    <w:p>
      <w:pPr>
        <w:pStyle w:val="13"/>
        <w:jc w:val="center"/>
        <w:rPr>
          <w:sz w:val="72"/>
          <w:szCs w:val="72"/>
        </w:rPr>
      </w:pPr>
    </w:p>
    <w:p>
      <w:pPr>
        <w:pStyle w:val="13"/>
        <w:jc w:val="center"/>
        <w:rPr>
          <w:sz w:val="72"/>
          <w:szCs w:val="72"/>
        </w:rPr>
      </w:pPr>
    </w:p>
    <w:p>
      <w:pPr>
        <w:pStyle w:val="13"/>
        <w:jc w:val="center"/>
        <w:rPr>
          <w:sz w:val="72"/>
          <w:szCs w:val="72"/>
        </w:rPr>
      </w:pPr>
    </w:p>
    <w:p>
      <w:pPr>
        <w:pStyle w:val="13"/>
        <w:rPr>
          <w:sz w:val="72"/>
          <w:szCs w:val="72"/>
        </w:rPr>
      </w:pPr>
    </w:p>
    <w:p>
      <w:pPr>
        <w:pStyle w:val="13"/>
        <w:rPr>
          <w:sz w:val="72"/>
          <w:szCs w:val="72"/>
        </w:rPr>
      </w:pPr>
    </w:p>
    <w:p>
      <w:pPr>
        <w:pStyle w:val="13"/>
        <w:jc w:val="center"/>
        <w:rPr>
          <w:sz w:val="72"/>
          <w:szCs w:val="72"/>
        </w:rPr>
      </w:pPr>
    </w:p>
    <w:p>
      <w:pPr>
        <w:pStyle w:val="13"/>
        <w:jc w:val="center"/>
        <w:rPr>
          <w:sz w:val="72"/>
          <w:szCs w:val="72"/>
        </w:rPr>
      </w:pPr>
    </w:p>
    <w:p>
      <w:pPr>
        <w:pStyle w:val="13"/>
        <w:jc w:val="center"/>
        <w:rPr>
          <w:sz w:val="72"/>
          <w:szCs w:val="72"/>
        </w:rPr>
      </w:pPr>
    </w:p>
    <w:p>
      <w:pPr>
        <w:pStyle w:val="13"/>
        <w:jc w:val="center"/>
        <w:rPr>
          <w:sz w:val="72"/>
          <w:szCs w:val="72"/>
        </w:rPr>
      </w:pPr>
      <w:r>
        <w:rPr>
          <w:rFonts w:hint="eastAsia"/>
          <w:sz w:val="72"/>
          <w:szCs w:val="72"/>
        </w:rPr>
        <w:t>第四部分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名词解释</w:t>
      </w:r>
    </w:p>
    <w:p>
      <w:pPr>
        <w:widowControl/>
        <w:jc w:val="left"/>
        <w:rPr>
          <w:rFonts w:ascii="黑体" w:eastAsia="黑体" w:cs="黑体"/>
          <w:color w:val="000000"/>
          <w:kern w:val="0"/>
          <w:sz w:val="70"/>
          <w:szCs w:val="70"/>
        </w:rPr>
      </w:pPr>
    </w:p>
    <w:p>
      <w:pPr>
        <w:pStyle w:val="2"/>
        <w:ind w:firstLine="1400"/>
        <w:rPr>
          <w:rFonts w:ascii="黑体" w:eastAsia="黑体" w:cs="黑体"/>
          <w:color w:val="000000"/>
          <w:sz w:val="70"/>
          <w:szCs w:val="70"/>
        </w:rPr>
      </w:pPr>
    </w:p>
    <w:p>
      <w:pPr>
        <w:pStyle w:val="2"/>
        <w:ind w:firstLine="1400"/>
        <w:rPr>
          <w:rFonts w:ascii="黑体" w:eastAsia="黑体" w:cs="黑体"/>
          <w:color w:val="000000"/>
          <w:sz w:val="70"/>
          <w:szCs w:val="70"/>
        </w:rPr>
      </w:pPr>
    </w:p>
    <w:p>
      <w:pPr>
        <w:ind w:firstLine="640" w:firstLineChars="200"/>
        <w:jc w:val="left"/>
        <w:rPr>
          <w:rFonts w:cs="黑体" w:asciiTheme="minorEastAsia" w:hAnsiTheme="minorEastAsia"/>
          <w:color w:val="000000"/>
          <w:kern w:val="0"/>
          <w:sz w:val="32"/>
          <w:szCs w:val="32"/>
        </w:rPr>
      </w:pPr>
    </w:p>
    <w:p>
      <w:pPr>
        <w:pStyle w:val="13"/>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一、机关运行经费：是指各部门的公用经费，包括办公及印刷费、邮电费、差旅费、会议费、福利费、日常维修费、专用资料及一般设备购置费、办公用房水电费、办公用房取暖费、办公用房物业管理费、公务用车运行维护费以及其他费用。</w:t>
      </w:r>
    </w:p>
    <w:p>
      <w:pPr>
        <w:pStyle w:val="13"/>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二、“三公”经费：纳入省（市/县）财政预算管理的“三公“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住宿费、伙食费、培训费、公杂费等等支出。</w:t>
      </w:r>
    </w:p>
    <w:p>
      <w:pPr>
        <w:pStyle w:val="13"/>
        <w:jc w:val="center"/>
        <w:rPr>
          <w:sz w:val="72"/>
          <w:szCs w:val="72"/>
        </w:rPr>
      </w:pPr>
    </w:p>
    <w:p>
      <w:pPr>
        <w:pStyle w:val="13"/>
        <w:jc w:val="center"/>
        <w:rPr>
          <w:sz w:val="72"/>
          <w:szCs w:val="72"/>
        </w:rPr>
      </w:pPr>
    </w:p>
    <w:p>
      <w:pPr>
        <w:pStyle w:val="13"/>
        <w:jc w:val="center"/>
        <w:rPr>
          <w:sz w:val="72"/>
          <w:szCs w:val="72"/>
        </w:rPr>
      </w:pPr>
    </w:p>
    <w:p>
      <w:pPr>
        <w:pStyle w:val="13"/>
        <w:jc w:val="center"/>
        <w:rPr>
          <w:sz w:val="72"/>
          <w:szCs w:val="72"/>
        </w:rPr>
      </w:pPr>
    </w:p>
    <w:p>
      <w:pPr>
        <w:pStyle w:val="13"/>
        <w:jc w:val="center"/>
        <w:rPr>
          <w:sz w:val="72"/>
          <w:szCs w:val="72"/>
        </w:rPr>
      </w:pPr>
    </w:p>
    <w:p>
      <w:pPr>
        <w:pStyle w:val="13"/>
        <w:jc w:val="center"/>
        <w:rPr>
          <w:sz w:val="72"/>
          <w:szCs w:val="72"/>
        </w:rPr>
      </w:pPr>
    </w:p>
    <w:p>
      <w:pPr>
        <w:pStyle w:val="13"/>
        <w:jc w:val="center"/>
        <w:rPr>
          <w:sz w:val="72"/>
          <w:szCs w:val="72"/>
        </w:rPr>
      </w:pPr>
    </w:p>
    <w:p>
      <w:pPr>
        <w:pStyle w:val="13"/>
        <w:jc w:val="both"/>
        <w:rPr>
          <w:sz w:val="72"/>
          <w:szCs w:val="72"/>
        </w:rPr>
      </w:pPr>
    </w:p>
    <w:p>
      <w:pPr>
        <w:pStyle w:val="13"/>
        <w:jc w:val="both"/>
        <w:rPr>
          <w:sz w:val="72"/>
          <w:szCs w:val="72"/>
        </w:rPr>
      </w:pPr>
    </w:p>
    <w:p>
      <w:pPr>
        <w:pStyle w:val="13"/>
        <w:jc w:val="center"/>
        <w:rPr>
          <w:sz w:val="72"/>
          <w:szCs w:val="72"/>
        </w:rPr>
      </w:pPr>
      <w:r>
        <w:rPr>
          <w:rFonts w:hint="eastAsia"/>
          <w:sz w:val="72"/>
          <w:szCs w:val="72"/>
        </w:rPr>
        <w:t>第五部分</w:t>
      </w:r>
    </w:p>
    <w:p>
      <w:pPr>
        <w:jc w:val="center"/>
        <w:rPr>
          <w:rFonts w:ascii="黑体" w:eastAsia="黑体" w:cs="黑体"/>
          <w:color w:val="000000"/>
          <w:kern w:val="0"/>
          <w:sz w:val="70"/>
          <w:szCs w:val="70"/>
        </w:rPr>
      </w:pPr>
    </w:p>
    <w:p>
      <w:pPr>
        <w:jc w:val="center"/>
        <w:rPr>
          <w:rFonts w:hint="eastAsia" w:ascii="黑体" w:eastAsia="黑体" w:cs="黑体"/>
          <w:color w:val="000000"/>
          <w:kern w:val="0"/>
          <w:sz w:val="70"/>
          <w:szCs w:val="70"/>
        </w:rPr>
      </w:pPr>
      <w:r>
        <w:rPr>
          <w:rFonts w:hint="eastAsia" w:ascii="黑体" w:eastAsia="黑体" w:cs="黑体"/>
          <w:color w:val="000000"/>
          <w:kern w:val="0"/>
          <w:sz w:val="70"/>
          <w:szCs w:val="70"/>
        </w:rPr>
        <w:t>附件</w:t>
      </w:r>
    </w:p>
    <w:p>
      <w:pPr>
        <w:pStyle w:val="2"/>
      </w:pPr>
    </w:p>
    <w:p>
      <w:pPr>
        <w:jc w:val="center"/>
        <w:rPr>
          <w:rFonts w:ascii="黑体" w:eastAsia="黑体" w:cs="黑体"/>
          <w:color w:val="000000"/>
          <w:kern w:val="0"/>
          <w:sz w:val="70"/>
          <w:szCs w:val="70"/>
        </w:rPr>
      </w:pPr>
    </w:p>
    <w:p>
      <w:pPr>
        <w:adjustRightInd w:val="0"/>
        <w:spacing w:line="600" w:lineRule="exact"/>
        <w:jc w:val="center"/>
        <w:rPr>
          <w:rFonts w:ascii="宋体" w:hAnsi="宋体" w:eastAsia="宋体" w:cs="宋体"/>
          <w:b/>
          <w:bCs/>
          <w:sz w:val="36"/>
          <w:szCs w:val="36"/>
        </w:rPr>
      </w:pPr>
      <w:r>
        <w:rPr>
          <w:rFonts w:hint="eastAsia" w:ascii="宋体" w:hAnsi="宋体" w:eastAsia="宋体" w:cs="宋体"/>
          <w:b/>
          <w:bCs/>
          <w:sz w:val="36"/>
          <w:szCs w:val="36"/>
        </w:rPr>
        <w:t>2021年度湖南月岩国家森林公园管理局整体支出绩效评价报告</w:t>
      </w: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_GB2312">
    <w:altName w:val="Segoe Print"/>
    <w:panose1 w:val="00000000000000000000"/>
    <w:charset w:val="00"/>
    <w:family w:val="auto"/>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方正小标宋_GBK">
    <w:altName w:val="微软雅黑"/>
    <w:panose1 w:val="02000000000000000000"/>
    <w:charset w:val="86"/>
    <w:family w:val="script"/>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E3C6149"/>
    <w:multiLevelType w:val="singleLevel"/>
    <w:tmpl w:val="9E3C6149"/>
    <w:lvl w:ilvl="0" w:tentative="0">
      <w:start w:val="2"/>
      <w:numFmt w:val="chineseCounting"/>
      <w:suff w:val="nothing"/>
      <w:lvlText w:val="（%1）"/>
      <w:lvlJc w:val="left"/>
      <w:rPr>
        <w:rFonts w:hint="eastAsia"/>
      </w:rPr>
    </w:lvl>
  </w:abstractNum>
  <w:abstractNum w:abstractNumId="1">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TkwYTE0OTZiZTM0OGFjZDk3MmU1ZTI2YzAyZTQyN2UifQ=="/>
  </w:docVars>
  <w:rsids>
    <w:rsidRoot w:val="004506F9"/>
    <w:rsid w:val="0002229B"/>
    <w:rsid w:val="000273BD"/>
    <w:rsid w:val="000415B7"/>
    <w:rsid w:val="00041E3F"/>
    <w:rsid w:val="00055DAA"/>
    <w:rsid w:val="00061F7B"/>
    <w:rsid w:val="000658A3"/>
    <w:rsid w:val="00074155"/>
    <w:rsid w:val="000873EF"/>
    <w:rsid w:val="000A3F69"/>
    <w:rsid w:val="00103957"/>
    <w:rsid w:val="00124A1F"/>
    <w:rsid w:val="00152C6D"/>
    <w:rsid w:val="00162D39"/>
    <w:rsid w:val="001678BD"/>
    <w:rsid w:val="00182373"/>
    <w:rsid w:val="001A67DB"/>
    <w:rsid w:val="001C3C29"/>
    <w:rsid w:val="001D51E5"/>
    <w:rsid w:val="001E080D"/>
    <w:rsid w:val="001E53D0"/>
    <w:rsid w:val="001F0C3B"/>
    <w:rsid w:val="00202C14"/>
    <w:rsid w:val="00202C82"/>
    <w:rsid w:val="00214427"/>
    <w:rsid w:val="00226CB7"/>
    <w:rsid w:val="00264552"/>
    <w:rsid w:val="00264EF9"/>
    <w:rsid w:val="00265724"/>
    <w:rsid w:val="0027426B"/>
    <w:rsid w:val="002E0A30"/>
    <w:rsid w:val="003130C4"/>
    <w:rsid w:val="00316C4B"/>
    <w:rsid w:val="0032192B"/>
    <w:rsid w:val="003479BD"/>
    <w:rsid w:val="0037197D"/>
    <w:rsid w:val="003768D5"/>
    <w:rsid w:val="003C4197"/>
    <w:rsid w:val="003C47E6"/>
    <w:rsid w:val="003C4FC2"/>
    <w:rsid w:val="003E2331"/>
    <w:rsid w:val="00416E61"/>
    <w:rsid w:val="0042790C"/>
    <w:rsid w:val="004506F9"/>
    <w:rsid w:val="004717A2"/>
    <w:rsid w:val="00473DF3"/>
    <w:rsid w:val="00487911"/>
    <w:rsid w:val="00491741"/>
    <w:rsid w:val="004B0CEE"/>
    <w:rsid w:val="00500E5F"/>
    <w:rsid w:val="005122EF"/>
    <w:rsid w:val="0051441A"/>
    <w:rsid w:val="00517C33"/>
    <w:rsid w:val="00517D5F"/>
    <w:rsid w:val="00521AF2"/>
    <w:rsid w:val="00523644"/>
    <w:rsid w:val="0054069E"/>
    <w:rsid w:val="00544866"/>
    <w:rsid w:val="005767CC"/>
    <w:rsid w:val="00590D9F"/>
    <w:rsid w:val="00595D26"/>
    <w:rsid w:val="005A74E6"/>
    <w:rsid w:val="005B404E"/>
    <w:rsid w:val="005D2628"/>
    <w:rsid w:val="005D4D55"/>
    <w:rsid w:val="005E2CFB"/>
    <w:rsid w:val="005F2103"/>
    <w:rsid w:val="005F3D1C"/>
    <w:rsid w:val="0062378F"/>
    <w:rsid w:val="00641842"/>
    <w:rsid w:val="00651EEC"/>
    <w:rsid w:val="00686673"/>
    <w:rsid w:val="00691E8C"/>
    <w:rsid w:val="006A22C4"/>
    <w:rsid w:val="006A348B"/>
    <w:rsid w:val="006A351B"/>
    <w:rsid w:val="006B0422"/>
    <w:rsid w:val="006C1B53"/>
    <w:rsid w:val="006D7730"/>
    <w:rsid w:val="006E5284"/>
    <w:rsid w:val="006F3EB5"/>
    <w:rsid w:val="00702E34"/>
    <w:rsid w:val="00704395"/>
    <w:rsid w:val="00710FE7"/>
    <w:rsid w:val="00717621"/>
    <w:rsid w:val="00720FF1"/>
    <w:rsid w:val="00727A53"/>
    <w:rsid w:val="00787B42"/>
    <w:rsid w:val="007C4539"/>
    <w:rsid w:val="007F3657"/>
    <w:rsid w:val="00812ED5"/>
    <w:rsid w:val="008277D9"/>
    <w:rsid w:val="0084478C"/>
    <w:rsid w:val="0086638C"/>
    <w:rsid w:val="008A3E8D"/>
    <w:rsid w:val="009237C4"/>
    <w:rsid w:val="00944C48"/>
    <w:rsid w:val="00950252"/>
    <w:rsid w:val="00967F5D"/>
    <w:rsid w:val="009A0F95"/>
    <w:rsid w:val="009B3ADF"/>
    <w:rsid w:val="009C3B52"/>
    <w:rsid w:val="009E6817"/>
    <w:rsid w:val="009E6E9A"/>
    <w:rsid w:val="00A01D2B"/>
    <w:rsid w:val="00A42218"/>
    <w:rsid w:val="00A70249"/>
    <w:rsid w:val="00A70B02"/>
    <w:rsid w:val="00A71D9F"/>
    <w:rsid w:val="00A92E9F"/>
    <w:rsid w:val="00B33BEA"/>
    <w:rsid w:val="00B57C9F"/>
    <w:rsid w:val="00B63572"/>
    <w:rsid w:val="00B845B3"/>
    <w:rsid w:val="00B85D8B"/>
    <w:rsid w:val="00BB4A40"/>
    <w:rsid w:val="00BD6C3E"/>
    <w:rsid w:val="00BE3674"/>
    <w:rsid w:val="00C10681"/>
    <w:rsid w:val="00C3049A"/>
    <w:rsid w:val="00C31B1E"/>
    <w:rsid w:val="00C77645"/>
    <w:rsid w:val="00C97A61"/>
    <w:rsid w:val="00CE04C3"/>
    <w:rsid w:val="00CE76A0"/>
    <w:rsid w:val="00D148C6"/>
    <w:rsid w:val="00D17A8A"/>
    <w:rsid w:val="00D415BA"/>
    <w:rsid w:val="00D63780"/>
    <w:rsid w:val="00D644EE"/>
    <w:rsid w:val="00D75489"/>
    <w:rsid w:val="00DD06FF"/>
    <w:rsid w:val="00DD5FE9"/>
    <w:rsid w:val="00E00C7A"/>
    <w:rsid w:val="00E209CF"/>
    <w:rsid w:val="00E37D6C"/>
    <w:rsid w:val="00E55B68"/>
    <w:rsid w:val="00E67BE6"/>
    <w:rsid w:val="00E8683C"/>
    <w:rsid w:val="00EA2B72"/>
    <w:rsid w:val="00F74360"/>
    <w:rsid w:val="00FB462F"/>
    <w:rsid w:val="00FE16FA"/>
    <w:rsid w:val="00FE328A"/>
    <w:rsid w:val="00FE6269"/>
    <w:rsid w:val="00FF5CD6"/>
    <w:rsid w:val="04CB6831"/>
    <w:rsid w:val="04D62921"/>
    <w:rsid w:val="09B6063D"/>
    <w:rsid w:val="19B34DB0"/>
    <w:rsid w:val="1B6D438A"/>
    <w:rsid w:val="225F806F"/>
    <w:rsid w:val="2A434F93"/>
    <w:rsid w:val="2DC12474"/>
    <w:rsid w:val="2F5E1232"/>
    <w:rsid w:val="36850489"/>
    <w:rsid w:val="39602377"/>
    <w:rsid w:val="46C2478C"/>
    <w:rsid w:val="499424F2"/>
    <w:rsid w:val="49C9543F"/>
    <w:rsid w:val="59987F3E"/>
    <w:rsid w:val="6115265A"/>
    <w:rsid w:val="68127984"/>
    <w:rsid w:val="6A5335E3"/>
    <w:rsid w:val="6EFF74AE"/>
    <w:rsid w:val="7D5CD471"/>
    <w:rsid w:val="7F3B289A"/>
    <w:rsid w:val="9DBB3FB4"/>
    <w:rsid w:val="BF77586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99"/>
    <w:pPr>
      <w:ind w:firstLine="420" w:firstLineChars="200"/>
    </w:pPr>
  </w:style>
  <w:style w:type="paragraph" w:styleId="3">
    <w:name w:val="Body Text Indent"/>
    <w:basedOn w:val="1"/>
    <w:qFormat/>
    <w:uiPriority w:val="99"/>
    <w:pPr>
      <w:adjustRightInd w:val="0"/>
      <w:snapToGrid w:val="0"/>
      <w:spacing w:line="660" w:lineRule="exact"/>
      <w:ind w:firstLine="645"/>
    </w:pPr>
    <w:rPr>
      <w:rFonts w:ascii="??_GB2312" w:eastAsia="Times New Roman"/>
      <w:kern w:val="0"/>
      <w:sz w:val="32"/>
    </w:rPr>
  </w:style>
  <w:style w:type="paragraph" w:styleId="4">
    <w:name w:val="Balloon Text"/>
    <w:basedOn w:val="1"/>
    <w:link w:val="15"/>
    <w:semiHidden/>
    <w:unhideWhenUsed/>
    <w:qFormat/>
    <w:uiPriority w:val="99"/>
    <w:rPr>
      <w:sz w:val="18"/>
      <w:szCs w:val="18"/>
    </w:r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Autospacing="1" w:afterAutospacing="1"/>
      <w:jc w:val="left"/>
    </w:pPr>
    <w:rPr>
      <w:rFonts w:cs="Times New Roman"/>
      <w:kern w:val="0"/>
      <w:sz w:val="24"/>
    </w:rPr>
  </w:style>
  <w:style w:type="character" w:styleId="10">
    <w:name w:val="Strong"/>
    <w:basedOn w:val="9"/>
    <w:qFormat/>
    <w:uiPriority w:val="0"/>
    <w:rPr>
      <w:b/>
    </w:rPr>
  </w:style>
  <w:style w:type="character" w:customStyle="1" w:styleId="11">
    <w:name w:val="页眉 Char"/>
    <w:basedOn w:val="9"/>
    <w:link w:val="6"/>
    <w:qFormat/>
    <w:uiPriority w:val="99"/>
    <w:rPr>
      <w:sz w:val="18"/>
      <w:szCs w:val="18"/>
    </w:rPr>
  </w:style>
  <w:style w:type="character" w:customStyle="1" w:styleId="12">
    <w:name w:val="页脚 Char"/>
    <w:basedOn w:val="9"/>
    <w:link w:val="5"/>
    <w:qFormat/>
    <w:uiPriority w:val="99"/>
    <w:rPr>
      <w:sz w:val="18"/>
      <w:szCs w:val="18"/>
    </w:rPr>
  </w:style>
  <w:style w:type="paragraph" w:customStyle="1" w:styleId="13">
    <w:name w:val="Default"/>
    <w:qFormat/>
    <w:uiPriority w:val="0"/>
    <w:pPr>
      <w:widowControl w:val="0"/>
      <w:autoSpaceDE w:val="0"/>
      <w:autoSpaceDN w:val="0"/>
      <w:adjustRightInd w:val="0"/>
    </w:pPr>
    <w:rPr>
      <w:rFonts w:ascii="黑体" w:eastAsia="黑体" w:cs="黑体" w:hAnsiTheme="minorHAnsi"/>
      <w:color w:val="000000"/>
      <w:sz w:val="24"/>
      <w:szCs w:val="24"/>
      <w:lang w:val="en-US" w:eastAsia="zh-CN" w:bidi="ar-SA"/>
    </w:rPr>
  </w:style>
  <w:style w:type="paragraph" w:styleId="14">
    <w:name w:val="List Paragraph"/>
    <w:basedOn w:val="1"/>
    <w:qFormat/>
    <w:uiPriority w:val="34"/>
    <w:pPr>
      <w:ind w:firstLine="420" w:firstLineChars="200"/>
    </w:pPr>
  </w:style>
  <w:style w:type="character" w:customStyle="1" w:styleId="15">
    <w:name w:val="批注框文本 Char"/>
    <w:basedOn w:val="9"/>
    <w:link w:val="4"/>
    <w:semiHidden/>
    <w:qFormat/>
    <w:uiPriority w:val="99"/>
    <w:rPr>
      <w:sz w:val="18"/>
      <w:szCs w:val="18"/>
    </w:rPr>
  </w:style>
  <w:style w:type="paragraph" w:styleId="16">
    <w:name w:val="No Spacing"/>
    <w:qFormat/>
    <w:uiPriority w:val="1"/>
    <w:pPr>
      <w:widowControl w:val="0"/>
      <w:jc w:val="both"/>
    </w:pPr>
    <w:rPr>
      <w:rFonts w:ascii="Calibri" w:hAnsi="Calibri" w:eastAsia="微软雅黑"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28</Pages>
  <Words>7907</Words>
  <Characters>10199</Characters>
  <Lines>103</Lines>
  <Paragraphs>29</Paragraphs>
  <TotalTime>0</TotalTime>
  <ScaleCrop>false</ScaleCrop>
  <LinksUpToDate>false</LinksUpToDate>
  <CharactersWithSpaces>10863</CharactersWithSpaces>
  <Application>WPS Office_11.1.0.12763_F1E327BC-269C-435d-A152-05C5408002CA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2023-09-07T23:07:00Z</dcterms:created>
  <dc:creator>李航 null</dc:creator>
  <cp:lastModifiedBy>Administrator</cp:lastModifiedBy>
  <cp:lastPrinted>2023-09-07T19:04:00Z</cp:lastPrinted>
  <dcterms:modified xsi:type="dcterms:W3CDTF">2023-09-28T04:51:45Z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31A0DB8E63FE40EB854E887D4FCDC616</vt:lpwstr>
  </property>
</Properties>
</file>