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Calibri" w:hAnsi="Calibri" w:eastAsia="方正小标宋_GBK" w:cs="Times New Roman"/>
          <w:sz w:val="48"/>
          <w:szCs w:val="48"/>
        </w:rPr>
      </w:pPr>
      <w:bookmarkStart w:id="0" w:name="_GoBack"/>
      <w:bookmarkEnd w:id="0"/>
      <w:r>
        <w:rPr>
          <w:rFonts w:hint="eastAsia" w:eastAsia="方正小标宋_GBK" w:cs="Times New Roman"/>
          <w:sz w:val="48"/>
          <w:szCs w:val="48"/>
          <w:lang w:val="en-US" w:eastAsia="zh-CN"/>
        </w:rPr>
        <w:t>2021</w:t>
      </w:r>
      <w:r>
        <w:rPr>
          <w:rFonts w:ascii="Calibri" w:hAnsi="Calibri" w:eastAsia="方正小标宋_GBK" w:cs="Times New Roman"/>
          <w:sz w:val="48"/>
          <w:szCs w:val="48"/>
        </w:rPr>
        <w:t>年度</w:t>
      </w:r>
      <w:r>
        <w:rPr>
          <w:rFonts w:hint="eastAsia" w:eastAsia="方正小标宋_GBK" w:cs="Times New Roman"/>
          <w:sz w:val="48"/>
          <w:szCs w:val="48"/>
          <w:lang w:val="en-US" w:eastAsia="zh-CN"/>
        </w:rPr>
        <w:t>道县濂溪街道办事处</w:t>
      </w:r>
      <w:r>
        <w:rPr>
          <w:rFonts w:ascii="Calibri" w:hAnsi="Calibri" w:eastAsia="方正小标宋_GBK" w:cs="Times New Roman"/>
          <w:sz w:val="48"/>
          <w:szCs w:val="48"/>
        </w:rPr>
        <w:t>整体支出</w:t>
      </w:r>
    </w:p>
    <w:p>
      <w:pPr>
        <w:jc w:val="center"/>
        <w:rPr>
          <w:rFonts w:ascii="Calibri" w:hAnsi="Calibri" w:eastAsia="方正小标宋_GBK" w:cs="Times New Roman"/>
          <w:sz w:val="48"/>
          <w:szCs w:val="48"/>
        </w:rPr>
      </w:pPr>
      <w:r>
        <w:rPr>
          <w:rFonts w:ascii="Calibri" w:hAnsi="Calibri" w:eastAsia="方正小标宋_GBK" w:cs="Times New Roman"/>
          <w:sz w:val="48"/>
          <w:szCs w:val="48"/>
        </w:rPr>
        <w:t>绩效自评报告</w:t>
      </w:r>
    </w:p>
    <w:p>
      <w:pPr>
        <w:jc w:val="center"/>
        <w:rPr>
          <w:rFonts w:ascii="Calibri" w:hAnsi="Calibri" w:eastAsia="楷体_GB2312" w:cs="Times New Roman"/>
          <w:b/>
          <w:sz w:val="32"/>
          <w:szCs w:val="32"/>
        </w:rPr>
      </w:pPr>
    </w:p>
    <w:p>
      <w:pPr>
        <w:jc w:val="center"/>
        <w:rPr>
          <w:rFonts w:ascii="Calibri" w:hAnsi="Calibri" w:eastAsia="黑体" w:cs="Times New Roman"/>
          <w:sz w:val="32"/>
          <w:szCs w:val="32"/>
        </w:rPr>
      </w:pPr>
    </w:p>
    <w:p>
      <w:pPr>
        <w:jc w:val="center"/>
        <w:rPr>
          <w:rFonts w:ascii="Calibri" w:hAnsi="Calibri" w:eastAsia="黑体" w:cs="Times New Roman"/>
          <w:sz w:val="32"/>
          <w:szCs w:val="32"/>
        </w:rPr>
      </w:pPr>
    </w:p>
    <w:p>
      <w:pPr>
        <w:jc w:val="center"/>
        <w:rPr>
          <w:rFonts w:ascii="Calibri" w:hAnsi="Calibri" w:eastAsia="黑体" w:cs="Times New Roman"/>
          <w:sz w:val="32"/>
          <w:szCs w:val="32"/>
        </w:rPr>
      </w:pPr>
    </w:p>
    <w:p>
      <w:pPr>
        <w:jc w:val="center"/>
        <w:rPr>
          <w:rFonts w:ascii="Calibri" w:hAnsi="Calibri" w:eastAsia="黑体" w:cs="Times New Roman"/>
          <w:sz w:val="32"/>
          <w:szCs w:val="32"/>
        </w:rPr>
      </w:pPr>
    </w:p>
    <w:p>
      <w:pPr>
        <w:jc w:val="center"/>
        <w:rPr>
          <w:rFonts w:ascii="Calibri" w:hAnsi="Calibri" w:eastAsia="黑体" w:cs="Times New Roman"/>
          <w:sz w:val="32"/>
          <w:szCs w:val="32"/>
        </w:rPr>
      </w:pPr>
    </w:p>
    <w:p>
      <w:pPr>
        <w:jc w:val="center"/>
        <w:rPr>
          <w:rFonts w:ascii="Calibri" w:hAnsi="Calibri" w:eastAsia="黑体" w:cs="Times New Roman"/>
          <w:sz w:val="32"/>
          <w:szCs w:val="32"/>
        </w:rPr>
      </w:pPr>
    </w:p>
    <w:p>
      <w:pPr>
        <w:jc w:val="center"/>
        <w:rPr>
          <w:rFonts w:ascii="Calibri" w:hAnsi="Calibri" w:eastAsia="黑体" w:cs="Times New Roman"/>
          <w:sz w:val="32"/>
          <w:szCs w:val="32"/>
        </w:rPr>
      </w:pPr>
    </w:p>
    <w:p>
      <w:pPr>
        <w:ind w:firstLine="880" w:firstLineChars="200"/>
        <w:jc w:val="center"/>
        <w:rPr>
          <w:rFonts w:ascii="Calibri" w:hAnsi="Calibri" w:eastAsia="黑体" w:cs="Times New Roman"/>
          <w:sz w:val="44"/>
          <w:szCs w:val="44"/>
        </w:rPr>
      </w:pPr>
    </w:p>
    <w:p>
      <w:pPr>
        <w:ind w:firstLine="880" w:firstLineChars="200"/>
        <w:jc w:val="center"/>
        <w:rPr>
          <w:rFonts w:ascii="Calibri" w:hAnsi="Calibri" w:eastAsia="黑体" w:cs="Times New Roman"/>
          <w:sz w:val="44"/>
          <w:szCs w:val="44"/>
        </w:rPr>
      </w:pPr>
    </w:p>
    <w:p>
      <w:pPr>
        <w:ind w:firstLine="880" w:firstLineChars="200"/>
        <w:jc w:val="center"/>
        <w:rPr>
          <w:rFonts w:ascii="Calibri" w:hAnsi="Calibri" w:eastAsia="黑体" w:cs="Times New Roman"/>
          <w:sz w:val="44"/>
          <w:szCs w:val="44"/>
        </w:rPr>
      </w:pPr>
    </w:p>
    <w:p>
      <w:pPr>
        <w:ind w:firstLine="720" w:firstLineChars="200"/>
        <w:jc w:val="center"/>
        <w:rPr>
          <w:rFonts w:hint="default" w:ascii="Calibri" w:hAnsi="Calibri" w:eastAsia="黑体" w:cs="Times New Roman"/>
          <w:sz w:val="36"/>
          <w:szCs w:val="36"/>
          <w:lang w:val="en-US" w:eastAsia="zh-CN"/>
        </w:rPr>
      </w:pPr>
      <w:r>
        <w:rPr>
          <w:rFonts w:ascii="Calibri" w:hAnsi="Calibri" w:eastAsia="黑体" w:cs="Times New Roman"/>
          <w:sz w:val="36"/>
          <w:szCs w:val="36"/>
        </w:rPr>
        <w:t>单位名称（盖章）：</w:t>
      </w:r>
      <w:r>
        <w:rPr>
          <w:rFonts w:hint="eastAsia" w:eastAsia="黑体" w:cs="Times New Roman"/>
          <w:sz w:val="36"/>
          <w:szCs w:val="36"/>
          <w:lang w:val="en-US" w:eastAsia="zh-CN"/>
        </w:rPr>
        <w:t>道县濂溪街道办事处</w:t>
      </w:r>
    </w:p>
    <w:p>
      <w:pPr>
        <w:jc w:val="center"/>
        <w:rPr>
          <w:rFonts w:ascii="Calibri" w:hAnsi="Calibri" w:eastAsia="黑体" w:cs="Times New Roman"/>
          <w:sz w:val="36"/>
          <w:szCs w:val="36"/>
        </w:rPr>
      </w:pPr>
    </w:p>
    <w:p>
      <w:pPr>
        <w:jc w:val="center"/>
        <w:rPr>
          <w:rFonts w:ascii="Calibri" w:hAnsi="Calibri" w:eastAsia="黑体" w:cs="Times New Roman"/>
          <w:sz w:val="32"/>
          <w:szCs w:val="32"/>
        </w:rPr>
      </w:pPr>
    </w:p>
    <w:p>
      <w:pPr>
        <w:jc w:val="center"/>
        <w:rPr>
          <w:rFonts w:ascii="Calibri" w:hAnsi="Calibri" w:eastAsia="黑体" w:cs="Times New Roman"/>
          <w:sz w:val="32"/>
          <w:szCs w:val="32"/>
        </w:rPr>
      </w:pPr>
    </w:p>
    <w:p>
      <w:pPr>
        <w:jc w:val="center"/>
        <w:rPr>
          <w:rFonts w:ascii="Calibri" w:hAnsi="Calibri" w:eastAsia="黑体" w:cs="Times New Roman"/>
          <w:sz w:val="32"/>
          <w:szCs w:val="32"/>
        </w:rPr>
      </w:pPr>
    </w:p>
    <w:p>
      <w:pPr>
        <w:jc w:val="center"/>
        <w:rPr>
          <w:rFonts w:ascii="Calibri" w:hAnsi="Calibri" w:eastAsia="黑体" w:cs="Times New Roman"/>
          <w:sz w:val="32"/>
          <w:szCs w:val="32"/>
        </w:rPr>
      </w:pPr>
    </w:p>
    <w:p>
      <w:pPr>
        <w:jc w:val="center"/>
        <w:rPr>
          <w:rFonts w:ascii="Calibri" w:hAnsi="Calibri" w:eastAsia="黑体" w:cs="Times New Roman"/>
          <w:sz w:val="32"/>
          <w:szCs w:val="32"/>
        </w:rPr>
      </w:pPr>
    </w:p>
    <w:p>
      <w:pPr>
        <w:jc w:val="center"/>
        <w:rPr>
          <w:rFonts w:ascii="Calibri" w:hAnsi="Calibri" w:eastAsia="黑体" w:cs="Times New Roman"/>
          <w:sz w:val="32"/>
          <w:szCs w:val="32"/>
        </w:rPr>
      </w:pPr>
    </w:p>
    <w:p>
      <w:pPr>
        <w:jc w:val="both"/>
        <w:rPr>
          <w:rFonts w:ascii="Calibri" w:hAnsi="Calibri" w:eastAsia="仿宋_GB2312" w:cs="Times New Roman"/>
          <w:sz w:val="32"/>
          <w:szCs w:val="32"/>
        </w:rPr>
      </w:pPr>
    </w:p>
    <w:p>
      <w:pPr>
        <w:spacing w:line="600" w:lineRule="exact"/>
        <w:rPr>
          <w:rFonts w:ascii="Calibri" w:hAnsi="Calibri" w:eastAsia="黑体" w:cs="Times New Roman"/>
          <w:sz w:val="32"/>
          <w:szCs w:val="32"/>
        </w:rPr>
      </w:pPr>
      <w:r>
        <w:rPr>
          <w:rFonts w:ascii="Calibri" w:hAnsi="Calibri" w:eastAsia="黑体" w:cs="Times New Roman"/>
          <w:sz w:val="32"/>
          <w:szCs w:val="32"/>
        </w:rPr>
        <w:t>一、基本情况</w:t>
      </w:r>
    </w:p>
    <w:p>
      <w:pPr>
        <w:spacing w:line="600" w:lineRule="exact"/>
        <w:ind w:firstLine="643" w:firstLineChars="200"/>
        <w:rPr>
          <w:rFonts w:ascii="Calibri" w:hAnsi="Calibri" w:eastAsia="楷体_GB2312" w:cs="Times New Roman"/>
          <w:b/>
          <w:sz w:val="32"/>
          <w:szCs w:val="32"/>
        </w:rPr>
      </w:pPr>
      <w:r>
        <w:rPr>
          <w:rFonts w:ascii="Calibri" w:hAnsi="Calibri" w:eastAsia="楷体_GB2312" w:cs="Times New Roman"/>
          <w:b/>
          <w:sz w:val="32"/>
          <w:szCs w:val="32"/>
        </w:rPr>
        <w:t>（一）部门（单位）基本情况</w:t>
      </w:r>
    </w:p>
    <w:p>
      <w:pPr>
        <w:widowControl/>
        <w:spacing w:line="520" w:lineRule="exact"/>
        <w:rPr>
          <w:rFonts w:hint="eastAsia" w:ascii="仿宋" w:hAnsi="仿宋" w:eastAsia="仿宋"/>
          <w:sz w:val="32"/>
          <w:szCs w:val="20"/>
        </w:rPr>
      </w:pPr>
      <w:r>
        <w:rPr>
          <w:rFonts w:hint="eastAsia" w:ascii="仿宋" w:hAnsi="仿宋" w:eastAsia="仿宋"/>
          <w:sz w:val="32"/>
          <w:szCs w:val="20"/>
        </w:rPr>
        <w:t>1．主要职能。</w:t>
      </w:r>
    </w:p>
    <w:p>
      <w:pPr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根据《中华人民共和国宪法》规定，本单位主要工作职责是：执行本级人民代表大会的决议和上级国家行政机关的决定和命令，管理本行政区域内的行政工作。</w:t>
      </w:r>
    </w:p>
    <w:p>
      <w:pPr>
        <w:widowControl/>
        <w:rPr>
          <w:rFonts w:hint="eastAsia" w:ascii="仿宋" w:hAnsi="仿宋" w:eastAsia="仿宋"/>
          <w:sz w:val="32"/>
          <w:szCs w:val="20"/>
          <w:lang w:eastAsia="zh-CN"/>
        </w:rPr>
      </w:pPr>
      <w:r>
        <w:rPr>
          <w:rFonts w:hint="eastAsia" w:ascii="仿宋" w:hAnsi="仿宋" w:eastAsia="仿宋"/>
          <w:sz w:val="32"/>
          <w:szCs w:val="20"/>
        </w:rPr>
        <w:t>2．机构情况</w:t>
      </w:r>
      <w:r>
        <w:rPr>
          <w:rFonts w:hint="eastAsia" w:ascii="仿宋" w:hAnsi="仿宋" w:eastAsia="仿宋"/>
          <w:sz w:val="32"/>
          <w:szCs w:val="20"/>
          <w:lang w:eastAsia="zh-CN"/>
        </w:rPr>
        <w:t>。</w:t>
      </w:r>
    </w:p>
    <w:p>
      <w:pPr>
        <w:keepNext w:val="0"/>
        <w:keepLines w:val="0"/>
        <w:widowControl/>
        <w:suppressLineNumbers w:val="0"/>
        <w:spacing w:before="0" w:beforeAutospacing="0" w:after="2" w:afterAutospacing="0"/>
        <w:ind w:left="0" w:right="0" w:firstLine="628"/>
        <w:rPr>
          <w:rFonts w:hint="eastAsia" w:ascii="仿宋_GB2312" w:hAnsi="宋体" w:eastAsia="仿宋_GB2312" w:cs="仿宋_GB2312"/>
          <w:kern w:val="0"/>
          <w:sz w:val="21"/>
          <w:szCs w:val="21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en-US" w:eastAsia="zh-CN"/>
        </w:rPr>
        <w:t>濂溪街道办事处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为正科级全额拨款行政单位，内设党政办公室、农业综合技术推广事务中心、文教体广电事务中心、社会保障和社会救助事务中心、人口和计划生育事务中心、建设和公共安全事务中心、林业水利事务中心、财政所等8个职能部室。行政编制22人，事业编制46人，工勤人员0人。现实有在编人数行政22人，事业46人，工勤人员0人，配有小车1辆。</w:t>
      </w:r>
    </w:p>
    <w:p>
      <w:pPr>
        <w:widowControl/>
        <w:spacing w:line="520" w:lineRule="exact"/>
        <w:ind w:firstLine="640"/>
        <w:rPr>
          <w:rFonts w:hint="default" w:ascii="Times New Roman" w:hAnsi="Times New Roman" w:eastAsia="Times New Roman"/>
          <w:sz w:val="32"/>
          <w:szCs w:val="20"/>
        </w:rPr>
      </w:pPr>
    </w:p>
    <w:p>
      <w:pPr>
        <w:widowControl/>
        <w:numPr>
          <w:ilvl w:val="0"/>
          <w:numId w:val="0"/>
        </w:numPr>
        <w:ind w:firstLine="640" w:firstLineChars="200"/>
        <w:rPr>
          <w:rFonts w:hint="eastAsia" w:ascii="仿宋" w:hAnsi="仿宋" w:eastAsia="仿宋"/>
          <w:sz w:val="32"/>
          <w:szCs w:val="20"/>
        </w:rPr>
      </w:pPr>
      <w:r>
        <w:rPr>
          <w:rFonts w:hint="eastAsia" w:ascii="仿宋" w:hAnsi="仿宋" w:eastAsia="仿宋"/>
          <w:sz w:val="32"/>
          <w:szCs w:val="20"/>
          <w:lang w:val="en-US" w:eastAsia="zh-CN"/>
        </w:rPr>
        <w:t>3.</w:t>
      </w:r>
      <w:r>
        <w:rPr>
          <w:rFonts w:hint="eastAsia" w:ascii="仿宋" w:hAnsi="仿宋" w:eastAsia="仿宋"/>
          <w:sz w:val="32"/>
          <w:szCs w:val="20"/>
        </w:rPr>
        <w:t>人员情况。</w:t>
      </w:r>
    </w:p>
    <w:p>
      <w:pPr>
        <w:widowControl/>
        <w:numPr>
          <w:ilvl w:val="0"/>
          <w:numId w:val="0"/>
        </w:numPr>
        <w:ind w:firstLine="640" w:firstLineChars="200"/>
        <w:rPr>
          <w:rFonts w:hint="eastAsia" w:ascii="仿宋" w:hAnsi="仿宋" w:eastAsia="仿宋"/>
          <w:sz w:val="32"/>
          <w:szCs w:val="20"/>
          <w:lang w:val="en-US" w:eastAsia="zh-CN"/>
        </w:rPr>
      </w:pPr>
      <w:r>
        <w:rPr>
          <w:rFonts w:hint="eastAsia" w:ascii="仿宋" w:hAnsi="仿宋" w:eastAsia="仿宋"/>
          <w:sz w:val="32"/>
          <w:szCs w:val="20"/>
          <w:lang w:val="en-US" w:eastAsia="zh-CN"/>
        </w:rPr>
        <w:t>2021年我镇</w:t>
      </w:r>
      <w:r>
        <w:rPr>
          <w:rFonts w:hint="eastAsia" w:ascii="仿宋" w:hAnsi="仿宋" w:eastAsia="仿宋"/>
          <w:sz w:val="32"/>
          <w:szCs w:val="20"/>
        </w:rPr>
        <w:t>人员编制和领导职数根据乡镇机构改革的要求，</w:t>
      </w:r>
      <w:r>
        <w:rPr>
          <w:rFonts w:hint="eastAsia" w:ascii="仿宋" w:hAnsi="仿宋" w:eastAsia="仿宋"/>
          <w:sz w:val="32"/>
          <w:szCs w:val="20"/>
          <w:lang w:val="en-US" w:eastAsia="zh-CN"/>
        </w:rPr>
        <w:t>濂溪街道</w:t>
      </w:r>
      <w:r>
        <w:rPr>
          <w:rFonts w:hint="eastAsia" w:ascii="仿宋" w:hAnsi="仿宋" w:eastAsia="仿宋"/>
          <w:sz w:val="32"/>
          <w:szCs w:val="20"/>
        </w:rPr>
        <w:t>机关核定行政编制</w:t>
      </w:r>
      <w:r>
        <w:rPr>
          <w:rFonts w:hint="eastAsia" w:ascii="仿宋" w:hAnsi="仿宋" w:eastAsia="仿宋"/>
          <w:sz w:val="32"/>
          <w:szCs w:val="20"/>
          <w:lang w:val="en-US" w:eastAsia="zh-CN"/>
        </w:rPr>
        <w:t>68</w:t>
      </w:r>
      <w:r>
        <w:rPr>
          <w:rFonts w:hint="eastAsia" w:ascii="仿宋" w:hAnsi="仿宋" w:eastAsia="仿宋"/>
          <w:sz w:val="32"/>
          <w:szCs w:val="20"/>
        </w:rPr>
        <w:t>名。配领导职数</w:t>
      </w:r>
      <w:r>
        <w:rPr>
          <w:rFonts w:hint="eastAsia" w:ascii="仿宋" w:hAnsi="仿宋" w:eastAsia="仿宋"/>
          <w:sz w:val="32"/>
          <w:szCs w:val="20"/>
          <w:lang w:val="en-US" w:eastAsia="zh-CN"/>
        </w:rPr>
        <w:t>8</w:t>
      </w:r>
      <w:r>
        <w:rPr>
          <w:rFonts w:hint="eastAsia" w:ascii="仿宋" w:hAnsi="仿宋" w:eastAsia="仿宋"/>
          <w:sz w:val="32"/>
          <w:szCs w:val="20"/>
        </w:rPr>
        <w:t>名，其中:党委书记1名，副书记1名，</w:t>
      </w:r>
      <w:r>
        <w:rPr>
          <w:rFonts w:hint="eastAsia" w:ascii="仿宋" w:hAnsi="仿宋" w:eastAsia="仿宋"/>
          <w:sz w:val="32"/>
          <w:szCs w:val="20"/>
          <w:lang w:val="en-US" w:eastAsia="zh-CN"/>
        </w:rPr>
        <w:t>街道办主任</w:t>
      </w:r>
      <w:r>
        <w:rPr>
          <w:rFonts w:hint="eastAsia" w:ascii="仿宋" w:hAnsi="仿宋" w:eastAsia="仿宋"/>
          <w:sz w:val="32"/>
          <w:szCs w:val="20"/>
        </w:rPr>
        <w:t>1名，</w:t>
      </w:r>
      <w:r>
        <w:rPr>
          <w:rFonts w:hint="eastAsia" w:ascii="仿宋" w:hAnsi="仿宋" w:eastAsia="仿宋"/>
          <w:sz w:val="32"/>
          <w:szCs w:val="20"/>
          <w:lang w:val="en-US" w:eastAsia="zh-CN"/>
        </w:rPr>
        <w:t>副主任2名，</w:t>
      </w:r>
      <w:r>
        <w:rPr>
          <w:rFonts w:hint="eastAsia" w:ascii="仿宋" w:hAnsi="仿宋" w:eastAsia="仿宋"/>
          <w:sz w:val="32"/>
          <w:szCs w:val="20"/>
        </w:rPr>
        <w:t>人大主席1名，纪</w:t>
      </w:r>
      <w:r>
        <w:rPr>
          <w:rFonts w:hint="eastAsia" w:ascii="仿宋" w:hAnsi="仿宋" w:eastAsia="仿宋"/>
          <w:sz w:val="32"/>
          <w:szCs w:val="20"/>
          <w:lang w:val="en-US" w:eastAsia="zh-CN"/>
        </w:rPr>
        <w:t>工</w:t>
      </w:r>
      <w:r>
        <w:rPr>
          <w:rFonts w:hint="eastAsia" w:ascii="仿宋" w:hAnsi="仿宋" w:eastAsia="仿宋"/>
          <w:sz w:val="32"/>
          <w:szCs w:val="20"/>
        </w:rPr>
        <w:t>委书记1名，武装部长1名，政法委员、党政办主任1名</w:t>
      </w:r>
      <w:r>
        <w:rPr>
          <w:rFonts w:hint="eastAsia" w:ascii="仿宋" w:hAnsi="仿宋" w:eastAsia="仿宋"/>
          <w:sz w:val="32"/>
          <w:szCs w:val="20"/>
          <w:lang w:eastAsia="zh-CN"/>
        </w:rPr>
        <w:t>。</w:t>
      </w:r>
    </w:p>
    <w:p>
      <w:pPr>
        <w:spacing w:line="600" w:lineRule="exact"/>
        <w:ind w:firstLine="643" w:firstLineChars="200"/>
        <w:rPr>
          <w:rFonts w:ascii="Calibri" w:hAnsi="Calibri" w:eastAsia="楷体_GB2312" w:cs="Times New Roman"/>
          <w:b/>
          <w:sz w:val="32"/>
          <w:szCs w:val="32"/>
        </w:rPr>
      </w:pPr>
    </w:p>
    <w:p>
      <w:pPr>
        <w:pStyle w:val="4"/>
        <w:spacing w:line="600" w:lineRule="exact"/>
        <w:ind w:firstLine="64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二、一般公共预算支出情况</w:t>
      </w:r>
    </w:p>
    <w:p>
      <w:pPr>
        <w:pStyle w:val="4"/>
        <w:spacing w:line="600" w:lineRule="exact"/>
        <w:ind w:firstLine="643"/>
        <w:rPr>
          <w:rFonts w:ascii="Times New Roman" w:hAnsi="Times New Roman" w:eastAsia="楷体_GB2312"/>
          <w:b/>
          <w:sz w:val="32"/>
          <w:szCs w:val="32"/>
        </w:rPr>
      </w:pPr>
      <w:r>
        <w:rPr>
          <w:rFonts w:ascii="Times New Roman" w:hAnsi="Times New Roman" w:eastAsia="楷体_GB2312"/>
          <w:b/>
          <w:sz w:val="32"/>
          <w:szCs w:val="32"/>
        </w:rPr>
        <w:t>（一）基本支出情况</w:t>
      </w:r>
    </w:p>
    <w:p>
      <w:pPr>
        <w:pStyle w:val="4"/>
        <w:spacing w:line="600" w:lineRule="exact"/>
        <w:ind w:firstLine="643"/>
        <w:rPr>
          <w:rFonts w:ascii="Times New Roman" w:hAnsi="Times New Roman" w:eastAsia="楷体_GB2312"/>
          <w:b/>
          <w:sz w:val="32"/>
          <w:szCs w:val="32"/>
        </w:rPr>
      </w:pPr>
      <w:r>
        <w:rPr>
          <w:rFonts w:hint="eastAsia" w:ascii="仿宋" w:hAnsi="仿宋" w:eastAsia="仿宋"/>
          <w:sz w:val="32"/>
          <w:lang w:val="en-US"/>
        </w:rPr>
        <w:t>一般公共预算财政拨款收入完成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en-US" w:eastAsia="zh-CN"/>
        </w:rPr>
        <w:t>1099.75</w:t>
      </w:r>
      <w:r>
        <w:rPr>
          <w:rFonts w:hint="eastAsia" w:ascii="仿宋" w:hAnsi="仿宋" w:eastAsia="仿宋"/>
          <w:sz w:val="32"/>
          <w:lang w:val="en-US"/>
        </w:rPr>
        <w:t>万元，比上年</w:t>
      </w:r>
      <w:r>
        <w:rPr>
          <w:rFonts w:hint="eastAsia" w:ascii="仿宋" w:hAnsi="仿宋" w:eastAsia="仿宋"/>
          <w:sz w:val="28"/>
          <w:lang w:val="en-US" w:eastAsia="zh-CN"/>
        </w:rPr>
        <w:t>减少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3</w:t>
      </w:r>
      <w:r>
        <w:rPr>
          <w:rFonts w:ascii="宋体" w:hAnsi="宋体" w:cs="宋体"/>
          <w:color w:val="333333"/>
          <w:kern w:val="0"/>
          <w:sz w:val="32"/>
          <w:szCs w:val="32"/>
        </w:rPr>
        <w:t>31.17</w:t>
      </w:r>
      <w:r>
        <w:rPr>
          <w:rFonts w:hint="eastAsia" w:ascii="仿宋" w:hAnsi="仿宋" w:eastAsia="仿宋"/>
          <w:sz w:val="32"/>
          <w:lang w:val="en-US"/>
        </w:rPr>
        <w:t>万元，</w:t>
      </w:r>
      <w:r>
        <w:rPr>
          <w:rFonts w:hint="eastAsia" w:ascii="仿宋" w:hAnsi="仿宋" w:eastAsia="仿宋"/>
          <w:sz w:val="32"/>
          <w:lang w:val="en-US" w:eastAsia="zh-CN"/>
        </w:rPr>
        <w:t>增加</w:t>
      </w:r>
      <w:r>
        <w:rPr>
          <w:rFonts w:hint="eastAsia" w:ascii="仿宋" w:hAnsi="仿宋" w:eastAsia="仿宋"/>
          <w:sz w:val="28"/>
          <w:lang w:val="en-US" w:eastAsia="zh-CN"/>
        </w:rPr>
        <w:t>23.17</w:t>
      </w:r>
      <w:r>
        <w:rPr>
          <w:rFonts w:hint="eastAsia" w:ascii="仿宋" w:hAnsi="仿宋" w:eastAsia="仿宋"/>
          <w:sz w:val="32"/>
          <w:lang w:val="zh-CN"/>
        </w:rPr>
        <w:t>%，变化的主要原因是：项目资金</w:t>
      </w:r>
      <w:r>
        <w:rPr>
          <w:rFonts w:hint="eastAsia" w:ascii="仿宋" w:hAnsi="仿宋" w:eastAsia="仿宋"/>
          <w:sz w:val="32"/>
          <w:lang w:val="en-US" w:eastAsia="zh-CN"/>
        </w:rPr>
        <w:t>财政拨款减少。</w:t>
      </w:r>
      <w:r>
        <w:rPr>
          <w:rFonts w:hint="eastAsia" w:ascii="仿宋" w:hAnsi="仿宋" w:eastAsia="仿宋"/>
          <w:sz w:val="32"/>
          <w:lang w:val="en-US"/>
        </w:rPr>
        <w:t>基本支出完成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en-US" w:eastAsia="zh-CN"/>
        </w:rPr>
        <w:t>906.51</w:t>
      </w:r>
      <w:r>
        <w:rPr>
          <w:rFonts w:hint="eastAsia" w:ascii="仿宋" w:hAnsi="仿宋" w:eastAsia="仿宋"/>
          <w:sz w:val="32"/>
          <w:lang w:val="en-US"/>
        </w:rPr>
        <w:t>万元，比上年减</w:t>
      </w:r>
      <w:r>
        <w:rPr>
          <w:rFonts w:hint="eastAsia" w:ascii="仿宋" w:hAnsi="仿宋" w:eastAsia="仿宋"/>
          <w:sz w:val="28"/>
          <w:lang w:val="en-US" w:eastAsia="zh-CN"/>
        </w:rPr>
        <w:t>少</w:t>
      </w:r>
      <w:r>
        <w:rPr>
          <w:rFonts w:hint="eastAsia" w:ascii="仿宋" w:hAnsi="仿宋" w:eastAsia="仿宋"/>
          <w:color w:val="auto"/>
          <w:sz w:val="28"/>
          <w:lang w:val="en-US" w:eastAsia="zh-CN"/>
        </w:rPr>
        <w:t>159.86</w:t>
      </w:r>
      <w:r>
        <w:rPr>
          <w:rFonts w:hint="eastAsia" w:ascii="仿宋" w:hAnsi="仿宋" w:eastAsia="仿宋"/>
          <w:color w:val="auto"/>
          <w:sz w:val="32"/>
          <w:lang w:val="en-US"/>
        </w:rPr>
        <w:t>万元，下降</w:t>
      </w:r>
      <w:r>
        <w:rPr>
          <w:rFonts w:hint="eastAsia" w:ascii="仿宋" w:hAnsi="仿宋" w:eastAsia="仿宋"/>
          <w:color w:val="auto"/>
          <w:sz w:val="32"/>
          <w:lang w:val="en-US" w:eastAsia="zh-CN"/>
        </w:rPr>
        <w:t>15</w:t>
      </w:r>
      <w:r>
        <w:rPr>
          <w:rFonts w:hint="eastAsia" w:ascii="仿宋" w:hAnsi="仿宋" w:eastAsia="仿宋"/>
          <w:color w:val="auto"/>
          <w:sz w:val="28"/>
          <w:lang w:val="en-US"/>
        </w:rPr>
        <w:t>%，</w:t>
      </w:r>
      <w:r>
        <w:rPr>
          <w:rFonts w:hint="eastAsia" w:ascii="仿宋" w:hAnsi="仿宋" w:eastAsia="仿宋"/>
          <w:color w:val="auto"/>
          <w:sz w:val="32"/>
          <w:lang w:val="zh-CN"/>
        </w:rPr>
        <w:t>变化的主要原因：本年度预算经费减</w:t>
      </w:r>
      <w:r>
        <w:rPr>
          <w:rFonts w:hint="eastAsia" w:ascii="仿宋" w:hAnsi="仿宋" w:eastAsia="仿宋"/>
          <w:sz w:val="32"/>
          <w:lang w:val="zh-CN"/>
        </w:rPr>
        <w:t>少,导致支出减少</w:t>
      </w:r>
      <w:r>
        <w:rPr>
          <w:rFonts w:hint="eastAsia" w:ascii="仿宋" w:hAnsi="仿宋" w:eastAsia="仿宋"/>
          <w:sz w:val="32"/>
          <w:lang w:val="en-US"/>
        </w:rPr>
        <w:t>。</w:t>
      </w:r>
    </w:p>
    <w:p>
      <w:pPr>
        <w:pStyle w:val="4"/>
        <w:numPr>
          <w:ilvl w:val="0"/>
          <w:numId w:val="1"/>
        </w:numPr>
        <w:spacing w:line="600" w:lineRule="exact"/>
        <w:ind w:firstLine="643"/>
        <w:rPr>
          <w:rFonts w:ascii="Times New Roman" w:hAnsi="Times New Roman" w:eastAsia="楷体_GB2312"/>
          <w:b/>
          <w:sz w:val="32"/>
          <w:szCs w:val="32"/>
        </w:rPr>
      </w:pPr>
      <w:r>
        <w:rPr>
          <w:rFonts w:ascii="Times New Roman" w:hAnsi="Times New Roman" w:eastAsia="楷体_GB2312"/>
          <w:b/>
          <w:sz w:val="32"/>
          <w:szCs w:val="32"/>
        </w:rPr>
        <w:t>项目支出情况</w:t>
      </w:r>
    </w:p>
    <w:p>
      <w:pPr>
        <w:pStyle w:val="4"/>
        <w:numPr>
          <w:ilvl w:val="0"/>
          <w:numId w:val="0"/>
        </w:numPr>
        <w:spacing w:line="600" w:lineRule="exact"/>
        <w:ind w:firstLine="640" w:firstLineChars="200"/>
        <w:rPr>
          <w:rFonts w:ascii="Times New Roman" w:hAnsi="Times New Roman" w:eastAsia="楷体_GB2312"/>
          <w:b/>
          <w:sz w:val="32"/>
          <w:szCs w:val="32"/>
        </w:rPr>
      </w:pPr>
      <w:r>
        <w:rPr>
          <w:rFonts w:hint="eastAsia" w:ascii="仿宋" w:hAnsi="仿宋" w:eastAsia="仿宋"/>
          <w:sz w:val="32"/>
          <w:lang w:val="en-US"/>
        </w:rPr>
        <w:t>项目支出</w:t>
      </w:r>
      <w:r>
        <w:rPr>
          <w:rFonts w:hint="eastAsia" w:ascii="仿宋" w:hAnsi="仿宋" w:eastAsia="仿宋"/>
          <w:sz w:val="28"/>
          <w:lang w:val="en-US" w:eastAsia="zh-CN"/>
        </w:rPr>
        <w:t>193.24</w:t>
      </w:r>
      <w:r>
        <w:rPr>
          <w:rFonts w:hint="eastAsia" w:ascii="仿宋" w:hAnsi="仿宋" w:eastAsia="仿宋"/>
          <w:sz w:val="32"/>
          <w:lang w:val="en-US"/>
        </w:rPr>
        <w:t>万元，比上</w:t>
      </w:r>
      <w:r>
        <w:rPr>
          <w:rFonts w:hint="eastAsia" w:ascii="仿宋" w:hAnsi="仿宋" w:eastAsia="仿宋"/>
          <w:sz w:val="32"/>
          <w:lang w:val="en-US" w:eastAsia="zh-CN"/>
        </w:rPr>
        <w:t>年</w:t>
      </w:r>
      <w:r>
        <w:rPr>
          <w:rFonts w:hint="eastAsia" w:ascii="仿宋" w:hAnsi="仿宋" w:eastAsia="仿宋"/>
          <w:sz w:val="32"/>
          <w:lang w:val="en-US"/>
        </w:rPr>
        <w:t>减</w:t>
      </w:r>
      <w:r>
        <w:rPr>
          <w:rFonts w:hint="eastAsia" w:ascii="仿宋" w:hAnsi="仿宋" w:eastAsia="仿宋"/>
          <w:sz w:val="32"/>
          <w:lang w:val="en-US" w:eastAsia="zh-CN"/>
        </w:rPr>
        <w:t>少</w:t>
      </w:r>
      <w:r>
        <w:rPr>
          <w:rFonts w:hint="eastAsia" w:ascii="仿宋" w:hAnsi="仿宋" w:eastAsia="仿宋"/>
          <w:color w:val="auto"/>
          <w:sz w:val="28"/>
          <w:lang w:val="en-US" w:eastAsia="zh-CN"/>
        </w:rPr>
        <w:t>137.15</w:t>
      </w:r>
      <w:r>
        <w:rPr>
          <w:rFonts w:hint="eastAsia" w:ascii="仿宋" w:hAnsi="仿宋" w:eastAsia="仿宋"/>
          <w:color w:val="auto"/>
          <w:sz w:val="32"/>
          <w:lang w:val="en-US"/>
        </w:rPr>
        <w:t>万</w:t>
      </w:r>
      <w:r>
        <w:rPr>
          <w:rFonts w:hint="eastAsia" w:ascii="仿宋" w:hAnsi="仿宋" w:eastAsia="仿宋"/>
          <w:sz w:val="32"/>
          <w:lang w:val="en-US"/>
        </w:rPr>
        <w:t>元，下降</w:t>
      </w:r>
      <w:r>
        <w:rPr>
          <w:rFonts w:hint="eastAsia" w:ascii="仿宋" w:hAnsi="仿宋" w:eastAsia="仿宋"/>
          <w:sz w:val="28"/>
          <w:lang w:val="en-US" w:eastAsia="zh-CN"/>
        </w:rPr>
        <w:t>41.5</w:t>
      </w:r>
      <w:r>
        <w:rPr>
          <w:rFonts w:hint="eastAsia" w:ascii="仿宋" w:hAnsi="仿宋" w:eastAsia="仿宋"/>
          <w:sz w:val="28"/>
          <w:lang w:val="en-US"/>
        </w:rPr>
        <w:t>%</w:t>
      </w:r>
      <w:r>
        <w:rPr>
          <w:rFonts w:hint="eastAsia" w:ascii="仿宋" w:hAnsi="仿宋" w:eastAsia="仿宋"/>
          <w:sz w:val="32"/>
          <w:lang w:val="en-US"/>
        </w:rPr>
        <w:t>；</w:t>
      </w:r>
      <w:r>
        <w:rPr>
          <w:rFonts w:hint="eastAsia" w:ascii="仿宋" w:hAnsi="仿宋" w:eastAsia="仿宋"/>
          <w:sz w:val="32"/>
          <w:lang w:val="zh-CN"/>
        </w:rPr>
        <w:t>变化的主要原因：本年度预算经费减少,导致支出减少。</w:t>
      </w:r>
    </w:p>
    <w:p>
      <w:pPr>
        <w:pStyle w:val="4"/>
        <w:numPr>
          <w:ilvl w:val="0"/>
          <w:numId w:val="2"/>
        </w:numPr>
        <w:spacing w:line="600" w:lineRule="exact"/>
        <w:ind w:firstLine="64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政府性基金预算支出情况</w:t>
      </w:r>
    </w:p>
    <w:p>
      <w:pPr>
        <w:pStyle w:val="4"/>
        <w:numPr>
          <w:ilvl w:val="0"/>
          <w:numId w:val="0"/>
        </w:numPr>
        <w:spacing w:line="600" w:lineRule="exac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仿宋" w:hAnsi="仿宋" w:eastAsia="仿宋"/>
          <w:sz w:val="32"/>
          <w:lang w:val="en-US"/>
        </w:rPr>
        <w:t>政府性基金财政拨款收入完成</w:t>
      </w:r>
      <w:r>
        <w:rPr>
          <w:rFonts w:hint="eastAsia" w:ascii="仿宋" w:hAnsi="仿宋" w:eastAsia="仿宋"/>
          <w:sz w:val="28"/>
          <w:lang w:val="en-US"/>
        </w:rPr>
        <w:t>0</w:t>
      </w:r>
      <w:r>
        <w:rPr>
          <w:rFonts w:hint="eastAsia" w:ascii="仿宋" w:hAnsi="仿宋" w:eastAsia="仿宋"/>
          <w:sz w:val="32"/>
          <w:lang w:val="en-US"/>
        </w:rPr>
        <w:t>万元，比上年</w:t>
      </w:r>
      <w:r>
        <w:rPr>
          <w:rFonts w:hint="eastAsia" w:ascii="仿宋" w:hAnsi="仿宋" w:eastAsia="仿宋"/>
          <w:sz w:val="32"/>
          <w:lang w:val="en-US" w:eastAsia="zh-CN"/>
        </w:rPr>
        <w:t>增长</w:t>
      </w:r>
      <w:r>
        <w:rPr>
          <w:rFonts w:hint="eastAsia" w:ascii="仿宋" w:hAnsi="仿宋" w:eastAsia="仿宋"/>
          <w:sz w:val="28"/>
          <w:lang w:val="en-US"/>
        </w:rPr>
        <w:t>0</w:t>
      </w:r>
      <w:r>
        <w:rPr>
          <w:rFonts w:hint="eastAsia" w:ascii="仿宋" w:hAnsi="仿宋" w:eastAsia="仿宋"/>
          <w:sz w:val="32"/>
          <w:lang w:val="en-US"/>
        </w:rPr>
        <w:t>万元，增长</w:t>
      </w:r>
      <w:r>
        <w:rPr>
          <w:rFonts w:hint="eastAsia" w:ascii="仿宋" w:hAnsi="仿宋" w:eastAsia="仿宋"/>
          <w:sz w:val="28"/>
          <w:lang w:val="en-US"/>
        </w:rPr>
        <w:t>0</w:t>
      </w:r>
      <w:r>
        <w:rPr>
          <w:rFonts w:hint="eastAsia" w:ascii="仿宋" w:hAnsi="仿宋" w:eastAsia="仿宋"/>
          <w:sz w:val="32"/>
          <w:lang w:val="zh-CN"/>
        </w:rPr>
        <w:t>%。</w:t>
      </w:r>
    </w:p>
    <w:p>
      <w:pPr>
        <w:pStyle w:val="4"/>
        <w:numPr>
          <w:ilvl w:val="0"/>
          <w:numId w:val="2"/>
        </w:numPr>
        <w:spacing w:line="600" w:lineRule="exact"/>
        <w:ind w:left="0" w:leftChars="0"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国有资本经营预算支出情况</w:t>
      </w:r>
    </w:p>
    <w:p>
      <w:pPr>
        <w:pStyle w:val="4"/>
        <w:numPr>
          <w:ilvl w:val="0"/>
          <w:numId w:val="0"/>
        </w:numPr>
        <w:spacing w:line="600" w:lineRule="exac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仿宋" w:hAnsi="仿宋" w:eastAsia="仿宋"/>
          <w:sz w:val="32"/>
          <w:lang w:val="en-US" w:eastAsia="zh-CN"/>
        </w:rPr>
        <w:t>国有资本</w:t>
      </w:r>
      <w:r>
        <w:rPr>
          <w:rFonts w:hint="eastAsia" w:ascii="仿宋" w:hAnsi="仿宋" w:eastAsia="仿宋"/>
          <w:sz w:val="32"/>
          <w:lang w:val="en-US"/>
        </w:rPr>
        <w:t>经营收入完成</w:t>
      </w:r>
      <w:r>
        <w:rPr>
          <w:rFonts w:hint="eastAsia" w:ascii="仿宋" w:hAnsi="仿宋" w:eastAsia="仿宋"/>
          <w:sz w:val="28"/>
          <w:lang w:val="en-US"/>
        </w:rPr>
        <w:t>0</w:t>
      </w:r>
      <w:r>
        <w:rPr>
          <w:rFonts w:hint="eastAsia" w:ascii="仿宋" w:hAnsi="仿宋" w:eastAsia="仿宋"/>
          <w:sz w:val="32"/>
          <w:lang w:val="en-US"/>
        </w:rPr>
        <w:t>万元，比上年</w:t>
      </w:r>
      <w:r>
        <w:rPr>
          <w:rFonts w:hint="eastAsia" w:ascii="仿宋" w:hAnsi="仿宋" w:eastAsia="仿宋"/>
          <w:sz w:val="32"/>
          <w:lang w:val="en-US" w:eastAsia="zh-CN"/>
        </w:rPr>
        <w:t>增长</w:t>
      </w:r>
      <w:r>
        <w:rPr>
          <w:rFonts w:hint="eastAsia" w:ascii="仿宋" w:hAnsi="仿宋" w:eastAsia="仿宋"/>
          <w:sz w:val="28"/>
          <w:lang w:val="en-US"/>
        </w:rPr>
        <w:t>0</w:t>
      </w:r>
      <w:r>
        <w:rPr>
          <w:rFonts w:hint="eastAsia" w:ascii="仿宋" w:hAnsi="仿宋" w:eastAsia="仿宋"/>
          <w:sz w:val="32"/>
          <w:lang w:val="en-US"/>
        </w:rPr>
        <w:t>万元</w:t>
      </w:r>
      <w:r>
        <w:rPr>
          <w:rFonts w:hint="default" w:eastAsia="Times New Roman"/>
          <w:sz w:val="32"/>
          <w:lang w:val="en-US"/>
        </w:rPr>
        <w:t>,</w:t>
      </w:r>
      <w:r>
        <w:rPr>
          <w:rFonts w:hint="eastAsia" w:ascii="仿宋" w:hAnsi="仿宋" w:eastAsia="仿宋"/>
          <w:sz w:val="32"/>
          <w:lang w:val="en-US"/>
        </w:rPr>
        <w:t>增长</w:t>
      </w:r>
      <w:r>
        <w:rPr>
          <w:rFonts w:hint="eastAsia" w:ascii="仿宋" w:hAnsi="仿宋" w:eastAsia="仿宋"/>
          <w:sz w:val="28"/>
          <w:lang w:val="en-US"/>
        </w:rPr>
        <w:t>0</w:t>
      </w:r>
      <w:r>
        <w:rPr>
          <w:rFonts w:hint="eastAsia" w:ascii="仿宋" w:hAnsi="仿宋" w:eastAsia="仿宋"/>
          <w:sz w:val="32"/>
          <w:lang w:val="zh-CN"/>
        </w:rPr>
        <w:t>%。</w:t>
      </w:r>
    </w:p>
    <w:p>
      <w:pPr>
        <w:pStyle w:val="4"/>
        <w:numPr>
          <w:ilvl w:val="0"/>
          <w:numId w:val="2"/>
        </w:numPr>
        <w:spacing w:line="600" w:lineRule="exact"/>
        <w:ind w:left="0" w:leftChars="0"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社会保险基金预算支出情况</w:t>
      </w:r>
    </w:p>
    <w:p>
      <w:pPr>
        <w:pStyle w:val="4"/>
        <w:numPr>
          <w:ilvl w:val="0"/>
          <w:numId w:val="0"/>
        </w:num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仿宋" w:hAnsi="仿宋" w:eastAsia="仿宋"/>
          <w:sz w:val="32"/>
          <w:lang w:val="zh-CN"/>
        </w:rPr>
        <w:t>人员经费</w:t>
      </w:r>
      <w:r>
        <w:rPr>
          <w:rFonts w:hint="eastAsia" w:ascii="仿宋" w:hAnsi="仿宋" w:eastAsia="仿宋"/>
          <w:sz w:val="32"/>
          <w:lang w:val="en-US"/>
        </w:rPr>
        <w:t>完成</w:t>
      </w:r>
      <w:r>
        <w:rPr>
          <w:rFonts w:hint="eastAsia" w:ascii="仿宋" w:hAnsi="仿宋" w:eastAsia="仿宋"/>
          <w:sz w:val="28"/>
          <w:lang w:val="en-US" w:eastAsia="zh-CN"/>
        </w:rPr>
        <w:t>714.54</w:t>
      </w:r>
      <w:r>
        <w:rPr>
          <w:rFonts w:hint="eastAsia" w:ascii="仿宋" w:hAnsi="仿宋" w:eastAsia="仿宋"/>
          <w:sz w:val="28"/>
          <w:lang w:val="en-US"/>
        </w:rPr>
        <w:t>万</w:t>
      </w:r>
      <w:r>
        <w:rPr>
          <w:rFonts w:hint="eastAsia" w:ascii="仿宋" w:hAnsi="仿宋" w:eastAsia="仿宋"/>
          <w:sz w:val="32"/>
          <w:lang w:val="en-US"/>
        </w:rPr>
        <w:t>元，比上年</w:t>
      </w:r>
      <w:r>
        <w:rPr>
          <w:rFonts w:hint="eastAsia" w:ascii="仿宋" w:hAnsi="仿宋" w:eastAsia="仿宋"/>
          <w:sz w:val="32"/>
          <w:lang w:val="en-US" w:eastAsia="zh-CN"/>
        </w:rPr>
        <w:t>减少</w:t>
      </w:r>
      <w:r>
        <w:rPr>
          <w:rFonts w:hint="eastAsia" w:ascii="仿宋" w:hAnsi="仿宋" w:eastAsia="仿宋"/>
          <w:color w:val="auto"/>
          <w:sz w:val="28"/>
          <w:lang w:val="en-US" w:eastAsia="zh-CN"/>
        </w:rPr>
        <w:t>113.42</w:t>
      </w:r>
      <w:r>
        <w:rPr>
          <w:rFonts w:hint="eastAsia" w:ascii="仿宋" w:hAnsi="仿宋" w:eastAsia="仿宋"/>
          <w:color w:val="auto"/>
          <w:sz w:val="32"/>
          <w:lang w:val="en-US"/>
        </w:rPr>
        <w:t>万元，</w:t>
      </w:r>
      <w:r>
        <w:rPr>
          <w:rFonts w:hint="eastAsia" w:ascii="仿宋" w:hAnsi="仿宋" w:eastAsia="仿宋"/>
          <w:color w:val="auto"/>
          <w:sz w:val="32"/>
          <w:lang w:val="en-US" w:eastAsia="zh-CN"/>
        </w:rPr>
        <w:t>减少13.6</w:t>
      </w:r>
      <w:r>
        <w:rPr>
          <w:rFonts w:hint="eastAsia" w:ascii="仿宋" w:hAnsi="仿宋" w:eastAsia="仿宋"/>
          <w:color w:val="auto"/>
          <w:sz w:val="28"/>
          <w:lang w:val="en-US"/>
        </w:rPr>
        <w:t>%，</w:t>
      </w:r>
      <w:r>
        <w:rPr>
          <w:rFonts w:hint="eastAsia" w:ascii="仿宋" w:hAnsi="仿宋" w:eastAsia="仿宋"/>
          <w:color w:val="auto"/>
          <w:sz w:val="32"/>
          <w:lang w:val="zh-CN"/>
        </w:rPr>
        <w:t>变化的主要原因：核实无误，本年度人</w:t>
      </w:r>
      <w:r>
        <w:rPr>
          <w:rFonts w:hint="eastAsia" w:ascii="仿宋" w:hAnsi="仿宋" w:eastAsia="仿宋"/>
          <w:sz w:val="32"/>
          <w:lang w:val="zh-CN"/>
        </w:rPr>
        <w:t>员经费</w:t>
      </w:r>
      <w:r>
        <w:rPr>
          <w:rFonts w:hint="eastAsia" w:ascii="仿宋" w:hAnsi="仿宋" w:eastAsia="仿宋"/>
          <w:sz w:val="32"/>
          <w:lang w:val="en-US" w:eastAsia="zh-CN"/>
        </w:rPr>
        <w:t>减少</w:t>
      </w:r>
      <w:r>
        <w:rPr>
          <w:rFonts w:hint="eastAsia" w:ascii="仿宋" w:hAnsi="仿宋" w:eastAsia="仿宋"/>
          <w:sz w:val="32"/>
          <w:lang w:val="en-US"/>
        </w:rPr>
        <w:t>；</w:t>
      </w:r>
    </w:p>
    <w:p>
      <w:pPr>
        <w:spacing w:line="600" w:lineRule="exact"/>
        <w:ind w:firstLine="640" w:firstLineChars="200"/>
        <w:rPr>
          <w:rFonts w:ascii="Calibri" w:hAnsi="Calibri" w:eastAsia="黑体" w:cs="Times New Roman"/>
          <w:sz w:val="32"/>
          <w:szCs w:val="32"/>
        </w:rPr>
      </w:pPr>
      <w:r>
        <w:rPr>
          <w:rFonts w:ascii="Calibri" w:hAnsi="Calibri" w:eastAsia="黑体" w:cs="Times New Roman"/>
          <w:sz w:val="32"/>
          <w:szCs w:val="32"/>
        </w:rPr>
        <w:t>六、部门整体支出绩效情况</w:t>
      </w:r>
    </w:p>
    <w:p>
      <w:pPr>
        <w:rPr>
          <w:rFonts w:hint="eastAsia" w:ascii="仿宋" w:hAnsi="仿宋" w:eastAsia="仿宋" w:cs="仿宋"/>
          <w:spacing w:val="7"/>
          <w:position w:val="25"/>
          <w:sz w:val="32"/>
          <w:szCs w:val="28"/>
          <w:lang w:val="en-US" w:eastAsia="zh-CN"/>
        </w:rPr>
      </w:pPr>
      <w:r>
        <w:rPr>
          <w:rFonts w:hint="eastAsia" w:ascii="仿宋" w:hAnsi="仿宋" w:eastAsia="仿宋"/>
          <w:sz w:val="32"/>
          <w:lang w:val="en-US" w:eastAsia="zh-CN"/>
        </w:rPr>
        <w:t>一是基础设施全面完善。道县濂溪街道荷叶塘社区路面空坪建设项目全面实现绩效管理。严格执行村级财务管理制度，专款专用，规范资金核算和管理，加大监督检查力度，确保民生工程的有效实施和资金的合理安全使用。该项目保障了辖区内12个居民小组，共15000余人的生活。道县濂溪街道良田社区公共设施建设项目全面实现绩效管理。严格执行村级财务管理制度，专款专用，规范资金核算和管理，加大监督检查力度，确保民生工程的有效实施和资金的合理安全使用。该项目保障了辖区内10个居民小组，共20000余人的精神生活。</w:t>
      </w:r>
    </w:p>
    <w:p>
      <w:pPr>
        <w:pStyle w:val="4"/>
        <w:spacing w:line="600" w:lineRule="exact"/>
        <w:ind w:firstLine="64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七、存在的问题及原因分析</w:t>
      </w:r>
    </w:p>
    <w:p>
      <w:pPr>
        <w:spacing w:line="600" w:lineRule="exact"/>
        <w:ind w:firstLine="640" w:firstLineChars="200"/>
        <w:rPr>
          <w:rFonts w:hint="eastAsia" w:eastAsia="黑体"/>
          <w:sz w:val="32"/>
          <w:szCs w:val="32"/>
        </w:rPr>
      </w:pPr>
      <w:r>
        <w:rPr>
          <w:rFonts w:hint="eastAsia" w:ascii="Calibri" w:hAnsi="Calibri" w:eastAsia="仿宋_GB2312" w:cs="Times New Roman"/>
          <w:color w:val="000000"/>
          <w:sz w:val="32"/>
          <w:szCs w:val="32"/>
        </w:rPr>
        <w:t>1、预算编制工作有待细化。预算编制不够明确和细化，预算编制的合理性需要提高，预算执行力度还要进一步加强。</w:t>
      </w:r>
    </w:p>
    <w:p>
      <w:pPr>
        <w:spacing w:line="600" w:lineRule="exact"/>
        <w:ind w:firstLine="640" w:firstLineChars="200"/>
        <w:rPr>
          <w:rFonts w:hint="eastAsia" w:ascii="Calibri" w:hAnsi="Calibri" w:eastAsia="仿宋_GB2312" w:cs="Times New Roman"/>
          <w:color w:val="000000"/>
          <w:sz w:val="32"/>
          <w:szCs w:val="32"/>
        </w:rPr>
      </w:pPr>
      <w:r>
        <w:rPr>
          <w:rFonts w:hint="eastAsia" w:ascii="Calibri" w:hAnsi="Calibri" w:eastAsia="仿宋_GB2312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eastAsia" w:ascii="Calibri" w:hAnsi="Calibri" w:eastAsia="仿宋_GB2312" w:cs="Times New Roman"/>
          <w:color w:val="000000"/>
          <w:sz w:val="32"/>
          <w:szCs w:val="32"/>
        </w:rPr>
        <w:t>、公用经费控制有一定难度，基本为刚性支出。</w:t>
      </w:r>
    </w:p>
    <w:p>
      <w:pPr>
        <w:numPr>
          <w:ilvl w:val="0"/>
          <w:numId w:val="3"/>
        </w:numPr>
        <w:spacing w:line="600" w:lineRule="exact"/>
        <w:ind w:firstLine="640" w:firstLineChars="200"/>
        <w:rPr>
          <w:rFonts w:hint="eastAsia" w:ascii="Calibri" w:hAnsi="Calibri" w:eastAsia="黑体" w:cs="Times New Roman"/>
          <w:sz w:val="32"/>
          <w:szCs w:val="32"/>
          <w:lang w:eastAsia="zh-CN"/>
        </w:rPr>
      </w:pPr>
      <w:r>
        <w:rPr>
          <w:rFonts w:ascii="Calibri" w:hAnsi="Calibri" w:eastAsia="黑体" w:cs="Times New Roman"/>
          <w:sz w:val="32"/>
          <w:szCs w:val="32"/>
        </w:rPr>
        <w:t>下一步改进措施</w:t>
      </w:r>
    </w:p>
    <w:p>
      <w:pPr>
        <w:spacing w:line="600" w:lineRule="exact"/>
        <w:ind w:firstLine="640" w:firstLineChars="200"/>
        <w:rPr>
          <w:rFonts w:hint="eastAsia" w:ascii="Calibri" w:hAnsi="Calibri" w:eastAsia="仿宋_GB2312" w:cs="Times New Roman"/>
          <w:color w:val="000000"/>
          <w:sz w:val="32"/>
          <w:szCs w:val="32"/>
        </w:rPr>
      </w:pPr>
      <w:r>
        <w:rPr>
          <w:rFonts w:hint="eastAsia" w:ascii="Calibri" w:hAnsi="Calibri" w:eastAsia="仿宋_GB2312" w:cs="Times New Roman"/>
          <w:color w:val="000000"/>
          <w:sz w:val="32"/>
          <w:szCs w:val="32"/>
        </w:rPr>
        <w:t>1.加强财务管理，严格财务审核。在费用报账支付时，按照预算规定的费用项目和用途进行资金使用审核、列报支付、财务核算，杜绝超支现象的发生。</w:t>
      </w:r>
    </w:p>
    <w:p>
      <w:pPr>
        <w:spacing w:line="600" w:lineRule="exact"/>
        <w:ind w:firstLine="640" w:firstLineChars="200"/>
        <w:rPr>
          <w:rFonts w:hint="eastAsia" w:ascii="Calibri" w:hAnsi="Calibri" w:eastAsia="仿宋_GB2312" w:cs="Times New Roman"/>
          <w:color w:val="000000"/>
          <w:sz w:val="32"/>
          <w:szCs w:val="32"/>
        </w:rPr>
      </w:pPr>
      <w:r>
        <w:rPr>
          <w:rFonts w:hint="eastAsia" w:ascii="Calibri" w:hAnsi="Calibri" w:eastAsia="仿宋_GB2312" w:cs="Times New Roman"/>
          <w:color w:val="000000"/>
          <w:sz w:val="32"/>
          <w:szCs w:val="32"/>
        </w:rPr>
        <w:t>2.加强项目开展进度的跟踪，开展项目绩效评价，确保项目绩效目标的完成。</w:t>
      </w:r>
    </w:p>
    <w:p>
      <w:pPr>
        <w:spacing w:line="600" w:lineRule="exact"/>
        <w:ind w:firstLine="640" w:firstLineChars="200"/>
        <w:rPr>
          <w:rFonts w:hint="eastAsia" w:ascii="Calibri" w:hAnsi="Calibri" w:eastAsia="仿宋_GB2312" w:cs="Times New Roman"/>
          <w:color w:val="000000"/>
          <w:sz w:val="32"/>
          <w:szCs w:val="32"/>
        </w:rPr>
      </w:pPr>
      <w:r>
        <w:rPr>
          <w:rFonts w:hint="eastAsia" w:ascii="Calibri" w:hAnsi="Calibri" w:eastAsia="仿宋_GB2312" w:cs="Times New Roman"/>
          <w:color w:val="000000"/>
          <w:sz w:val="32"/>
          <w:szCs w:val="32"/>
        </w:rPr>
        <w:t>3.强化财务人员业务知识培训，进一步严控财务管理，提高部门预算收支管理水平。</w:t>
      </w:r>
    </w:p>
    <w:p>
      <w:pPr>
        <w:numPr>
          <w:ilvl w:val="0"/>
          <w:numId w:val="3"/>
        </w:numPr>
        <w:spacing w:line="600" w:lineRule="exact"/>
        <w:ind w:left="0" w:leftChars="0" w:firstLine="640" w:firstLineChars="200"/>
        <w:rPr>
          <w:rFonts w:ascii="Calibri" w:hAnsi="Calibri" w:eastAsia="黑体" w:cs="Times New Roman"/>
          <w:sz w:val="32"/>
          <w:szCs w:val="32"/>
        </w:rPr>
      </w:pPr>
      <w:r>
        <w:rPr>
          <w:rFonts w:ascii="Calibri" w:hAnsi="Calibri" w:eastAsia="黑体" w:cs="Times New Roman"/>
          <w:sz w:val="32"/>
          <w:szCs w:val="32"/>
        </w:rPr>
        <w:t>绩效自评结果拟应用和公开情况</w:t>
      </w:r>
    </w:p>
    <w:p>
      <w:pPr>
        <w:spacing w:before="228" w:line="391" w:lineRule="auto"/>
        <w:ind w:left="195" w:right="316" w:firstLine="560"/>
        <w:rPr>
          <w:rFonts w:hint="eastAsia" w:ascii="仿宋" w:hAnsi="仿宋" w:eastAsia="仿宋" w:cs="仿宋"/>
          <w:spacing w:val="9"/>
          <w:sz w:val="28"/>
          <w:szCs w:val="28"/>
          <w:lang w:val="en-US" w:eastAsia="zh-CN"/>
        </w:rPr>
      </w:pPr>
      <w:r>
        <w:rPr>
          <w:rFonts w:ascii="仿宋" w:hAnsi="仿宋" w:eastAsia="仿宋" w:cs="仿宋"/>
          <w:spacing w:val="9"/>
          <w:sz w:val="28"/>
          <w:szCs w:val="28"/>
        </w:rPr>
        <w:t>强化评价结果运用。积极探索建立与预算编制相结合，及时做好资金使用的公开和监管，使评价结果得到有效运用</w:t>
      </w:r>
      <w:r>
        <w:rPr>
          <w:rFonts w:hint="eastAsia" w:ascii="仿宋" w:hAnsi="仿宋" w:eastAsia="仿宋" w:cs="仿宋"/>
          <w:spacing w:val="9"/>
          <w:sz w:val="28"/>
          <w:szCs w:val="28"/>
          <w:lang w:eastAsia="zh-CN"/>
        </w:rPr>
        <w:t>。</w:t>
      </w:r>
      <w:r>
        <w:rPr>
          <w:rFonts w:hint="eastAsia" w:ascii="仿宋" w:hAnsi="仿宋" w:eastAsia="仿宋" w:cs="仿宋"/>
          <w:spacing w:val="9"/>
          <w:sz w:val="28"/>
          <w:szCs w:val="28"/>
          <w:lang w:val="en-US" w:eastAsia="zh-CN"/>
        </w:rPr>
        <w:t>已公开。</w:t>
      </w:r>
    </w:p>
    <w:p>
      <w:pPr>
        <w:spacing w:before="228" w:line="391" w:lineRule="auto"/>
        <w:ind w:left="195" w:right="316" w:firstLine="560"/>
        <w:rPr>
          <w:rFonts w:ascii="Calibri" w:hAnsi="Calibri" w:eastAsia="黑体" w:cs="Times New Roman"/>
          <w:sz w:val="32"/>
          <w:szCs w:val="32"/>
        </w:rPr>
      </w:pPr>
      <w:r>
        <w:rPr>
          <w:rFonts w:ascii="Calibri" w:hAnsi="Calibri" w:eastAsia="黑体" w:cs="Times New Roman"/>
          <w:sz w:val="32"/>
          <w:szCs w:val="32"/>
        </w:rPr>
        <w:t>其他需要说明的情况</w:t>
      </w:r>
    </w:p>
    <w:p>
      <w:pPr>
        <w:spacing w:line="600" w:lineRule="exact"/>
        <w:ind w:firstLine="596" w:firstLineChars="200"/>
        <w:rPr>
          <w:rFonts w:ascii="Calibri" w:hAnsi="Calibri" w:eastAsia="方正小标宋_GBK" w:cs="Times New Roman"/>
          <w:kern w:val="0"/>
          <w:sz w:val="36"/>
          <w:szCs w:val="36"/>
        </w:rPr>
      </w:pPr>
      <w:r>
        <w:rPr>
          <w:rFonts w:hint="eastAsia" w:ascii="仿宋" w:hAnsi="仿宋" w:eastAsia="仿宋" w:cs="仿宋"/>
          <w:spacing w:val="9"/>
          <w:sz w:val="28"/>
          <w:szCs w:val="28"/>
          <w:lang w:val="en-US" w:eastAsia="zh-CN"/>
        </w:rPr>
        <w:t xml:space="preserve">无 </w:t>
      </w:r>
    </w:p>
    <w:p>
      <w:pPr>
        <w:widowControl/>
        <w:rPr>
          <w:rFonts w:ascii="Calibri" w:hAnsi="Calibri" w:cs="Times New Roma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EE8B832"/>
    <w:multiLevelType w:val="singleLevel"/>
    <w:tmpl w:val="9EE8B832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AA455969"/>
    <w:multiLevelType w:val="singleLevel"/>
    <w:tmpl w:val="AA455969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5E88CB7F"/>
    <w:multiLevelType w:val="singleLevel"/>
    <w:tmpl w:val="5E88CB7F"/>
    <w:lvl w:ilvl="0" w:tentative="0">
      <w:start w:val="8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5B1861"/>
    <w:rsid w:val="114123A5"/>
    <w:rsid w:val="18CC7EC9"/>
    <w:rsid w:val="1D8E3F1F"/>
    <w:rsid w:val="2FFA78A3"/>
    <w:rsid w:val="38A62A3D"/>
    <w:rsid w:val="46D40B30"/>
    <w:rsid w:val="4861335D"/>
    <w:rsid w:val="491078EC"/>
    <w:rsid w:val="495B2013"/>
    <w:rsid w:val="534D2A57"/>
    <w:rsid w:val="60644A86"/>
    <w:rsid w:val="62333B8F"/>
    <w:rsid w:val="6A173D4C"/>
    <w:rsid w:val="6BFB160C"/>
    <w:rsid w:val="707478B6"/>
    <w:rsid w:val="7935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1289</Words>
  <Characters>1372</Characters>
  <Lines>0</Lines>
  <Paragraphs>0</Paragraphs>
  <TotalTime>44</TotalTime>
  <ScaleCrop>false</ScaleCrop>
  <LinksUpToDate>false</LinksUpToDate>
  <CharactersWithSpaces>1373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2022-05-11T09:21:00Z</dcterms:created>
  <dc:creator>Administrator</dc:creator>
  <cp:lastModifiedBy>霍格沃茨优秀在校生</cp:lastModifiedBy>
  <dcterms:modified xsi:type="dcterms:W3CDTF">2023-09-25T07:39:59Z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90DB7A33F4C44F47B2B67CDCEC0BBBC0_13</vt:lpwstr>
  </property>
</Properties>
</file>