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2021年度道县城市基础设施建设投融资中心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整体支出</w:t>
      </w:r>
    </w:p>
    <w:p>
      <w:pPr>
        <w:spacing w:line="500" w:lineRule="exact"/>
        <w:jc w:val="center"/>
        <w:outlineLvl w:val="0"/>
        <w:rPr>
          <w:rFonts w:ascii="仿宋" w:hAnsi="仿宋" w:eastAsia="仿宋"/>
          <w:b/>
          <w:bCs/>
          <w:sz w:val="44"/>
          <w:szCs w:val="44"/>
        </w:rPr>
      </w:pPr>
      <w:r>
        <w:rPr>
          <w:rFonts w:ascii="仿宋" w:hAnsi="仿宋" w:eastAsia="仿宋"/>
          <w:b/>
          <w:bCs/>
          <w:sz w:val="44"/>
          <w:szCs w:val="44"/>
        </w:rPr>
        <w:t>绩效</w:t>
      </w:r>
      <w:r>
        <w:rPr>
          <w:rFonts w:hint="eastAsia" w:ascii="仿宋" w:hAnsi="仿宋" w:eastAsia="仿宋"/>
          <w:b/>
          <w:bCs/>
          <w:sz w:val="44"/>
          <w:szCs w:val="44"/>
        </w:rPr>
        <w:t>自</w:t>
      </w:r>
      <w:r>
        <w:rPr>
          <w:rFonts w:ascii="仿宋" w:hAnsi="仿宋" w:eastAsia="仿宋"/>
          <w:b/>
          <w:bCs/>
          <w:sz w:val="44"/>
          <w:szCs w:val="44"/>
        </w:rPr>
        <w:t>评报告</w:t>
      </w: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根据要求，我单位对2021年度专项资金进行自评，现将自评结果报告如下：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基本情况：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道县城市基础设施建设投融资中心的基本职责是：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 xml:space="preserve">受县政府委托，筹措、管理、营运城市建设资金，实现保值增值；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 xml:space="preserve">根据县政府下达的城市固定资产投资计划和城市维护计划落实资金，核拨用款，实行有偿投入，有偿使用，有偿服务；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 xml:space="preserve">引进外资，广泛积累建设资金；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受建设行政主管部门和国有资产管理部门的委托，承担国有资产的管理职责。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机构设置：</w:t>
      </w:r>
    </w:p>
    <w:p>
      <w:pPr>
        <w:numPr>
          <w:ilvl w:val="0"/>
          <w:numId w:val="0"/>
        </w:numPr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 xml:space="preserve">    党群工作部、综合办公室、纪检监察审计室、人力资源部、计划财务部、融资管理部、工程管理部、法务风控部、市场拓展部、工会。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整体支出使用情况</w:t>
      </w:r>
    </w:p>
    <w:p>
      <w:pPr>
        <w:numPr>
          <w:ilvl w:val="0"/>
          <w:numId w:val="0"/>
        </w:numPr>
        <w:ind w:left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2021年道县城市基础设施建设投融资中心共支出125.47万元。</w:t>
      </w:r>
    </w:p>
    <w:p>
      <w:pPr>
        <w:numPr>
          <w:ilvl w:val="0"/>
          <w:numId w:val="2"/>
        </w:numPr>
        <w:ind w:left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人员经费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工资福利支出共115.20万元。其中：基本工资43.88万元，津贴补贴27.21万元，奖金17.88万元，绩效工资8.37万元，机关事业单位基本养老保险10.63万元，职工基本医疗保险缴费7.24万元。</w:t>
      </w:r>
    </w:p>
    <w:p>
      <w:pPr>
        <w:numPr>
          <w:ilvl w:val="0"/>
          <w:numId w:val="2"/>
        </w:numPr>
        <w:ind w:left="420" w:leftChars="200" w:firstLine="0" w:firstLineChars="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公用经费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cs="黑体" w:asciiTheme="minorEastAsia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商品和服务支出共10.27万元。其中：办公费0.42万元，差旅费3.56万元，公务接待费4.60万元，专用燃料费1.00万元，其他商品和服务支出0.69万元。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2021年工作完成情况</w:t>
      </w:r>
    </w:p>
    <w:p>
      <w:pPr>
        <w:numPr>
          <w:ilvl w:val="0"/>
          <w:numId w:val="0"/>
        </w:numPr>
        <w:ind w:leftChars="200"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党建引领全面提升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。2021年，在县委、县政府的坚强领导下，我单位始终坚持以党建统领全局、以事业凝聚人心、以实干践行使命，不断促进党建工作与企业发展深度融合，激发党员干部的干事创业热情，推动各项工作全面提升。一是高质量开展党史学习教育。坚持“高站位部署、高起点开局、高标准推进”的总要求，深入学习建党一百周年大会和党的十九届六中全会精神，开展年度理论学习中心组集中学习12次，党员集中轮训1次，理论测试2次，党史学习专题研讨会4次，各学习对象认真撰写心得体会90篇，结合主题党日活动开展党史学习教育4次，认真开展党史知识测试、宣讲教育、重温入党誓词、参观陈树湘纪念馆等系列主题党日活动8次，高质量地完成了指导组交办的各项任务。二是扎实开展基层党建工作。认真落实“三会一课”制度和党员活动日制度，利用“三会一课”给党员干部开展专题党课6次，召开党员大会4次，召开专题组织生活会4次，不断完善党员活动室、党建宣传栏、党建图书室等党员活动阵地，切实提高党员政治觉悟和能力，有效激发党组织建设活力。</w:t>
      </w:r>
    </w:p>
    <w:p>
      <w:pPr>
        <w:numPr>
          <w:ilvl w:val="0"/>
          <w:numId w:val="0"/>
        </w:numPr>
        <w:ind w:leftChars="200"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文明创建效果明显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。2021年，在县委、县政府和县创文办的部署指导下，我单位压实责任、多措并举，全面推进文明城市创建各项工作，取得较好成效。一是压实工作责任。及时召开文明创建工作动员会、推进会，把创建工作纳入工作的重要议事日程，成立了文明创建领导小组，制定文明创建工作计划、理论学习计划、道德讲堂实施方案，并把创建工作列入个人年度考核内容，与每一位干部职工的年度评优评先结合起来，充分调动全公司干部职工文明创建的积极性。二是创建氛围浓厚。坚持走在文明创建工作一线，率先垂范，身先士卒，全面、及时掌握责任路段创建工作动态，不但做好“巡查员、劝导员、监督员”，还主动当好“宣传员、保洁员、引领员”，以实际行动引导感化群众争当文明市民，被评为创建省级园林县城先进单位。</w:t>
      </w:r>
    </w:p>
    <w:p>
      <w:pPr>
        <w:numPr>
          <w:ilvl w:val="0"/>
          <w:numId w:val="0"/>
        </w:numPr>
        <w:ind w:leftChars="200"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机关建设持续深化。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2021年，我单位严格执行县委、县纪委监委的安排部署，按照“守初心、担使命、找差距、抓落实”工作要求，牢牢把握“严”的主基调不动摇，紧紧围绕企业经营中心工作，认真履行纪检监察工作职责，为可持续发展发展提供了坚强的纪律保障和作风保障。一是着力提升队伍建设。以队伍建设为保障，加强领导干部的政治建设、业务提升和外部监督，认真履行教育、制度、监督、惩处、保护等职责，努力构筑“不敢腐、不能腐、不想腐”的机制和氛围，全年未发生一起违纪违法案件，努力造就一支“忠诚、干净、担当”的高素质干部队伍，不断推动纪检监察工作高质量发展，以作风建设永远在路</w:t>
      </w:r>
      <w:bookmarkStart w:id="0" w:name="_GoBack"/>
      <w:bookmarkEnd w:id="0"/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上的恒心和韧劲推动全面从严治党向纵深发展，奋力推进各项工作再创新佳绩、再上新台阶。二是着力加强作风建设。以干部作风突出问题为重点，组织广大干部职工开展作风建设专题会、学习“两规范一规定”、观看警示教育片、签订承诺书等一系列活动，时刻敲响着干部作风的警钟，锲而不舍落实中央八项规定精神，持之以恒纠治“四风”，确保各项工作经得起法律的检验和历史的考验。三是着力落实廉政建设。以廉政机关建设为抓手，以弘扬“断肠明志”的忠诚精神、“龙舟竞渡”的奋斗精神、“灰鹅守望”的团结精神、“官清梦安”的清廉精神等“四种精神”作为作风建设的总要求，坚定不移践行“干在实处、走在前列”的“闯将”精神，牢固树立“功成不必在我、建功必须有我”的担当意识，反对“坐而论道”“夸夸其谈”的浮夸作风，严禁“以权谋私、与民争利”的不正之风，形成干部用心用情用力干事的良好氛围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DEB611"/>
    <w:multiLevelType w:val="singleLevel"/>
    <w:tmpl w:val="88DEB6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ACBE21"/>
    <w:multiLevelType w:val="singleLevel"/>
    <w:tmpl w:val="7CACBE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ZDg3NzQ4YzdmMzU2NTNhYzU1NzdjMGQ2MjBiM2MifQ=="/>
  </w:docVars>
  <w:rsids>
    <w:rsidRoot w:val="58BD2C9B"/>
    <w:rsid w:val="58BD2C9B"/>
    <w:rsid w:val="63807502"/>
    <w:rsid w:val="6B2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2023-09-26T10:22:00Z</dcterms:created>
  <dc:creator>き堇色安年ぷ</dc:creator>
  <cp:lastModifiedBy>TPY</cp:lastModifiedBy>
  <dcterms:modified xsi:type="dcterms:W3CDTF">2023-11-24T03:10:46Z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4C7FD31256174B259D066119DCA8B0E7_11</vt:lpwstr>
  </property>
</Properties>
</file>