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rPr>
        <w:t>道县医疗保障局部门决算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道县医疗保障局</w:t>
      </w:r>
      <w:r>
        <w:rPr>
          <w:rFonts w:hint="eastAsia"/>
          <w:b/>
          <w:sz w:val="28"/>
          <w:szCs w:val="28"/>
        </w:rPr>
        <w:t>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lang w:val="en-US" w:eastAsia="zh-CN"/>
        </w:rPr>
        <w:t>道县医疗保障局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lang w:val="en-US" w:eastAsia="zh-CN"/>
        </w:rPr>
        <w:t>一、</w:t>
      </w: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（一）拟定全县医疗保险、生育保险、医疗救助等医疗保障制度的政策、规划和标准，并组织实施。</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（二）组织制定并实施全县医疗保障基金监督管理办法，监督管理相关医疗保障基金。建立健全医疗保障基金安全防控机制，推进医疗保障基金支付方式改革。</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三）组织制定全县医疗保障筹资和待遇政策，组织制定全县城乡居民大病保险政策，完善动态调整和区域内调剂平衡机制，统筹城乡医疗保障待遇标准，建立健全与筹资水平相适应的待遇调整机制。负责管理全县医疗救助资金的使用。组织拟定并实施长期护理保险制度改革方案。</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（四）贯彻落实国家、湖南省制定的药品、医用耗材、医疗服务项目、医疗服务设施等医保目录、支付标准。贯彻执行医保目录准入谈判规则。</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五）组织制定全县药品、医用耗材价格和医疗服务项目、医疗服务设施收费等政策，建立医保支付医药服务价格合理确定和动态调整机制，推动建立市场主导的社会医药服务体格形成机制，建立价格信息监测和信息发布制度。</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（六）根据国家、省、市药品、医用耗材的招标采购政策，监督实施全县药品、医用耗材招标采购工作。</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（七）制定全县定点医药机构协议和支付管理办法并组织实施，建立健全医疗保障信用评价体系和信息披露制度，监督管理纳入医保范围内的医疗服务行为和医疗费用，依法查处医疗保障领域违法违规行为。</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八）负责全县医疗保障经办管理、公共服务体系和信息化建设。指导、监督全县医疗保险、生育保险、大病保险、医疗救助等医疗保障经办业务工作。负责医疗保障行政审批事项。组织制定和完善异地就医管理和费用结算政策。建立健全医疗保障关系转移接续制度。开展医疗保障领域合作交流。</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（九）完成县委、县政府交办的其他工作。</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十）职能转变。县医保局应完善统一的城乡居民基本医疗保险制度和大病保险制度，巩固完善城乡居民医疗救助制度，建立健全覆盖全民、城乡统筹的多层次医疗保障体系，不断提高医疗保障水平，确保医保资金合理使用、安全可控，推进医疗、医保、医药“三医联动”改革，更好保障人民群众就医需求、减轻医药费用负担。</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（十一）与县卫生健康局的有关职责分工。县卫生健康局、县医保局等部门在医疗、医保、医药等方面加强制度、政策衔接，建立沟通协商机制，协同推进改革，提高医疗资源使用效率和医疗保障水平。</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道县医疗保障局</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val="en-US" w:eastAsia="zh-CN"/>
        </w:rPr>
        <w:t>我局是县政府工作部门，为正科级行政单位，内设办公室、规划财务和法规股、待遇保障股、医药服务管理股、医药价格和招标采购股、基金监管股共六个股室。</w:t>
      </w:r>
    </w:p>
    <w:p>
      <w:pPr>
        <w:widowControl/>
        <w:numPr>
          <w:ilvl w:val="0"/>
          <w:numId w:val="1"/>
        </w:numPr>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道县医疗保障局2021年部门决算公开单位构成包括：道县医疗保障局只有本级，没有其他二级决算单位，因此，纳入2021年部门决算编制范围的只有道县医疗保障局本级。</w:t>
      </w:r>
    </w:p>
    <w:p>
      <w:pPr>
        <w:widowControl/>
        <w:spacing w:line="600" w:lineRule="exact"/>
        <w:ind w:firstLine="640" w:firstLineChars="200"/>
        <w:rPr>
          <w:rFonts w:hint="eastAsia" w:asciiTheme="minorEastAsia" w:hAnsiTheme="minorEastAsia"/>
          <w:bCs/>
          <w:kern w:val="0"/>
          <w:sz w:val="32"/>
          <w:szCs w:val="32"/>
          <w:lang w:val="en-US" w:eastAsia="zh-CN"/>
        </w:rPr>
      </w:pPr>
    </w:p>
    <w:p>
      <w:pPr>
        <w:widowControl/>
        <w:spacing w:line="600" w:lineRule="exact"/>
        <w:ind w:firstLine="640" w:firstLineChars="200"/>
        <w:rPr>
          <w:rFonts w:hint="eastAsia" w:asciiTheme="minorEastAsia" w:hAnsiTheme="minorEastAsia"/>
          <w:bCs/>
          <w:kern w:val="0"/>
          <w:sz w:val="32"/>
          <w:szCs w:val="32"/>
          <w:lang w:val="en-US" w:eastAsia="zh-CN"/>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道县医疗保障局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39,973.90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31.79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79.91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264.39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39,844.69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79.91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40,053.81</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40,220.78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166.97</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40,220.78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40,220.78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5386" w:type="dxa"/>
        <w:tblInd w:w="0" w:type="dxa"/>
        <w:tblLayout w:type="fixed"/>
        <w:tblCellMar>
          <w:top w:w="0" w:type="dxa"/>
          <w:left w:w="0" w:type="dxa"/>
          <w:bottom w:w="0" w:type="dxa"/>
          <w:right w:w="0" w:type="dxa"/>
        </w:tblCellMar>
      </w:tblPr>
      <w:tblGrid>
        <w:gridCol w:w="1030"/>
        <w:gridCol w:w="74"/>
        <w:gridCol w:w="2266"/>
        <w:gridCol w:w="1440"/>
        <w:gridCol w:w="1764"/>
        <w:gridCol w:w="1632"/>
        <w:gridCol w:w="146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3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6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10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266" w:type="dxa"/>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ascii="宋体" w:hAnsi="宋体" w:eastAsia="宋体" w:cs="宋体"/>
                <w:color w:val="000000"/>
                <w:kern w:val="0"/>
                <w:sz w:val="20"/>
                <w:szCs w:val="20"/>
                <w:lang w:val="en-US" w:eastAsia="zh-CN"/>
              </w:rPr>
              <w:t>道县医疗保障局</w:t>
            </w:r>
            <w:r>
              <w:rPr>
                <w:rFonts w:hint="eastAsia"/>
              </w:rPr>
              <w:t>　</w:t>
            </w:r>
          </w:p>
        </w:tc>
        <w:tc>
          <w:tcPr>
            <w:tcW w:w="14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32"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46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37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3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6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2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6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370"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4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3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4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370"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40,053.81</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40,053.81</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31.79</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31.79</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31.79</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31.79</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2010301</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27.65</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27.65</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2010399</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4.14</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4.14</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264.39</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264.39</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13.00</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13.00</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13.00</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13.00</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20899</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251.39</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251.39</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2089999</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251.39</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251.39</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39,677.72</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39,677.72</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21001</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卫生健康管理事务</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12.06</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12.06</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2100101</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12.06</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12.06</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6.50</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6.50</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2101199</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6.50</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6.50</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21012</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36,901.62</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36,901.62</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2101202</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36,647.27</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36,647.27</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2101299</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财政对其他基本医疗保险基金的补助</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254.35</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254.35</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21013</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医疗救助</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1,481.93</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1,481.93</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2101301</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413.71</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413.71</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2101399</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其他医疗救助支出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1,068.22</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1,068.22</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21015</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医疗保障管理事务</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1,275.61</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1,275.61</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2101501</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429.51</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429.51</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2101505</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医疗保障政策管理</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2101506</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医疗保障经办事务</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16.10</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16.10</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2101599</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其他医疗保障管理事务支出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820.00</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820.00</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79.91</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79.91</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22960</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79.91</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79.91</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2296013</w:t>
            </w:r>
          </w:p>
        </w:tc>
        <w:tc>
          <w:tcPr>
            <w:tcW w:w="234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79.91</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79.91</w:t>
            </w:r>
          </w:p>
        </w:tc>
        <w:tc>
          <w:tcPr>
            <w:tcW w:w="163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道县医疗保障局</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40,220.78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38,511.61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1,709.16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31.79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31.79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31.79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31.79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264.39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264.39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251.39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251.39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251.39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251.39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39,844.69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38,215.43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1,629.25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36,901.62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36,901.62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2101202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36,647.27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36,647.27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财政对其他基本医疗保险基金的补助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254.35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254.35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医疗救助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1,629.25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1,629.25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561.03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561.03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其他医疗救助支出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1,068.22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1,068.22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医疗保障管理事务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1,295.25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1,295.25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2101501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429.51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429.51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医疗保障政策管理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2101506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医疗保障经办事务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其他医疗保障管理事务支出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839.64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839.64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22960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2296013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p>
      <w:pPr>
        <w:pStyle w:val="4"/>
      </w:pPr>
    </w:p>
    <w:p>
      <w:pPr>
        <w:pStyle w:val="4"/>
      </w:pPr>
    </w:p>
    <w:p>
      <w:pPr>
        <w:pStyle w:val="4"/>
      </w:pPr>
    </w:p>
    <w:tbl>
      <w:tblPr>
        <w:tblStyle w:val="8"/>
        <w:tblW w:w="15521" w:type="dxa"/>
        <w:tblInd w:w="93" w:type="dxa"/>
        <w:tblLayout w:type="fixed"/>
        <w:tblCellMar>
          <w:top w:w="0" w:type="dxa"/>
          <w:left w:w="108" w:type="dxa"/>
          <w:bottom w:w="0" w:type="dxa"/>
          <w:right w:w="108" w:type="dxa"/>
        </w:tblCellMar>
      </w:tblPr>
      <w:tblGrid>
        <w:gridCol w:w="3322"/>
        <w:gridCol w:w="675"/>
        <w:gridCol w:w="1365"/>
        <w:gridCol w:w="323"/>
        <w:gridCol w:w="2890"/>
        <w:gridCol w:w="626"/>
        <w:gridCol w:w="433"/>
        <w:gridCol w:w="1560"/>
        <w:gridCol w:w="1383"/>
        <w:gridCol w:w="1383"/>
        <w:gridCol w:w="1561"/>
      </w:tblGrid>
      <w:tr>
        <w:tblPrEx>
          <w:tblCellMar>
            <w:top w:w="0" w:type="dxa"/>
            <w:left w:w="108" w:type="dxa"/>
            <w:bottom w:w="0" w:type="dxa"/>
            <w:right w:w="108" w:type="dxa"/>
          </w:tblCellMar>
        </w:tblPrEx>
        <w:trPr>
          <w:trHeight w:val="285" w:hRule="atLeast"/>
        </w:trPr>
        <w:tc>
          <w:tcPr>
            <w:tcW w:w="3322"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67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688"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16"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60"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8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8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6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3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7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3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32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道县医疗保障局</w:t>
            </w:r>
          </w:p>
        </w:tc>
        <w:tc>
          <w:tcPr>
            <w:tcW w:w="67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3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36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159"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2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6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39,973.90</w:t>
            </w: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31.79</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31.79</w:t>
            </w: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79.91</w:t>
            </w: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264.39</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264.39</w:t>
            </w: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39,844.69</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39,844.69</w:t>
            </w: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79.91</w:t>
            </w: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79.91</w:t>
            </w: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40,053.81</w:t>
            </w: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40,220.78</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40,140.87</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79.91</w:t>
            </w: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166.97</w:t>
            </w:r>
          </w:p>
        </w:tc>
        <w:tc>
          <w:tcPr>
            <w:tcW w:w="321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166.97</w:t>
            </w:r>
          </w:p>
        </w:tc>
        <w:tc>
          <w:tcPr>
            <w:tcW w:w="3213"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3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213"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2"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67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40,220.78</w:t>
            </w:r>
          </w:p>
        </w:tc>
        <w:tc>
          <w:tcPr>
            <w:tcW w:w="3213"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5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6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40,220.78</w:t>
            </w:r>
          </w:p>
        </w:tc>
        <w:tc>
          <w:tcPr>
            <w:tcW w:w="138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40,140.87</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79.91</w:t>
            </w: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pStyle w:val="4"/>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道县医疗保障局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986"/>
        <w:gridCol w:w="1004"/>
        <w:gridCol w:w="3275"/>
        <w:gridCol w:w="2839"/>
        <w:gridCol w:w="3286"/>
        <w:gridCol w:w="2829"/>
      </w:tblGrid>
      <w:tr>
        <w:tblPrEx>
          <w:tblCellMar>
            <w:top w:w="0" w:type="dxa"/>
            <w:left w:w="108" w:type="dxa"/>
            <w:bottom w:w="0" w:type="dxa"/>
            <w:right w:w="108" w:type="dxa"/>
          </w:tblCellMar>
        </w:tblPrEx>
        <w:trPr>
          <w:trHeight w:val="405" w:hRule="atLeast"/>
          <w:jc w:val="center"/>
        </w:trPr>
        <w:tc>
          <w:tcPr>
            <w:tcW w:w="526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54"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9"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6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6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40,140.87</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38,511.61</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1,629.25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31.79</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31.79</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31.79</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31.79</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27.65</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27.65</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4.14</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4.14</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264.39</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264.39</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251.39</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251.39</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2089999</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251.39</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251.39</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39,844.69</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38,215.43</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1,629.25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21001</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卫生健康管理事务</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12.06</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2100101</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12.06</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6.50</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2101199</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6.50</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21012</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36,901.62</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36,901.62</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2101202</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36,647.27</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36,647.27</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2101299</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财政对其他基本医疗保险基金的补助</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254.35</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254.35</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21013</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医疗救助</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1,629.25</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1,629.25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2101301</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561.03</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561.03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2101399</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其他医疗救助支出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1,068.22</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1,068.22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21015</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医疗保障管理事务</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1,295.25</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1,295.25</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2101501</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429.51</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429.51</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2101505</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医疗保障政策管理</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2101506</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医疗保障经办事务</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16.10</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2101599</w:t>
            </w:r>
          </w:p>
        </w:tc>
        <w:tc>
          <w:tcPr>
            <w:tcW w:w="427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其他医疗保障管理事务支出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839.64</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839.64</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tblInd w:w="0" w:type="dxa"/>
        <w:tblLayout w:type="autofit"/>
        <w:tblCellMar>
          <w:top w:w="0" w:type="dxa"/>
          <w:left w:w="108" w:type="dxa"/>
          <w:bottom w:w="0" w:type="dxa"/>
          <w:right w:w="108" w:type="dxa"/>
        </w:tblCellMar>
      </w:tblPr>
      <w:tblGrid>
        <w:gridCol w:w="1260"/>
        <w:gridCol w:w="3148"/>
        <w:gridCol w:w="1138"/>
        <w:gridCol w:w="1152"/>
        <w:gridCol w:w="2171"/>
        <w:gridCol w:w="830"/>
        <w:gridCol w:w="1153"/>
        <w:gridCol w:w="3931"/>
        <w:gridCol w:w="831"/>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lang w:val="en-US" w:eastAsia="zh-CN"/>
              </w:rPr>
              <w:t>道县医疗保障局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432.43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126.17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180.78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11.64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117.55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15.94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13.51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36.57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53.04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24.62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10.67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37,953.01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12.55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37,953.01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15.84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18.69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23.79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38,385.44</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126.17</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道县医疗保障局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12.55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12.55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道县医疗保障局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8"/>
        <w:gridCol w:w="1239"/>
        <w:gridCol w:w="1859"/>
        <w:gridCol w:w="1890"/>
        <w:gridCol w:w="1890"/>
        <w:gridCol w:w="1859"/>
        <w:gridCol w:w="1890"/>
        <w:gridCol w:w="18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93"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3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4"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9" w:type="dxa"/>
            <w:vMerge w:val="continue"/>
            <w:vAlign w:val="center"/>
          </w:tcPr>
          <w:p>
            <w:pPr>
              <w:widowControl/>
              <w:jc w:val="left"/>
              <w:rPr>
                <w:rFonts w:ascii="Times New Roman" w:hAnsi="Times New Roman" w:eastAsia="仿宋_GB2312" w:cs="Times New Roman"/>
                <w:b/>
                <w:kern w:val="0"/>
                <w:szCs w:val="21"/>
              </w:rPr>
            </w:pPr>
          </w:p>
        </w:tc>
        <w:tc>
          <w:tcPr>
            <w:tcW w:w="1890" w:type="dxa"/>
            <w:vMerge w:val="continue"/>
            <w:vAlign w:val="center"/>
          </w:tcPr>
          <w:p>
            <w:pPr>
              <w:widowControl/>
              <w:jc w:val="left"/>
              <w:rPr>
                <w:rFonts w:ascii="Times New Roman" w:hAnsi="Times New Roman" w:eastAsia="仿宋_GB2312" w:cs="Times New Roman"/>
                <w:b/>
                <w:kern w:val="0"/>
                <w:szCs w:val="21"/>
              </w:rPr>
            </w:pPr>
          </w:p>
        </w:tc>
        <w:tc>
          <w:tcPr>
            <w:tcW w:w="189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5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9"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4" w:type="dxa"/>
            <w:gridSpan w:val="2"/>
            <w:vMerge w:val="continue"/>
            <w:vAlign w:val="center"/>
          </w:tcPr>
          <w:p>
            <w:pPr>
              <w:widowControl/>
              <w:jc w:val="left"/>
              <w:rPr>
                <w:rFonts w:ascii="Times New Roman" w:hAnsi="Times New Roman" w:eastAsia="仿宋_GB2312" w:cs="Times New Roman"/>
                <w:kern w:val="0"/>
                <w:szCs w:val="21"/>
              </w:rPr>
            </w:pPr>
          </w:p>
        </w:tc>
        <w:tc>
          <w:tcPr>
            <w:tcW w:w="1239" w:type="dxa"/>
            <w:vMerge w:val="continue"/>
            <w:vAlign w:val="center"/>
          </w:tcPr>
          <w:p>
            <w:pPr>
              <w:widowControl/>
              <w:jc w:val="left"/>
              <w:rPr>
                <w:rFonts w:ascii="Times New Roman" w:hAnsi="Times New Roman" w:eastAsia="仿宋_GB2312" w:cs="Times New Roman"/>
                <w:kern w:val="0"/>
                <w:szCs w:val="21"/>
              </w:rPr>
            </w:pPr>
          </w:p>
        </w:tc>
        <w:tc>
          <w:tcPr>
            <w:tcW w:w="1859" w:type="dxa"/>
            <w:vMerge w:val="continue"/>
            <w:vAlign w:val="center"/>
          </w:tcPr>
          <w:p>
            <w:pPr>
              <w:widowControl/>
              <w:jc w:val="left"/>
              <w:rPr>
                <w:rFonts w:ascii="Times New Roman" w:hAnsi="Times New Roman" w:eastAsia="仿宋_GB2312" w:cs="Times New Roman"/>
                <w:kern w:val="0"/>
                <w:szCs w:val="21"/>
              </w:rPr>
            </w:pPr>
          </w:p>
        </w:tc>
        <w:tc>
          <w:tcPr>
            <w:tcW w:w="1890" w:type="dxa"/>
            <w:vMerge w:val="continue"/>
            <w:vAlign w:val="center"/>
          </w:tcPr>
          <w:p>
            <w:pPr>
              <w:widowControl/>
              <w:jc w:val="left"/>
              <w:rPr>
                <w:rFonts w:ascii="Times New Roman" w:hAnsi="Times New Roman" w:eastAsia="仿宋_GB2312" w:cs="Times New Roman"/>
                <w:kern w:val="0"/>
                <w:szCs w:val="21"/>
              </w:rPr>
            </w:pPr>
          </w:p>
        </w:tc>
        <w:tc>
          <w:tcPr>
            <w:tcW w:w="1890" w:type="dxa"/>
            <w:vMerge w:val="continue"/>
            <w:vAlign w:val="center"/>
          </w:tcPr>
          <w:p>
            <w:pPr>
              <w:widowControl/>
              <w:jc w:val="left"/>
              <w:rPr>
                <w:rFonts w:ascii="Times New Roman" w:hAnsi="Times New Roman" w:eastAsia="仿宋_GB2312" w:cs="Times New Roman"/>
                <w:kern w:val="0"/>
                <w:szCs w:val="21"/>
              </w:rPr>
            </w:pPr>
          </w:p>
        </w:tc>
        <w:tc>
          <w:tcPr>
            <w:tcW w:w="1859" w:type="dxa"/>
            <w:vMerge w:val="continue"/>
            <w:vAlign w:val="center"/>
          </w:tcPr>
          <w:p>
            <w:pPr>
              <w:widowControl/>
              <w:jc w:val="left"/>
              <w:rPr>
                <w:rFonts w:ascii="Times New Roman" w:hAnsi="Times New Roman" w:eastAsia="仿宋_GB2312" w:cs="Times New Roman"/>
                <w:kern w:val="0"/>
                <w:szCs w:val="21"/>
              </w:rPr>
            </w:pPr>
          </w:p>
        </w:tc>
        <w:tc>
          <w:tcPr>
            <w:tcW w:w="1890" w:type="dxa"/>
            <w:vMerge w:val="continue"/>
            <w:vAlign w:val="center"/>
          </w:tcPr>
          <w:p>
            <w:pPr>
              <w:widowControl/>
              <w:jc w:val="left"/>
              <w:rPr>
                <w:rFonts w:ascii="Times New Roman" w:hAnsi="Times New Roman" w:eastAsia="仿宋_GB2312" w:cs="Times New Roman"/>
                <w:kern w:val="0"/>
                <w:szCs w:val="21"/>
              </w:rPr>
            </w:pPr>
          </w:p>
        </w:tc>
        <w:tc>
          <w:tcPr>
            <w:tcW w:w="1859"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4" w:type="dxa"/>
            <w:gridSpan w:val="2"/>
            <w:vMerge w:val="continue"/>
            <w:vAlign w:val="center"/>
          </w:tcPr>
          <w:p>
            <w:pPr>
              <w:widowControl/>
              <w:jc w:val="left"/>
              <w:rPr>
                <w:rFonts w:ascii="Times New Roman" w:hAnsi="Times New Roman" w:eastAsia="仿宋_GB2312" w:cs="Times New Roman"/>
                <w:kern w:val="0"/>
                <w:szCs w:val="21"/>
              </w:rPr>
            </w:pPr>
          </w:p>
        </w:tc>
        <w:tc>
          <w:tcPr>
            <w:tcW w:w="1239" w:type="dxa"/>
            <w:vMerge w:val="continue"/>
            <w:vAlign w:val="center"/>
          </w:tcPr>
          <w:p>
            <w:pPr>
              <w:widowControl/>
              <w:jc w:val="left"/>
              <w:rPr>
                <w:rFonts w:ascii="Times New Roman" w:hAnsi="Times New Roman" w:eastAsia="仿宋_GB2312" w:cs="Times New Roman"/>
                <w:kern w:val="0"/>
                <w:szCs w:val="21"/>
              </w:rPr>
            </w:pPr>
          </w:p>
        </w:tc>
        <w:tc>
          <w:tcPr>
            <w:tcW w:w="1859" w:type="dxa"/>
            <w:vMerge w:val="continue"/>
            <w:vAlign w:val="center"/>
          </w:tcPr>
          <w:p>
            <w:pPr>
              <w:widowControl/>
              <w:jc w:val="left"/>
              <w:rPr>
                <w:rFonts w:ascii="Times New Roman" w:hAnsi="Times New Roman" w:eastAsia="仿宋_GB2312" w:cs="Times New Roman"/>
                <w:kern w:val="0"/>
                <w:szCs w:val="21"/>
              </w:rPr>
            </w:pPr>
          </w:p>
        </w:tc>
        <w:tc>
          <w:tcPr>
            <w:tcW w:w="1890" w:type="dxa"/>
            <w:vMerge w:val="continue"/>
            <w:vAlign w:val="center"/>
          </w:tcPr>
          <w:p>
            <w:pPr>
              <w:widowControl/>
              <w:jc w:val="left"/>
              <w:rPr>
                <w:rFonts w:ascii="Times New Roman" w:hAnsi="Times New Roman" w:eastAsia="仿宋_GB2312" w:cs="Times New Roman"/>
                <w:kern w:val="0"/>
                <w:szCs w:val="21"/>
              </w:rPr>
            </w:pPr>
          </w:p>
        </w:tc>
        <w:tc>
          <w:tcPr>
            <w:tcW w:w="1890" w:type="dxa"/>
            <w:vMerge w:val="continue"/>
            <w:vAlign w:val="center"/>
          </w:tcPr>
          <w:p>
            <w:pPr>
              <w:widowControl/>
              <w:jc w:val="left"/>
              <w:rPr>
                <w:rFonts w:ascii="Times New Roman" w:hAnsi="Times New Roman" w:eastAsia="仿宋_GB2312" w:cs="Times New Roman"/>
                <w:kern w:val="0"/>
                <w:szCs w:val="21"/>
              </w:rPr>
            </w:pPr>
          </w:p>
        </w:tc>
        <w:tc>
          <w:tcPr>
            <w:tcW w:w="1859" w:type="dxa"/>
            <w:vMerge w:val="continue"/>
            <w:vAlign w:val="center"/>
          </w:tcPr>
          <w:p>
            <w:pPr>
              <w:widowControl/>
              <w:jc w:val="left"/>
              <w:rPr>
                <w:rFonts w:ascii="Times New Roman" w:hAnsi="Times New Roman" w:eastAsia="仿宋_GB2312" w:cs="Times New Roman"/>
                <w:kern w:val="0"/>
                <w:szCs w:val="21"/>
              </w:rPr>
            </w:pPr>
          </w:p>
        </w:tc>
        <w:tc>
          <w:tcPr>
            <w:tcW w:w="1890" w:type="dxa"/>
            <w:vMerge w:val="continue"/>
            <w:vAlign w:val="center"/>
          </w:tcPr>
          <w:p>
            <w:pPr>
              <w:widowControl/>
              <w:jc w:val="left"/>
              <w:rPr>
                <w:rFonts w:ascii="Times New Roman" w:hAnsi="Times New Roman" w:eastAsia="仿宋_GB2312" w:cs="Times New Roman"/>
                <w:kern w:val="0"/>
                <w:szCs w:val="21"/>
              </w:rPr>
            </w:pPr>
          </w:p>
        </w:tc>
        <w:tc>
          <w:tcPr>
            <w:tcW w:w="1859"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93"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59"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59"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59"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93"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9" w:type="dxa"/>
            <w:shd w:val="clear" w:color="auto" w:fill="auto"/>
            <w:vAlign w:val="center"/>
          </w:tcPr>
          <w:p>
            <w:pPr>
              <w:jc w:val="right"/>
              <w:rPr>
                <w:rFonts w:ascii="Times New Roman" w:hAnsi="Times New Roman" w:eastAsia="仿宋_GB2312" w:cs="Times New Roman"/>
                <w:kern w:val="0"/>
                <w:szCs w:val="21"/>
              </w:rPr>
            </w:pP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79.91</w:t>
            </w: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79.91</w:t>
            </w:r>
          </w:p>
        </w:tc>
        <w:tc>
          <w:tcPr>
            <w:tcW w:w="1859" w:type="dxa"/>
            <w:shd w:val="clear" w:color="auto" w:fill="auto"/>
            <w:vAlign w:val="center"/>
          </w:tcPr>
          <w:p>
            <w:pPr>
              <w:jc w:val="right"/>
              <w:rPr>
                <w:rFonts w:ascii="Times New Roman" w:hAnsi="Times New Roman" w:eastAsia="仿宋_GB2312" w:cs="Times New Roman"/>
                <w:kern w:val="0"/>
                <w:szCs w:val="21"/>
              </w:rPr>
            </w:pP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79.91</w:t>
            </w:r>
          </w:p>
        </w:tc>
        <w:tc>
          <w:tcPr>
            <w:tcW w:w="1859"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w:t>
            </w:r>
          </w:p>
        </w:tc>
        <w:tc>
          <w:tcPr>
            <w:tcW w:w="2207"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其他支出</w:t>
            </w:r>
          </w:p>
        </w:tc>
        <w:tc>
          <w:tcPr>
            <w:tcW w:w="1859" w:type="dxa"/>
            <w:shd w:val="clear" w:color="auto" w:fill="auto"/>
            <w:vAlign w:val="center"/>
          </w:tcPr>
          <w:p>
            <w:pPr>
              <w:jc w:val="right"/>
              <w:rPr>
                <w:rFonts w:ascii="Times New Roman" w:hAnsi="Times New Roman" w:eastAsia="仿宋_GB2312" w:cs="Times New Roman"/>
                <w:kern w:val="0"/>
                <w:szCs w:val="21"/>
              </w:rPr>
            </w:pP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79.91</w:t>
            </w: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79.91</w:t>
            </w:r>
          </w:p>
        </w:tc>
        <w:tc>
          <w:tcPr>
            <w:tcW w:w="1859" w:type="dxa"/>
            <w:shd w:val="clear" w:color="auto" w:fill="auto"/>
            <w:vAlign w:val="center"/>
          </w:tcPr>
          <w:p>
            <w:pPr>
              <w:jc w:val="right"/>
              <w:rPr>
                <w:rFonts w:ascii="Times New Roman" w:hAnsi="Times New Roman" w:eastAsia="仿宋_GB2312" w:cs="Times New Roman"/>
                <w:kern w:val="0"/>
                <w:szCs w:val="21"/>
              </w:rPr>
            </w:pP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79.91</w:t>
            </w:r>
          </w:p>
        </w:tc>
        <w:tc>
          <w:tcPr>
            <w:tcW w:w="1859"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22960</w:t>
            </w:r>
          </w:p>
        </w:tc>
        <w:tc>
          <w:tcPr>
            <w:tcW w:w="2207"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859" w:type="dxa"/>
            <w:shd w:val="clear" w:color="auto" w:fill="auto"/>
            <w:vAlign w:val="center"/>
          </w:tcPr>
          <w:p>
            <w:pPr>
              <w:jc w:val="right"/>
              <w:rPr>
                <w:rFonts w:ascii="Times New Roman" w:hAnsi="Times New Roman" w:eastAsia="仿宋_GB2312" w:cs="Times New Roman"/>
                <w:kern w:val="0"/>
                <w:szCs w:val="21"/>
              </w:rPr>
            </w:pP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79.91</w:t>
            </w: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79.91</w:t>
            </w:r>
          </w:p>
        </w:tc>
        <w:tc>
          <w:tcPr>
            <w:tcW w:w="1859" w:type="dxa"/>
            <w:shd w:val="clear" w:color="auto" w:fill="auto"/>
            <w:vAlign w:val="center"/>
          </w:tcPr>
          <w:p>
            <w:pPr>
              <w:jc w:val="right"/>
              <w:rPr>
                <w:rFonts w:ascii="Times New Roman" w:hAnsi="Times New Roman" w:eastAsia="仿宋_GB2312" w:cs="Times New Roman"/>
                <w:kern w:val="0"/>
                <w:szCs w:val="21"/>
              </w:rPr>
            </w:pP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79.91</w:t>
            </w:r>
          </w:p>
        </w:tc>
        <w:tc>
          <w:tcPr>
            <w:tcW w:w="1859"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2296013</w:t>
            </w:r>
          </w:p>
        </w:tc>
        <w:tc>
          <w:tcPr>
            <w:tcW w:w="2207"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1859" w:type="dxa"/>
            <w:shd w:val="clear" w:color="auto" w:fill="auto"/>
            <w:vAlign w:val="center"/>
          </w:tcPr>
          <w:p>
            <w:pPr>
              <w:jc w:val="right"/>
              <w:rPr>
                <w:rFonts w:ascii="Times New Roman" w:hAnsi="Times New Roman" w:eastAsia="仿宋_GB2312" w:cs="Times New Roman"/>
                <w:kern w:val="0"/>
                <w:szCs w:val="21"/>
              </w:rPr>
            </w:pP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79.91</w:t>
            </w: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79.91</w:t>
            </w:r>
          </w:p>
        </w:tc>
        <w:tc>
          <w:tcPr>
            <w:tcW w:w="1859" w:type="dxa"/>
            <w:shd w:val="clear" w:color="auto" w:fill="auto"/>
            <w:vAlign w:val="center"/>
          </w:tcPr>
          <w:p>
            <w:pPr>
              <w:jc w:val="right"/>
              <w:rPr>
                <w:rFonts w:ascii="Times New Roman" w:hAnsi="Times New Roman" w:eastAsia="仿宋_GB2312" w:cs="Times New Roman"/>
                <w:kern w:val="0"/>
                <w:szCs w:val="21"/>
              </w:rPr>
            </w:pPr>
          </w:p>
        </w:tc>
        <w:tc>
          <w:tcPr>
            <w:tcW w:w="189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79.91</w:t>
            </w:r>
          </w:p>
        </w:tc>
        <w:tc>
          <w:tcPr>
            <w:tcW w:w="1859"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道县医疗保障局</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ind w:left="480" w:hanging="480" w:hangingChars="20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注：本表反映部门本年度国有资本经营预算财政拨款支出情况。</w:t>
            </w:r>
            <w:r>
              <w:rPr>
                <w:rFonts w:hint="eastAsia" w:ascii="宋体" w:hAnsi="宋体" w:eastAsia="宋体" w:cs="宋体"/>
                <w:kern w:val="0"/>
                <w:sz w:val="24"/>
                <w:szCs w:val="24"/>
                <w:lang w:val="en-US" w:eastAsia="zh-CN"/>
              </w:rPr>
              <w:t xml:space="preserve">                                                             道县医疗保障局无</w:t>
            </w:r>
            <w:r>
              <w:rPr>
                <w:rFonts w:hint="eastAsia" w:ascii="宋体" w:hAnsi="宋体" w:eastAsia="宋体" w:cs="宋体"/>
                <w:kern w:val="0"/>
                <w:sz w:val="24"/>
                <w:szCs w:val="24"/>
              </w:rPr>
              <w:t>国有资本经营</w:t>
            </w:r>
            <w:r>
              <w:rPr>
                <w:rFonts w:hint="eastAsia" w:ascii="宋体" w:hAnsi="宋体" w:eastAsia="宋体" w:cs="宋体"/>
                <w:kern w:val="0"/>
                <w:sz w:val="24"/>
                <w:szCs w:val="24"/>
                <w:lang w:val="en-US" w:eastAsia="zh-CN"/>
              </w:rPr>
              <w:t>收入，也没有安排</w:t>
            </w:r>
            <w:r>
              <w:rPr>
                <w:rFonts w:hint="eastAsia" w:ascii="宋体" w:hAnsi="宋体" w:eastAsia="宋体" w:cs="宋体"/>
                <w:kern w:val="0"/>
                <w:sz w:val="24"/>
                <w:szCs w:val="24"/>
              </w:rPr>
              <w:t>国有资本经营</w:t>
            </w:r>
            <w:r>
              <w:rPr>
                <w:rFonts w:hint="eastAsia" w:ascii="宋体" w:hAnsi="宋体" w:eastAsia="宋体" w:cs="宋体"/>
                <w:kern w:val="0"/>
                <w:sz w:val="24"/>
                <w:szCs w:val="24"/>
                <w:lang w:val="en-US" w:eastAsia="zh-CN"/>
              </w:rPr>
              <w:t>支出，故本表无数据。</w:t>
            </w: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ind w:firstLine="640" w:firstLineChars="200"/>
        <w:rPr>
          <w:rFonts w:hAnsi="黑体"/>
          <w:b/>
          <w:sz w:val="32"/>
          <w:szCs w:val="32"/>
        </w:rPr>
      </w:pPr>
      <w:r>
        <w:rPr>
          <w:rFonts w:hint="eastAsia" w:hAnsi="黑体"/>
          <w:b/>
          <w:sz w:val="32"/>
          <w:szCs w:val="32"/>
        </w:rPr>
        <w:t>一、收入支出决算总体情况说明</w:t>
      </w:r>
    </w:p>
    <w:p>
      <w:pPr>
        <w:pStyle w:val="12"/>
        <w:ind w:firstLine="640" w:firstLineChars="200"/>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2021年度收入总计40053.81万元、支出总计40220.78万元。与上年相比，收入增加244.51万元，增长0.61%，主要是因为城乡居民基本医疗保险基金收支比上年增加。</w:t>
      </w:r>
    </w:p>
    <w:p>
      <w:pPr>
        <w:pStyle w:val="12"/>
        <w:ind w:firstLine="640" w:firstLineChars="200"/>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cstheme="minorBidi"/>
          <w:bCs/>
          <w:color w:val="auto"/>
          <w:kern w:val="0"/>
          <w:sz w:val="32"/>
          <w:szCs w:val="32"/>
          <w:lang w:val="en-US" w:eastAsia="zh-CN" w:bidi="ar-SA"/>
        </w:rPr>
        <w:t>2021年度收入合计40053.81万元，其中：财政拨款收入40053.81万元，占100%；上级补助收入0万元，占0%；事业收入0万元，占0%；经营收入0万元，占0%；附属单位上缴收入0万元，占0%；其他收入0万元，占0%。</w:t>
      </w:r>
    </w:p>
    <w:p>
      <w:pPr>
        <w:pStyle w:val="12"/>
        <w:ind w:firstLine="640" w:firstLineChars="200"/>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highlight w:val="none"/>
          <w:lang w:val="en-US" w:eastAsia="zh-CN"/>
        </w:rPr>
        <w:t>40220.78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38511.61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95.75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1709.16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4.25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numPr>
          <w:ilvl w:val="0"/>
          <w:numId w:val="2"/>
        </w:numPr>
        <w:ind w:firstLine="640" w:firstLineChars="200"/>
        <w:rPr>
          <w:rFonts w:hint="eastAsia" w:hAnsi="黑体"/>
          <w:b/>
          <w:sz w:val="32"/>
          <w:szCs w:val="32"/>
        </w:rPr>
      </w:pPr>
      <w:r>
        <w:rPr>
          <w:rFonts w:hint="eastAsia" w:hAnsi="黑体"/>
          <w:b/>
          <w:sz w:val="32"/>
          <w:szCs w:val="32"/>
        </w:rPr>
        <w:t>财政拨款收入支出决算总体情况说明</w:t>
      </w:r>
    </w:p>
    <w:p>
      <w:pPr>
        <w:pStyle w:val="12"/>
        <w:ind w:firstLine="640" w:firstLineChars="200"/>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2021年度财政拨款收入总计40053.81万元、支出总计40220.78万元。与上年相比，收入增加244.51万元，增长0.61%，主要是因为城乡居民基本医疗保险基金收入比上年增加。</w:t>
      </w:r>
    </w:p>
    <w:p>
      <w:pPr>
        <w:pStyle w:val="12"/>
        <w:ind w:firstLine="640" w:firstLineChars="200"/>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40140.87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99.80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481.24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highlight w:val="none"/>
          <w:lang w:val="en-US" w:eastAsia="zh-CN"/>
        </w:rPr>
        <w:t>城乡居民基本医疗保险基金支出比上年增加。</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eastAsia" w:ascii="宋体" w:hAnsi="宋体" w:eastAsia="宋体" w:cs="宋体"/>
          <w:i w:val="0"/>
          <w:iCs w:val="0"/>
          <w:caps w:val="0"/>
          <w:color w:val="000000"/>
          <w:spacing w:val="0"/>
          <w:sz w:val="27"/>
          <w:szCs w:val="27"/>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40140.87</w:t>
      </w:r>
      <w:r>
        <w:rPr>
          <w:rFonts w:hint="eastAsia" w:asciiTheme="minorEastAsia" w:hAnsiTheme="minorEastAsia" w:eastAsiaTheme="minorEastAsia"/>
          <w:sz w:val="32"/>
          <w:szCs w:val="32"/>
        </w:rPr>
        <w:t>万元，主要用于以下方面：</w:t>
      </w:r>
      <w:r>
        <w:rPr>
          <w:rFonts w:hint="eastAsia" w:ascii="宋体" w:hAnsi="宋体" w:eastAsia="宋体" w:cs="宋体"/>
          <w:i w:val="0"/>
          <w:iCs w:val="0"/>
          <w:caps w:val="0"/>
          <w:color w:val="000000"/>
          <w:spacing w:val="0"/>
          <w:sz w:val="32"/>
          <w:szCs w:val="32"/>
        </w:rPr>
        <w:t>一般公共服务支出</w:t>
      </w:r>
      <w:r>
        <w:rPr>
          <w:rFonts w:hint="eastAsia" w:ascii="宋体" w:hAnsi="宋体" w:eastAsia="宋体" w:cs="宋体"/>
          <w:i w:val="0"/>
          <w:iCs w:val="0"/>
          <w:caps w:val="0"/>
          <w:color w:val="000000"/>
          <w:spacing w:val="0"/>
          <w:sz w:val="32"/>
          <w:szCs w:val="32"/>
          <w:lang w:val="en-US" w:eastAsia="zh-CN"/>
        </w:rPr>
        <w:t>31.79</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0.08</w:t>
      </w:r>
      <w:r>
        <w:rPr>
          <w:rFonts w:hint="eastAsia" w:ascii="宋体" w:hAnsi="宋体" w:eastAsia="宋体" w:cs="宋体"/>
          <w:i w:val="0"/>
          <w:iCs w:val="0"/>
          <w:caps w:val="0"/>
          <w:color w:val="000000"/>
          <w:spacing w:val="0"/>
          <w:sz w:val="32"/>
          <w:szCs w:val="32"/>
        </w:rPr>
        <w:t>%；社会保障和就业支出</w:t>
      </w:r>
      <w:r>
        <w:rPr>
          <w:rFonts w:hint="eastAsia" w:ascii="宋体" w:hAnsi="宋体" w:eastAsia="宋体" w:cs="宋体"/>
          <w:i w:val="0"/>
          <w:iCs w:val="0"/>
          <w:caps w:val="0"/>
          <w:color w:val="000000"/>
          <w:spacing w:val="0"/>
          <w:sz w:val="32"/>
          <w:szCs w:val="32"/>
          <w:lang w:val="en-US" w:eastAsia="zh-CN"/>
        </w:rPr>
        <w:t>264.39</w:t>
      </w:r>
      <w:r>
        <w:rPr>
          <w:rFonts w:hint="eastAsia" w:ascii="宋体" w:hAnsi="宋体" w:eastAsia="宋体" w:cs="宋体"/>
          <w:i w:val="0"/>
          <w:iCs w:val="0"/>
          <w:caps w:val="0"/>
          <w:color w:val="000000"/>
          <w:spacing w:val="0"/>
          <w:sz w:val="32"/>
          <w:szCs w:val="32"/>
        </w:rPr>
        <w:t>万元，占0.</w:t>
      </w:r>
      <w:r>
        <w:rPr>
          <w:rFonts w:hint="eastAsia" w:ascii="宋体" w:hAnsi="宋体" w:eastAsia="宋体" w:cs="宋体"/>
          <w:i w:val="0"/>
          <w:iCs w:val="0"/>
          <w:caps w:val="0"/>
          <w:color w:val="000000"/>
          <w:spacing w:val="0"/>
          <w:sz w:val="32"/>
          <w:szCs w:val="32"/>
          <w:lang w:val="en-US" w:eastAsia="zh-CN"/>
        </w:rPr>
        <w:t>66</w:t>
      </w:r>
      <w:r>
        <w:rPr>
          <w:rFonts w:hint="eastAsia" w:ascii="宋体" w:hAnsi="宋体" w:eastAsia="宋体" w:cs="宋体"/>
          <w:i w:val="0"/>
          <w:iCs w:val="0"/>
          <w:caps w:val="0"/>
          <w:color w:val="000000"/>
          <w:spacing w:val="0"/>
          <w:sz w:val="32"/>
          <w:szCs w:val="32"/>
        </w:rPr>
        <w:t>%；卫生健康支出</w:t>
      </w:r>
      <w:r>
        <w:rPr>
          <w:rFonts w:hint="eastAsia" w:ascii="宋体" w:hAnsi="宋体" w:eastAsia="宋体" w:cs="宋体"/>
          <w:i w:val="0"/>
          <w:iCs w:val="0"/>
          <w:caps w:val="0"/>
          <w:color w:val="000000"/>
          <w:spacing w:val="0"/>
          <w:sz w:val="32"/>
          <w:szCs w:val="32"/>
          <w:lang w:val="en-US" w:eastAsia="zh-CN"/>
        </w:rPr>
        <w:t>39844.69</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99.26</w:t>
      </w:r>
      <w:r>
        <w:rPr>
          <w:rFonts w:hint="eastAsia"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27"/>
          <w:szCs w:val="27"/>
        </w:rPr>
        <w:t> </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5191.34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40140.87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773.23</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1、一般公共服务支出（类）政府办公厅（室）及相关机构事务（款）行政运行（项）。</w:t>
      </w:r>
    </w:p>
    <w:p>
      <w:pPr>
        <w:pStyle w:val="12"/>
        <w:ind w:firstLine="800" w:firstLineChars="250"/>
        <w:rPr>
          <w:rFonts w:hint="eastAsia" w:ascii="宋体" w:hAnsi="宋体" w:cs="宋体" w:eastAsiaTheme="minorEastAsia"/>
          <w:i w:val="0"/>
          <w:iCs w:val="0"/>
          <w:caps w:val="0"/>
          <w:color w:val="000000"/>
          <w:spacing w:val="0"/>
          <w:sz w:val="25"/>
          <w:szCs w:val="25"/>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无法计算完成比率</w:t>
      </w:r>
      <w:r>
        <w:rPr>
          <w:rFonts w:hint="eastAsia" w:asciiTheme="minorEastAsia" w:hAnsiTheme="minorEastAsia" w:eastAsiaTheme="minorEastAsia"/>
          <w:sz w:val="32"/>
          <w:szCs w:val="32"/>
        </w:rPr>
        <w:t>，决算数大于年初预算数的主要原因是：依据实际情况发放</w:t>
      </w:r>
      <w:r>
        <w:rPr>
          <w:rFonts w:hint="eastAsia" w:asciiTheme="minorEastAsia" w:hAnsiTheme="minorEastAsia" w:eastAsiaTheme="minorEastAsia"/>
          <w:sz w:val="32"/>
          <w:szCs w:val="32"/>
          <w:lang w:val="en-US" w:eastAsia="zh-CN"/>
        </w:rPr>
        <w:t>事业</w:t>
      </w:r>
      <w:r>
        <w:rPr>
          <w:rFonts w:hint="eastAsia" w:asciiTheme="minorEastAsia" w:hAnsiTheme="minorEastAsia" w:eastAsiaTheme="minorEastAsia"/>
          <w:sz w:val="32"/>
          <w:szCs w:val="32"/>
        </w:rPr>
        <w:t>30%绩效</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奖金</w:t>
      </w:r>
      <w:r>
        <w:rPr>
          <w:rFonts w:hint="eastAsia" w:asciiTheme="minorEastAsia" w:hAnsiTheme="minorEastAsia" w:eastAsiaTheme="minorEastAsia"/>
          <w:sz w:val="32"/>
          <w:szCs w:val="32"/>
          <w:lang w:val="en-US" w:eastAsia="zh-CN"/>
        </w:rPr>
        <w:t>和缴纳职工医疗、养老保险金。</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2、一般公共服务支出（类）政府办公厅（室）及相关机构事务（款）其他政府办公厅（室）及相关机构事务支出（项）。</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4.14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无法计算完成比率</w:t>
      </w:r>
      <w:r>
        <w:rPr>
          <w:rFonts w:hint="eastAsia" w:asciiTheme="minorEastAsia" w:hAnsiTheme="minorEastAsia" w:eastAsiaTheme="minorEastAsia"/>
          <w:sz w:val="32"/>
          <w:szCs w:val="32"/>
        </w:rPr>
        <w:t>，决算数大于年初预算数的主要原因是：依据</w:t>
      </w:r>
      <w:r>
        <w:rPr>
          <w:rFonts w:hint="eastAsia" w:asciiTheme="minorEastAsia" w:hAnsiTheme="minorEastAsia" w:eastAsiaTheme="minorEastAsia"/>
          <w:sz w:val="32"/>
          <w:szCs w:val="32"/>
          <w:lang w:val="en-US" w:eastAsia="zh-CN"/>
        </w:rPr>
        <w:t>相关考核</w:t>
      </w:r>
      <w:r>
        <w:rPr>
          <w:rFonts w:hint="eastAsia" w:asciiTheme="minorEastAsia" w:hAnsiTheme="minorEastAsia" w:eastAsiaTheme="minorEastAsia"/>
          <w:sz w:val="32"/>
          <w:szCs w:val="32"/>
        </w:rPr>
        <w:t>情况发放非税收入完成奖励</w:t>
      </w:r>
      <w:r>
        <w:rPr>
          <w:rFonts w:hint="eastAsia" w:asciiTheme="minorEastAsia" w:hAnsiTheme="minorEastAsia" w:eastAsiaTheme="minorEastAsia"/>
          <w:sz w:val="32"/>
          <w:szCs w:val="32"/>
          <w:lang w:val="en-US" w:eastAsia="zh-CN"/>
        </w:rPr>
        <w:t>和市绩效考核兑现奖励。</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27"/>
          <w:szCs w:val="27"/>
        </w:rPr>
      </w:pPr>
      <w:r>
        <w:rPr>
          <w:rFonts w:hint="eastAsia" w:cs="黑体" w:asciiTheme="minorEastAsia" w:hAnsiTheme="minorEastAsia"/>
          <w:color w:val="000000"/>
          <w:kern w:val="0"/>
          <w:sz w:val="32"/>
          <w:szCs w:val="32"/>
          <w:lang w:val="en-US" w:eastAsia="zh-CN" w:bidi="ar-SA"/>
        </w:rPr>
        <w:t>3</w:t>
      </w:r>
      <w:r>
        <w:rPr>
          <w:rFonts w:hint="eastAsia" w:cs="黑体" w:asciiTheme="minorEastAsia" w:hAnsiTheme="minorEastAsia" w:eastAsiaTheme="minorEastAsia"/>
          <w:color w:val="000000"/>
          <w:kern w:val="0"/>
          <w:sz w:val="32"/>
          <w:szCs w:val="32"/>
          <w:lang w:val="en-US" w:eastAsia="zh-CN" w:bidi="ar-SA"/>
        </w:rPr>
        <w:t>、社会保障和就业支出（类）行政事业单位养老支出（款）机关事业单位基本养老保险缴费支出（项）</w:t>
      </w:r>
      <w:r>
        <w:rPr>
          <w:rFonts w:hint="eastAsia" w:ascii="宋体" w:hAnsi="宋体" w:eastAsia="宋体" w:cs="宋体"/>
          <w:i w:val="0"/>
          <w:iCs w:val="0"/>
          <w:caps w:val="0"/>
          <w:color w:val="000000"/>
          <w:spacing w:val="0"/>
          <w:sz w:val="27"/>
          <w:szCs w:val="27"/>
        </w:rPr>
        <w:t> </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w:t>
      </w:r>
      <w:r>
        <w:rPr>
          <w:rFonts w:hint="eastAsia" w:ascii="宋体" w:hAnsi="宋体" w:eastAsia="宋体" w:cs="宋体"/>
          <w:i w:val="0"/>
          <w:iCs w:val="0"/>
          <w:caps w:val="0"/>
          <w:color w:val="000000"/>
          <w:spacing w:val="0"/>
          <w:sz w:val="32"/>
          <w:szCs w:val="32"/>
          <w:lang w:val="en-US" w:eastAsia="zh-CN"/>
        </w:rPr>
        <w:t>13</w:t>
      </w:r>
      <w:r>
        <w:rPr>
          <w:rFonts w:hint="eastAsia" w:ascii="宋体" w:hAnsi="宋体" w:eastAsia="宋体" w:cs="宋体"/>
          <w:i w:val="0"/>
          <w:iCs w:val="0"/>
          <w:caps w:val="0"/>
          <w:color w:val="000000"/>
          <w:spacing w:val="0"/>
          <w:sz w:val="32"/>
          <w:szCs w:val="32"/>
        </w:rPr>
        <w:t>万元，</w:t>
      </w:r>
      <w:r>
        <w:rPr>
          <w:rFonts w:hint="eastAsia" w:asciiTheme="minorEastAsia" w:hAnsiTheme="minorEastAsia" w:eastAsiaTheme="minorEastAsia"/>
          <w:sz w:val="32"/>
          <w:szCs w:val="32"/>
          <w:lang w:val="en-US" w:eastAsia="zh-CN"/>
        </w:rPr>
        <w:t>无法计算完成比率</w:t>
      </w:r>
      <w:r>
        <w:rPr>
          <w:rFonts w:hint="eastAsia" w:ascii="宋体" w:hAnsi="宋体" w:eastAsia="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决算数大于年初预算数的主要原因是：</w:t>
      </w:r>
      <w:r>
        <w:rPr>
          <w:rFonts w:hint="eastAsia" w:ascii="宋体" w:hAnsi="宋体" w:eastAsia="宋体" w:cs="宋体"/>
          <w:i w:val="0"/>
          <w:iCs w:val="0"/>
          <w:caps w:val="0"/>
          <w:color w:val="000000"/>
          <w:spacing w:val="0"/>
          <w:sz w:val="32"/>
          <w:szCs w:val="32"/>
          <w:lang w:val="en-US" w:eastAsia="zh-CN"/>
        </w:rPr>
        <w:t>年初预算列</w:t>
      </w:r>
      <w:r>
        <w:rPr>
          <w:rFonts w:hint="eastAsia" w:ascii="宋体" w:hAnsi="宋体" w:eastAsia="宋体" w:cs="宋体"/>
          <w:i w:val="0"/>
          <w:iCs w:val="0"/>
          <w:caps w:val="0"/>
          <w:color w:val="000000"/>
          <w:spacing w:val="0"/>
          <w:sz w:val="32"/>
          <w:szCs w:val="32"/>
        </w:rPr>
        <w:t>卫生健康支出（类）医疗保障管理事务（款）行政运行（项）</w:t>
      </w:r>
      <w:r>
        <w:rPr>
          <w:rFonts w:hint="eastAsia" w:ascii="宋体" w:hAnsi="宋体" w:eastAsia="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实际支出时单列</w:t>
      </w:r>
      <w:r>
        <w:rPr>
          <w:rFonts w:hint="eastAsia" w:ascii="宋体" w:hAnsi="宋体" w:eastAsia="宋体" w:cs="宋体"/>
          <w:i w:val="0"/>
          <w:iCs w:val="0"/>
          <w:caps w:val="0"/>
          <w:color w:val="000000"/>
          <w:spacing w:val="0"/>
          <w:sz w:val="32"/>
          <w:szCs w:val="32"/>
          <w:lang w:eastAsia="zh-CN"/>
        </w:rPr>
        <w:t>“</w:t>
      </w:r>
      <w:r>
        <w:rPr>
          <w:rFonts w:hint="eastAsia" w:cs="黑体" w:asciiTheme="minorEastAsia" w:hAnsiTheme="minorEastAsia" w:eastAsiaTheme="minorEastAsia"/>
          <w:color w:val="000000"/>
          <w:kern w:val="0"/>
          <w:sz w:val="32"/>
          <w:szCs w:val="32"/>
          <w:lang w:val="en-US" w:eastAsia="zh-CN" w:bidi="ar-SA"/>
        </w:rPr>
        <w:t>机关事业单位基本养老保险缴费支出（项）</w:t>
      </w:r>
      <w:r>
        <w:rPr>
          <w:rFonts w:hint="eastAsia" w:cs="黑体" w:asciiTheme="minorEastAsia" w:hAnsiTheme="minorEastAsia"/>
          <w:color w:val="000000"/>
          <w:kern w:val="0"/>
          <w:sz w:val="32"/>
          <w:szCs w:val="32"/>
          <w:lang w:val="en-US" w:eastAsia="zh-CN" w:bidi="ar-SA"/>
        </w:rPr>
        <w:t>”</w:t>
      </w:r>
      <w:r>
        <w:rPr>
          <w:rFonts w:hint="eastAsia" w:ascii="宋体" w:hAnsi="宋体" w:eastAsia="宋体" w:cs="宋体"/>
          <w:i w:val="0"/>
          <w:iCs w:val="0"/>
          <w:caps w:val="0"/>
          <w:color w:val="000000"/>
          <w:spacing w:val="0"/>
          <w:sz w:val="32"/>
          <w:szCs w:val="32"/>
        </w:rPr>
        <w:t>。</w:t>
      </w:r>
    </w:p>
    <w:p>
      <w:pPr>
        <w:pStyle w:val="7"/>
        <w:keepNext w:val="0"/>
        <w:keepLines w:val="0"/>
        <w:widowControl/>
        <w:suppressLineNumbers w:val="0"/>
        <w:spacing w:before="0" w:beforeAutospacing="0" w:after="1" w:afterAutospacing="0"/>
        <w:ind w:left="0" w:right="0" w:firstLine="641"/>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4</w:t>
      </w:r>
      <w:r>
        <w:rPr>
          <w:rFonts w:hint="eastAsia" w:cs="黑体" w:asciiTheme="minorEastAsia" w:hAnsiTheme="minorEastAsia" w:eastAsiaTheme="minorEastAsia"/>
          <w:color w:val="000000"/>
          <w:kern w:val="0"/>
          <w:sz w:val="32"/>
          <w:szCs w:val="32"/>
          <w:lang w:val="en-US" w:eastAsia="zh-CN" w:bidi="ar-SA"/>
        </w:rPr>
        <w:t>、社会保障和就业支出（类）其他社会保障和就业支出（款）其他社会保障和就业支出（项） </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27"/>
          <w:szCs w:val="27"/>
        </w:rPr>
      </w:pPr>
      <w:r>
        <w:rPr>
          <w:rFonts w:hint="eastAsia" w:cs="黑体" w:asciiTheme="minorEastAsia" w:hAnsiTheme="minorEastAsia" w:eastAsiaTheme="minorEastAsia"/>
          <w:color w:val="000000"/>
          <w:kern w:val="0"/>
          <w:sz w:val="32"/>
          <w:szCs w:val="32"/>
          <w:lang w:val="en-US" w:eastAsia="zh-CN" w:bidi="ar-SA"/>
        </w:rPr>
        <w:t>年初预算为0万元，支出决算为</w:t>
      </w:r>
      <w:r>
        <w:rPr>
          <w:rFonts w:hint="eastAsia" w:cs="黑体" w:asciiTheme="minorEastAsia" w:hAnsiTheme="minorEastAsia"/>
          <w:color w:val="000000"/>
          <w:kern w:val="0"/>
          <w:sz w:val="32"/>
          <w:szCs w:val="32"/>
          <w:lang w:val="en-US" w:eastAsia="zh-CN" w:bidi="ar-SA"/>
        </w:rPr>
        <w:t>251.39</w:t>
      </w:r>
      <w:r>
        <w:rPr>
          <w:rFonts w:hint="eastAsia" w:cs="黑体" w:asciiTheme="minorEastAsia" w:hAnsiTheme="minorEastAsia" w:eastAsiaTheme="minorEastAsia"/>
          <w:color w:val="000000"/>
          <w:kern w:val="0"/>
          <w:sz w:val="32"/>
          <w:szCs w:val="32"/>
          <w:lang w:val="en-US" w:eastAsia="zh-CN" w:bidi="ar-SA"/>
        </w:rPr>
        <w:t>万元，</w:t>
      </w:r>
      <w:r>
        <w:rPr>
          <w:rFonts w:hint="eastAsia" w:asciiTheme="minorEastAsia" w:hAnsiTheme="minorEastAsia" w:eastAsiaTheme="minorEastAsia"/>
          <w:sz w:val="32"/>
          <w:szCs w:val="32"/>
          <w:lang w:val="en-US" w:eastAsia="zh-CN"/>
        </w:rPr>
        <w:t>无法计算完成比率</w:t>
      </w:r>
      <w:r>
        <w:rPr>
          <w:rFonts w:hint="eastAsia" w:asciiTheme="minorEastAsia" w:hAnsiTheme="minorEastAsia"/>
          <w:sz w:val="32"/>
          <w:szCs w:val="32"/>
          <w:lang w:val="en-US" w:eastAsia="zh-CN"/>
        </w:rPr>
        <w:t>，</w:t>
      </w:r>
      <w:r>
        <w:rPr>
          <w:rFonts w:hint="eastAsia" w:cs="黑体" w:asciiTheme="minorEastAsia" w:hAnsiTheme="minorEastAsia" w:eastAsiaTheme="minorEastAsia"/>
          <w:color w:val="000000"/>
          <w:kern w:val="0"/>
          <w:sz w:val="32"/>
          <w:szCs w:val="32"/>
          <w:lang w:val="en-US" w:eastAsia="zh-CN" w:bidi="ar-SA"/>
        </w:rPr>
        <w:t>决算数大于年初预算数的主要原因是：由县财政统一做预算，单位未单列</w:t>
      </w:r>
      <w:r>
        <w:rPr>
          <w:rFonts w:hint="eastAsia" w:ascii="宋体" w:hAnsi="宋体" w:eastAsia="宋体" w:cs="宋体"/>
          <w:i w:val="0"/>
          <w:iCs w:val="0"/>
          <w:caps w:val="0"/>
          <w:color w:val="000000"/>
          <w:spacing w:val="0"/>
          <w:sz w:val="32"/>
          <w:szCs w:val="32"/>
          <w:lang w:eastAsia="zh-CN"/>
        </w:rPr>
        <w:t>“</w:t>
      </w:r>
      <w:r>
        <w:rPr>
          <w:rFonts w:hint="eastAsia" w:cs="黑体" w:asciiTheme="minorEastAsia" w:hAnsiTheme="minorEastAsia" w:eastAsiaTheme="minorEastAsia"/>
          <w:color w:val="000000"/>
          <w:kern w:val="0"/>
          <w:sz w:val="32"/>
          <w:szCs w:val="32"/>
          <w:lang w:val="en-US" w:eastAsia="zh-CN" w:bidi="ar-SA"/>
        </w:rPr>
        <w:t>机关事业单位基本养老保险缴费支出（项）</w:t>
      </w:r>
      <w:r>
        <w:rPr>
          <w:rFonts w:hint="eastAsia" w:cs="黑体" w:asciiTheme="minorEastAsia" w:hAnsiTheme="minorEastAsia"/>
          <w:color w:val="000000"/>
          <w:kern w:val="0"/>
          <w:sz w:val="32"/>
          <w:szCs w:val="32"/>
          <w:lang w:val="en-US" w:eastAsia="zh-CN" w:bidi="ar-SA"/>
        </w:rPr>
        <w:t>”</w:t>
      </w:r>
      <w:r>
        <w:rPr>
          <w:rFonts w:hint="eastAsia" w:ascii="宋体" w:hAnsi="宋体" w:eastAsia="宋体" w:cs="宋体"/>
          <w:i w:val="0"/>
          <w:iCs w:val="0"/>
          <w:caps w:val="0"/>
          <w:color w:val="000000"/>
          <w:spacing w:val="0"/>
          <w:sz w:val="32"/>
          <w:szCs w:val="32"/>
        </w:rPr>
        <w:t>。</w:t>
      </w:r>
    </w:p>
    <w:p>
      <w:pPr>
        <w:pStyle w:val="7"/>
        <w:keepNext w:val="0"/>
        <w:keepLines w:val="0"/>
        <w:widowControl/>
        <w:suppressLineNumbers w:val="0"/>
        <w:spacing w:before="0" w:beforeAutospacing="0" w:after="1" w:afterAutospacing="0"/>
        <w:ind w:left="0" w:right="0" w:firstLine="641"/>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5、</w:t>
      </w:r>
      <w:r>
        <w:rPr>
          <w:rFonts w:hint="eastAsia" w:cs="黑体" w:asciiTheme="minorEastAsia" w:hAnsiTheme="minorEastAsia" w:eastAsiaTheme="minorEastAsia"/>
          <w:color w:val="000000"/>
          <w:kern w:val="0"/>
          <w:sz w:val="32"/>
          <w:szCs w:val="32"/>
          <w:lang w:val="en-US" w:eastAsia="zh-CN" w:bidi="ar-SA"/>
        </w:rPr>
        <w:t>卫生健康支出（类）卫生健康管理事务（款）行政运行（项） </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年初预算为</w:t>
      </w:r>
      <w:r>
        <w:rPr>
          <w:rFonts w:hint="eastAsia" w:ascii="宋体" w:hAnsi="宋体" w:eastAsia="宋体" w:cs="宋体"/>
          <w:i w:val="0"/>
          <w:iCs w:val="0"/>
          <w:caps w:val="0"/>
          <w:color w:val="000000"/>
          <w:spacing w:val="0"/>
          <w:sz w:val="32"/>
          <w:szCs w:val="32"/>
          <w:lang w:val="en-US" w:eastAsia="zh-CN"/>
        </w:rPr>
        <w:t>0</w:t>
      </w:r>
      <w:r>
        <w:rPr>
          <w:rFonts w:hint="eastAsia" w:ascii="宋体" w:hAnsi="宋体" w:eastAsia="宋体" w:cs="宋体"/>
          <w:i w:val="0"/>
          <w:iCs w:val="0"/>
          <w:caps w:val="0"/>
          <w:color w:val="000000"/>
          <w:spacing w:val="0"/>
          <w:sz w:val="32"/>
          <w:szCs w:val="32"/>
        </w:rPr>
        <w:t>万元，支出决算为</w:t>
      </w:r>
      <w:r>
        <w:rPr>
          <w:rFonts w:hint="eastAsia" w:ascii="宋体" w:hAnsi="宋体" w:eastAsia="宋体" w:cs="宋体"/>
          <w:i w:val="0"/>
          <w:iCs w:val="0"/>
          <w:caps w:val="0"/>
          <w:color w:val="000000"/>
          <w:spacing w:val="0"/>
          <w:sz w:val="32"/>
          <w:szCs w:val="32"/>
          <w:lang w:val="en-US" w:eastAsia="zh-CN"/>
        </w:rPr>
        <w:t>12.06</w:t>
      </w:r>
      <w:r>
        <w:rPr>
          <w:rFonts w:hint="eastAsia" w:ascii="宋体" w:hAnsi="宋体" w:eastAsia="宋体" w:cs="宋体"/>
          <w:i w:val="0"/>
          <w:iCs w:val="0"/>
          <w:caps w:val="0"/>
          <w:color w:val="000000"/>
          <w:spacing w:val="0"/>
          <w:sz w:val="32"/>
          <w:szCs w:val="32"/>
        </w:rPr>
        <w:t>万元，</w:t>
      </w:r>
      <w:r>
        <w:rPr>
          <w:rFonts w:hint="eastAsia" w:asciiTheme="minorEastAsia" w:hAnsiTheme="minorEastAsia" w:eastAsiaTheme="minorEastAsia"/>
          <w:sz w:val="32"/>
          <w:szCs w:val="32"/>
          <w:lang w:val="en-US" w:eastAsia="zh-CN"/>
        </w:rPr>
        <w:t>无法计算完成比率</w:t>
      </w:r>
      <w:r>
        <w:rPr>
          <w:rFonts w:hint="eastAsia" w:asciiTheme="minorEastAsia" w:hAnsiTheme="minorEastAsia"/>
          <w:sz w:val="32"/>
          <w:szCs w:val="32"/>
          <w:lang w:val="en-US" w:eastAsia="zh-CN"/>
        </w:rPr>
        <w:t>，</w:t>
      </w:r>
      <w:r>
        <w:rPr>
          <w:rFonts w:hint="eastAsia" w:ascii="宋体" w:hAnsi="宋体" w:eastAsia="宋体" w:cs="宋体"/>
          <w:i w:val="0"/>
          <w:iCs w:val="0"/>
          <w:caps w:val="0"/>
          <w:color w:val="000000"/>
          <w:spacing w:val="0"/>
          <w:sz w:val="32"/>
          <w:szCs w:val="32"/>
        </w:rPr>
        <w:t>决算数大于年初预算数的主要原因是：</w:t>
      </w:r>
      <w:r>
        <w:rPr>
          <w:rFonts w:hint="eastAsia" w:asciiTheme="minorEastAsia" w:hAnsiTheme="minorEastAsia" w:eastAsiaTheme="minorEastAsia"/>
          <w:sz w:val="32"/>
          <w:szCs w:val="32"/>
        </w:rPr>
        <w:t>依据实际情况发放</w:t>
      </w:r>
      <w:r>
        <w:rPr>
          <w:rFonts w:hint="eastAsia" w:asciiTheme="minorEastAsia" w:hAnsiTheme="minorEastAsia"/>
          <w:sz w:val="32"/>
          <w:szCs w:val="32"/>
          <w:lang w:val="en-US" w:eastAsia="zh-CN"/>
        </w:rPr>
        <w:t>公车补助</w:t>
      </w:r>
      <w:r>
        <w:rPr>
          <w:rFonts w:hint="eastAsia" w:ascii="宋体" w:hAnsi="宋体" w:eastAsia="宋体" w:cs="宋体"/>
          <w:i w:val="0"/>
          <w:iCs w:val="0"/>
          <w:caps w:val="0"/>
          <w:color w:val="000000"/>
          <w:spacing w:val="0"/>
          <w:sz w:val="32"/>
          <w:szCs w:val="32"/>
        </w:rPr>
        <w:t>。</w:t>
      </w:r>
    </w:p>
    <w:p>
      <w:pPr>
        <w:pStyle w:val="7"/>
        <w:keepNext w:val="0"/>
        <w:keepLines w:val="0"/>
        <w:widowControl/>
        <w:suppressLineNumbers w:val="0"/>
        <w:spacing w:before="0" w:beforeAutospacing="0" w:after="1" w:afterAutospacing="0"/>
        <w:ind w:left="0" w:right="0" w:firstLine="641"/>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6、</w:t>
      </w:r>
      <w:r>
        <w:rPr>
          <w:rFonts w:hint="eastAsia" w:cs="黑体" w:asciiTheme="minorEastAsia" w:hAnsiTheme="minorEastAsia" w:eastAsiaTheme="minorEastAsia"/>
          <w:color w:val="000000"/>
          <w:kern w:val="0"/>
          <w:sz w:val="32"/>
          <w:szCs w:val="32"/>
          <w:lang w:val="en-US" w:eastAsia="zh-CN" w:bidi="ar-SA"/>
        </w:rPr>
        <w:t>卫生健康支出（类）行政事业单位医疗（款）其他行政事业单位医疗支出（项） </w:t>
      </w:r>
    </w:p>
    <w:p>
      <w:pPr>
        <w:pStyle w:val="7"/>
        <w:keepNext w:val="0"/>
        <w:keepLines w:val="0"/>
        <w:widowControl/>
        <w:suppressLineNumbers w:val="0"/>
        <w:spacing w:before="0" w:beforeAutospacing="0" w:after="1" w:afterAutospacing="0"/>
        <w:ind w:left="0" w:right="0" w:firstLine="641"/>
        <w:jc w:val="left"/>
        <w:rPr>
          <w:rFonts w:hint="default" w:ascii="宋体" w:hAnsi="宋体" w:eastAsia="宋体" w:cs="宋体"/>
          <w:i w:val="0"/>
          <w:iCs w:val="0"/>
          <w:caps w:val="0"/>
          <w:color w:val="000000"/>
          <w:spacing w:val="0"/>
          <w:sz w:val="32"/>
          <w:szCs w:val="32"/>
          <w:lang w:val="en-US"/>
        </w:rPr>
      </w:pPr>
      <w:r>
        <w:rPr>
          <w:rFonts w:hint="eastAsia" w:ascii="宋体" w:hAnsi="宋体" w:eastAsia="宋体" w:cs="宋体"/>
          <w:i w:val="0"/>
          <w:iCs w:val="0"/>
          <w:caps w:val="0"/>
          <w:color w:val="000000"/>
          <w:spacing w:val="0"/>
          <w:sz w:val="32"/>
          <w:szCs w:val="32"/>
        </w:rPr>
        <w:t>年初预算为</w:t>
      </w:r>
      <w:r>
        <w:rPr>
          <w:rFonts w:hint="eastAsia" w:ascii="宋体" w:hAnsi="宋体" w:eastAsia="宋体" w:cs="宋体"/>
          <w:i w:val="0"/>
          <w:iCs w:val="0"/>
          <w:caps w:val="0"/>
          <w:color w:val="000000"/>
          <w:spacing w:val="0"/>
          <w:sz w:val="32"/>
          <w:szCs w:val="32"/>
          <w:lang w:val="en-US" w:eastAsia="zh-CN"/>
        </w:rPr>
        <w:t>0</w:t>
      </w:r>
      <w:r>
        <w:rPr>
          <w:rFonts w:hint="eastAsia" w:ascii="宋体" w:hAnsi="宋体" w:eastAsia="宋体" w:cs="宋体"/>
          <w:i w:val="0"/>
          <w:iCs w:val="0"/>
          <w:caps w:val="0"/>
          <w:color w:val="000000"/>
          <w:spacing w:val="0"/>
          <w:sz w:val="32"/>
          <w:szCs w:val="32"/>
        </w:rPr>
        <w:t>万元，支出决算为</w:t>
      </w:r>
      <w:r>
        <w:rPr>
          <w:rFonts w:hint="eastAsia" w:ascii="宋体" w:hAnsi="宋体" w:eastAsia="宋体" w:cs="宋体"/>
          <w:i w:val="0"/>
          <w:iCs w:val="0"/>
          <w:caps w:val="0"/>
          <w:color w:val="000000"/>
          <w:spacing w:val="0"/>
          <w:sz w:val="32"/>
          <w:szCs w:val="32"/>
          <w:lang w:val="en-US" w:eastAsia="zh-CN"/>
        </w:rPr>
        <w:t>6.5</w:t>
      </w:r>
      <w:r>
        <w:rPr>
          <w:rFonts w:hint="eastAsia" w:ascii="宋体" w:hAnsi="宋体" w:eastAsia="宋体" w:cs="宋体"/>
          <w:i w:val="0"/>
          <w:iCs w:val="0"/>
          <w:caps w:val="0"/>
          <w:color w:val="000000"/>
          <w:spacing w:val="0"/>
          <w:sz w:val="32"/>
          <w:szCs w:val="32"/>
        </w:rPr>
        <w:t>万元，</w:t>
      </w:r>
      <w:r>
        <w:rPr>
          <w:rFonts w:hint="eastAsia" w:asciiTheme="minorEastAsia" w:hAnsiTheme="minorEastAsia" w:eastAsiaTheme="minorEastAsia"/>
          <w:sz w:val="32"/>
          <w:szCs w:val="32"/>
          <w:lang w:val="en-US" w:eastAsia="zh-CN"/>
        </w:rPr>
        <w:t>无法计算完成比率</w:t>
      </w:r>
      <w:r>
        <w:rPr>
          <w:rFonts w:hint="eastAsia" w:ascii="宋体" w:hAnsi="宋体" w:eastAsia="宋体" w:cs="宋体"/>
          <w:i w:val="0"/>
          <w:iCs w:val="0"/>
          <w:caps w:val="0"/>
          <w:color w:val="000000"/>
          <w:spacing w:val="0"/>
          <w:sz w:val="32"/>
          <w:szCs w:val="32"/>
        </w:rPr>
        <w:t>。决算数大于年初预算数的主要原因是：</w:t>
      </w:r>
      <w:r>
        <w:rPr>
          <w:rFonts w:hint="eastAsia" w:ascii="宋体" w:hAnsi="宋体" w:eastAsia="宋体" w:cs="宋体"/>
          <w:i w:val="0"/>
          <w:iCs w:val="0"/>
          <w:caps w:val="0"/>
          <w:color w:val="000000"/>
          <w:spacing w:val="0"/>
          <w:sz w:val="32"/>
          <w:szCs w:val="32"/>
          <w:lang w:val="en-US" w:eastAsia="zh-CN"/>
        </w:rPr>
        <w:t>年初预算列</w:t>
      </w:r>
      <w:r>
        <w:rPr>
          <w:rFonts w:hint="eastAsia" w:ascii="宋体" w:hAnsi="宋体" w:eastAsia="宋体" w:cs="宋体"/>
          <w:i w:val="0"/>
          <w:iCs w:val="0"/>
          <w:caps w:val="0"/>
          <w:color w:val="000000"/>
          <w:spacing w:val="0"/>
          <w:sz w:val="32"/>
          <w:szCs w:val="32"/>
        </w:rPr>
        <w:t>卫生健康支出（类）医疗保障管理事务（款）行政运行（项）</w:t>
      </w:r>
      <w:r>
        <w:rPr>
          <w:rFonts w:hint="eastAsia" w:ascii="宋体" w:hAnsi="宋体" w:eastAsia="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实际支出时单列</w:t>
      </w:r>
      <w:r>
        <w:rPr>
          <w:rFonts w:hint="eastAsia" w:ascii="宋体" w:hAnsi="宋体" w:eastAsia="宋体" w:cs="宋体"/>
          <w:i w:val="0"/>
          <w:iCs w:val="0"/>
          <w:caps w:val="0"/>
          <w:color w:val="000000"/>
          <w:spacing w:val="0"/>
          <w:sz w:val="32"/>
          <w:szCs w:val="32"/>
          <w:lang w:eastAsia="zh-CN"/>
        </w:rPr>
        <w:t>“</w:t>
      </w:r>
      <w:r>
        <w:rPr>
          <w:rFonts w:hint="eastAsia" w:cs="黑体" w:asciiTheme="minorEastAsia" w:hAnsiTheme="minorEastAsia" w:eastAsiaTheme="minorEastAsia"/>
          <w:color w:val="000000"/>
          <w:kern w:val="0"/>
          <w:sz w:val="32"/>
          <w:szCs w:val="32"/>
          <w:lang w:val="en-US" w:eastAsia="zh-CN" w:bidi="ar-SA"/>
        </w:rPr>
        <w:t>行政事业单位医疗（款）其他行政事业单位医疗支出（项）</w:t>
      </w:r>
      <w:r>
        <w:rPr>
          <w:rFonts w:hint="default" w:cs="黑体" w:asciiTheme="minorEastAsia" w:hAnsiTheme="minorEastAsia"/>
          <w:color w:val="000000"/>
          <w:kern w:val="0"/>
          <w:sz w:val="32"/>
          <w:szCs w:val="32"/>
          <w:lang w:val="en-US" w:eastAsia="zh-CN" w:bidi="ar-SA"/>
        </w:rPr>
        <w:t>”</w:t>
      </w:r>
      <w:r>
        <w:rPr>
          <w:rFonts w:hint="eastAsia" w:cs="黑体" w:asciiTheme="minorEastAsia" w:hAnsiTheme="minorEastAsia"/>
          <w:color w:val="000000"/>
          <w:kern w:val="0"/>
          <w:sz w:val="32"/>
          <w:szCs w:val="32"/>
          <w:lang w:val="en-US" w:eastAsia="zh-CN" w:bidi="ar-SA"/>
        </w:rPr>
        <w:t>。</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7</w:t>
      </w:r>
      <w:r>
        <w:rPr>
          <w:rFonts w:hint="eastAsia" w:ascii="宋体" w:hAnsi="宋体" w:eastAsia="宋体" w:cs="宋体"/>
          <w:i w:val="0"/>
          <w:iCs w:val="0"/>
          <w:caps w:val="0"/>
          <w:color w:val="000000"/>
          <w:spacing w:val="0"/>
          <w:sz w:val="32"/>
          <w:szCs w:val="32"/>
        </w:rPr>
        <w:t>、卫生健康支出（类）财政对基本医疗保险基金的补助（款）财政对城乡居民基本医疗保险基金的补助（项）</w:t>
      </w:r>
      <w:r>
        <w:rPr>
          <w:rFonts w:hint="eastAsia" w:ascii="宋体" w:hAnsi="宋体" w:eastAsia="宋体" w:cs="宋体"/>
          <w:i w:val="0"/>
          <w:iCs w:val="0"/>
          <w:caps w:val="0"/>
          <w:color w:val="000000"/>
          <w:spacing w:val="0"/>
          <w:sz w:val="27"/>
          <w:szCs w:val="27"/>
        </w:rPr>
        <w:t> </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w:t>
      </w:r>
      <w:r>
        <w:rPr>
          <w:rFonts w:hint="eastAsia" w:ascii="宋体" w:hAnsi="宋体" w:eastAsia="宋体" w:cs="宋体"/>
          <w:i w:val="0"/>
          <w:iCs w:val="0"/>
          <w:caps w:val="0"/>
          <w:color w:val="000000"/>
          <w:spacing w:val="0"/>
          <w:sz w:val="32"/>
          <w:szCs w:val="32"/>
          <w:lang w:val="en-US" w:eastAsia="zh-CN"/>
        </w:rPr>
        <w:t>4024</w:t>
      </w:r>
      <w:r>
        <w:rPr>
          <w:rFonts w:hint="eastAsia" w:ascii="宋体" w:hAnsi="宋体" w:eastAsia="宋体" w:cs="宋体"/>
          <w:i w:val="0"/>
          <w:iCs w:val="0"/>
          <w:caps w:val="0"/>
          <w:color w:val="000000"/>
          <w:spacing w:val="0"/>
          <w:sz w:val="32"/>
          <w:szCs w:val="32"/>
        </w:rPr>
        <w:t>万元，支出决算为</w:t>
      </w:r>
      <w:r>
        <w:rPr>
          <w:rFonts w:hint="eastAsia" w:ascii="宋体" w:hAnsi="宋体" w:eastAsia="宋体" w:cs="宋体"/>
          <w:i w:val="0"/>
          <w:iCs w:val="0"/>
          <w:caps w:val="0"/>
          <w:color w:val="000000"/>
          <w:spacing w:val="0"/>
          <w:sz w:val="32"/>
          <w:szCs w:val="32"/>
          <w:lang w:val="en-US" w:eastAsia="zh-CN"/>
        </w:rPr>
        <w:t>36647.27</w:t>
      </w:r>
      <w:r>
        <w:rPr>
          <w:rFonts w:hint="eastAsia" w:ascii="宋体" w:hAnsi="宋体" w:eastAsia="宋体" w:cs="宋体"/>
          <w:i w:val="0"/>
          <w:iCs w:val="0"/>
          <w:caps w:val="0"/>
          <w:color w:val="000000"/>
          <w:spacing w:val="0"/>
          <w:sz w:val="32"/>
          <w:szCs w:val="32"/>
        </w:rPr>
        <w:t>万元，完成年初预算的</w:t>
      </w:r>
      <w:r>
        <w:rPr>
          <w:rFonts w:hint="eastAsia" w:ascii="宋体" w:hAnsi="宋体" w:eastAsia="宋体" w:cs="宋体"/>
          <w:i w:val="0"/>
          <w:iCs w:val="0"/>
          <w:caps w:val="0"/>
          <w:color w:val="000000"/>
          <w:spacing w:val="0"/>
          <w:sz w:val="32"/>
          <w:szCs w:val="32"/>
          <w:lang w:val="en-US" w:eastAsia="zh-CN"/>
        </w:rPr>
        <w:t>910.72</w:t>
      </w:r>
      <w:r>
        <w:rPr>
          <w:rFonts w:hint="eastAsia" w:ascii="宋体" w:hAnsi="宋体" w:eastAsia="宋体" w:cs="宋体"/>
          <w:i w:val="0"/>
          <w:iCs w:val="0"/>
          <w:caps w:val="0"/>
          <w:color w:val="000000"/>
          <w:spacing w:val="0"/>
          <w:sz w:val="32"/>
          <w:szCs w:val="32"/>
        </w:rPr>
        <w:t>%。决算数大于年初预算数的主要原因是：城乡居民基本医疗保险基金</w:t>
      </w:r>
      <w:r>
        <w:rPr>
          <w:rFonts w:hint="eastAsia" w:ascii="宋体" w:hAnsi="宋体" w:eastAsia="宋体" w:cs="宋体"/>
          <w:i w:val="0"/>
          <w:iCs w:val="0"/>
          <w:caps w:val="0"/>
          <w:color w:val="000000"/>
          <w:spacing w:val="0"/>
          <w:sz w:val="32"/>
          <w:szCs w:val="32"/>
          <w:lang w:val="en-US" w:eastAsia="zh-CN"/>
        </w:rPr>
        <w:t>年初</w:t>
      </w:r>
      <w:r>
        <w:rPr>
          <w:rFonts w:hint="eastAsia" w:ascii="宋体" w:hAnsi="宋体" w:eastAsia="宋体" w:cs="宋体"/>
          <w:i w:val="0"/>
          <w:iCs w:val="0"/>
          <w:caps w:val="0"/>
          <w:color w:val="000000"/>
          <w:spacing w:val="0"/>
          <w:sz w:val="32"/>
          <w:szCs w:val="32"/>
        </w:rPr>
        <w:t>预算</w:t>
      </w:r>
      <w:r>
        <w:rPr>
          <w:rFonts w:hint="eastAsia" w:ascii="宋体" w:hAnsi="宋体" w:eastAsia="宋体" w:cs="宋体"/>
          <w:i w:val="0"/>
          <w:iCs w:val="0"/>
          <w:caps w:val="0"/>
          <w:color w:val="000000"/>
          <w:spacing w:val="0"/>
          <w:sz w:val="32"/>
          <w:szCs w:val="32"/>
          <w:lang w:val="en-US" w:eastAsia="zh-CN"/>
        </w:rPr>
        <w:t>数</w:t>
      </w:r>
      <w:r>
        <w:rPr>
          <w:rFonts w:hint="eastAsia" w:ascii="宋体" w:hAnsi="宋体" w:eastAsia="宋体" w:cs="宋体"/>
          <w:i w:val="0"/>
          <w:iCs w:val="0"/>
          <w:caps w:val="0"/>
          <w:color w:val="000000"/>
          <w:spacing w:val="0"/>
          <w:sz w:val="32"/>
          <w:szCs w:val="32"/>
        </w:rPr>
        <w:t>只</w:t>
      </w:r>
      <w:r>
        <w:rPr>
          <w:rFonts w:hint="eastAsia" w:ascii="宋体" w:hAnsi="宋体" w:eastAsia="宋体" w:cs="宋体"/>
          <w:i w:val="0"/>
          <w:iCs w:val="0"/>
          <w:caps w:val="0"/>
          <w:color w:val="000000"/>
          <w:spacing w:val="0"/>
          <w:sz w:val="32"/>
          <w:szCs w:val="32"/>
          <w:lang w:val="en-US" w:eastAsia="zh-CN"/>
        </w:rPr>
        <w:t>含</w:t>
      </w:r>
      <w:r>
        <w:rPr>
          <w:rFonts w:hint="eastAsia" w:ascii="宋体" w:hAnsi="宋体" w:eastAsia="宋体" w:cs="宋体"/>
          <w:i w:val="0"/>
          <w:iCs w:val="0"/>
          <w:caps w:val="0"/>
          <w:color w:val="000000"/>
          <w:spacing w:val="0"/>
          <w:sz w:val="32"/>
          <w:szCs w:val="32"/>
        </w:rPr>
        <w:t>县级财政补助资金，决算</w:t>
      </w:r>
      <w:r>
        <w:rPr>
          <w:rFonts w:hint="eastAsia" w:ascii="宋体" w:hAnsi="宋体" w:eastAsia="宋体" w:cs="宋体"/>
          <w:i w:val="0"/>
          <w:iCs w:val="0"/>
          <w:caps w:val="0"/>
          <w:color w:val="000000"/>
          <w:spacing w:val="0"/>
          <w:sz w:val="32"/>
          <w:szCs w:val="32"/>
          <w:lang w:val="en-US" w:eastAsia="zh-CN"/>
        </w:rPr>
        <w:t>数</w:t>
      </w:r>
      <w:r>
        <w:rPr>
          <w:rFonts w:hint="eastAsia" w:ascii="宋体" w:hAnsi="宋体" w:eastAsia="宋体" w:cs="宋体"/>
          <w:i w:val="0"/>
          <w:iCs w:val="0"/>
          <w:caps w:val="0"/>
          <w:color w:val="000000"/>
          <w:spacing w:val="0"/>
          <w:sz w:val="32"/>
          <w:szCs w:val="32"/>
        </w:rPr>
        <w:t>含中央</w:t>
      </w:r>
      <w:r>
        <w:rPr>
          <w:rFonts w:hint="eastAsia" w:ascii="宋体" w:hAnsi="宋体" w:eastAsia="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省</w:t>
      </w:r>
      <w:r>
        <w:rPr>
          <w:rFonts w:hint="eastAsia" w:ascii="宋体" w:hAnsi="宋体" w:eastAsia="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lang w:val="en-US" w:eastAsia="zh-CN"/>
        </w:rPr>
        <w:t>县三级</w:t>
      </w:r>
      <w:r>
        <w:rPr>
          <w:rFonts w:hint="eastAsia" w:ascii="宋体" w:hAnsi="宋体" w:eastAsia="宋体" w:cs="宋体"/>
          <w:i w:val="0"/>
          <w:iCs w:val="0"/>
          <w:caps w:val="0"/>
          <w:color w:val="000000"/>
          <w:spacing w:val="0"/>
          <w:sz w:val="32"/>
          <w:szCs w:val="32"/>
        </w:rPr>
        <w:t>财政补助资金。</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lang w:val="en-US" w:eastAsia="zh-CN"/>
        </w:rPr>
        <w:t>8</w:t>
      </w:r>
      <w:r>
        <w:rPr>
          <w:rFonts w:hint="eastAsia" w:ascii="宋体" w:hAnsi="宋体" w:eastAsia="宋体" w:cs="宋体"/>
          <w:i w:val="0"/>
          <w:iCs w:val="0"/>
          <w:caps w:val="0"/>
          <w:color w:val="000000"/>
          <w:spacing w:val="0"/>
          <w:sz w:val="32"/>
          <w:szCs w:val="32"/>
        </w:rPr>
        <w:t>、卫生健康支出（类）财政对基本医疗保险基金的补助（款）财政对其他基本医疗保险基金的补助（项） </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w:t>
      </w:r>
      <w:r>
        <w:rPr>
          <w:rFonts w:hint="eastAsia" w:ascii="宋体" w:hAnsi="宋体" w:eastAsia="宋体" w:cs="宋体"/>
          <w:i w:val="0"/>
          <w:iCs w:val="0"/>
          <w:caps w:val="0"/>
          <w:color w:val="000000"/>
          <w:spacing w:val="0"/>
          <w:sz w:val="32"/>
          <w:szCs w:val="32"/>
          <w:lang w:val="en-US" w:eastAsia="zh-CN"/>
        </w:rPr>
        <w:t>270</w:t>
      </w:r>
      <w:r>
        <w:rPr>
          <w:rFonts w:hint="eastAsia" w:ascii="宋体" w:hAnsi="宋体" w:eastAsia="宋体" w:cs="宋体"/>
          <w:i w:val="0"/>
          <w:iCs w:val="0"/>
          <w:caps w:val="0"/>
          <w:color w:val="000000"/>
          <w:spacing w:val="0"/>
          <w:sz w:val="32"/>
          <w:szCs w:val="32"/>
        </w:rPr>
        <w:t>万元，支出决算为</w:t>
      </w:r>
      <w:r>
        <w:rPr>
          <w:rFonts w:hint="eastAsia" w:ascii="宋体" w:hAnsi="宋体" w:eastAsia="宋体" w:cs="宋体"/>
          <w:i w:val="0"/>
          <w:iCs w:val="0"/>
          <w:caps w:val="0"/>
          <w:color w:val="000000"/>
          <w:spacing w:val="0"/>
          <w:sz w:val="32"/>
          <w:szCs w:val="32"/>
          <w:lang w:val="en-US" w:eastAsia="zh-CN"/>
        </w:rPr>
        <w:t>254.35</w:t>
      </w:r>
      <w:r>
        <w:rPr>
          <w:rFonts w:hint="eastAsia" w:ascii="宋体" w:hAnsi="宋体" w:eastAsia="宋体" w:cs="宋体"/>
          <w:i w:val="0"/>
          <w:iCs w:val="0"/>
          <w:caps w:val="0"/>
          <w:color w:val="000000"/>
          <w:spacing w:val="0"/>
          <w:sz w:val="32"/>
          <w:szCs w:val="32"/>
        </w:rPr>
        <w:t>万元，完成年初预算的</w:t>
      </w:r>
      <w:r>
        <w:rPr>
          <w:rFonts w:hint="eastAsia" w:ascii="宋体" w:hAnsi="宋体" w:eastAsia="宋体" w:cs="宋体"/>
          <w:i w:val="0"/>
          <w:iCs w:val="0"/>
          <w:caps w:val="0"/>
          <w:color w:val="000000"/>
          <w:spacing w:val="0"/>
          <w:sz w:val="32"/>
          <w:szCs w:val="32"/>
          <w:lang w:val="en-US" w:eastAsia="zh-CN"/>
        </w:rPr>
        <w:t>94.20</w:t>
      </w:r>
      <w:r>
        <w:rPr>
          <w:rFonts w:hint="eastAsia" w:ascii="宋体" w:hAnsi="宋体" w:eastAsia="宋体" w:cs="宋体"/>
          <w:i w:val="0"/>
          <w:iCs w:val="0"/>
          <w:caps w:val="0"/>
          <w:color w:val="000000"/>
          <w:spacing w:val="0"/>
          <w:sz w:val="32"/>
          <w:szCs w:val="32"/>
        </w:rPr>
        <w:t>%。决算数小于年初预算数的主要原因是：财政根据实际情况核减资金。</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lang w:val="en-US" w:eastAsia="zh-CN"/>
        </w:rPr>
        <w:t>9</w:t>
      </w:r>
      <w:r>
        <w:rPr>
          <w:rFonts w:hint="eastAsia" w:ascii="宋体" w:hAnsi="宋体" w:eastAsia="宋体" w:cs="宋体"/>
          <w:i w:val="0"/>
          <w:iCs w:val="0"/>
          <w:caps w:val="0"/>
          <w:color w:val="000000"/>
          <w:spacing w:val="0"/>
          <w:sz w:val="32"/>
          <w:szCs w:val="32"/>
        </w:rPr>
        <w:t>、卫生健康支出（类）医疗救助（款）城乡医疗救助（项） </w:t>
      </w:r>
    </w:p>
    <w:p>
      <w:pPr>
        <w:pStyle w:val="7"/>
        <w:keepNext w:val="0"/>
        <w:keepLines w:val="0"/>
        <w:widowControl/>
        <w:suppressLineNumbers w:val="0"/>
        <w:spacing w:before="0" w:beforeAutospacing="0" w:after="1" w:afterAutospacing="0"/>
        <w:ind w:left="0" w:right="0" w:firstLine="641"/>
        <w:jc w:val="left"/>
        <w:rPr>
          <w:rFonts w:hint="default"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年初预算为</w:t>
      </w:r>
      <w:r>
        <w:rPr>
          <w:rFonts w:hint="eastAsia" w:ascii="宋体" w:hAnsi="宋体" w:eastAsia="宋体" w:cs="宋体"/>
          <w:i w:val="0"/>
          <w:iCs w:val="0"/>
          <w:caps w:val="0"/>
          <w:color w:val="000000"/>
          <w:spacing w:val="0"/>
          <w:sz w:val="32"/>
          <w:szCs w:val="32"/>
          <w:lang w:val="en-US" w:eastAsia="zh-CN"/>
        </w:rPr>
        <w:t>2</w:t>
      </w:r>
      <w:r>
        <w:rPr>
          <w:rFonts w:hint="eastAsia" w:ascii="宋体" w:hAnsi="宋体" w:eastAsia="宋体" w:cs="宋体"/>
          <w:i w:val="0"/>
          <w:iCs w:val="0"/>
          <w:caps w:val="0"/>
          <w:color w:val="000000"/>
          <w:spacing w:val="0"/>
          <w:sz w:val="32"/>
          <w:szCs w:val="32"/>
        </w:rPr>
        <w:t>00万元，支出决算为</w:t>
      </w:r>
      <w:r>
        <w:rPr>
          <w:rFonts w:hint="eastAsia" w:ascii="宋体" w:hAnsi="宋体" w:eastAsia="宋体" w:cs="宋体"/>
          <w:i w:val="0"/>
          <w:iCs w:val="0"/>
          <w:caps w:val="0"/>
          <w:color w:val="000000"/>
          <w:spacing w:val="0"/>
          <w:sz w:val="32"/>
          <w:szCs w:val="32"/>
          <w:lang w:val="en-US" w:eastAsia="zh-CN"/>
        </w:rPr>
        <w:t>561.03</w:t>
      </w:r>
      <w:r>
        <w:rPr>
          <w:rFonts w:hint="eastAsia" w:ascii="宋体" w:hAnsi="宋体" w:eastAsia="宋体" w:cs="宋体"/>
          <w:i w:val="0"/>
          <w:iCs w:val="0"/>
          <w:caps w:val="0"/>
          <w:color w:val="000000"/>
          <w:spacing w:val="0"/>
          <w:sz w:val="32"/>
          <w:szCs w:val="32"/>
        </w:rPr>
        <w:t>万元，完成年初预算的</w:t>
      </w:r>
      <w:r>
        <w:rPr>
          <w:rFonts w:hint="eastAsia" w:ascii="宋体" w:hAnsi="宋体" w:eastAsia="宋体" w:cs="宋体"/>
          <w:i w:val="0"/>
          <w:iCs w:val="0"/>
          <w:caps w:val="0"/>
          <w:color w:val="000000"/>
          <w:spacing w:val="0"/>
          <w:sz w:val="32"/>
          <w:szCs w:val="32"/>
          <w:lang w:val="en-US" w:eastAsia="zh-CN"/>
        </w:rPr>
        <w:t>280.51</w:t>
      </w:r>
      <w:r>
        <w:rPr>
          <w:rFonts w:hint="eastAsia" w:ascii="宋体" w:hAnsi="宋体" w:eastAsia="宋体" w:cs="宋体"/>
          <w:i w:val="0"/>
          <w:iCs w:val="0"/>
          <w:caps w:val="0"/>
          <w:color w:val="000000"/>
          <w:spacing w:val="0"/>
          <w:sz w:val="32"/>
          <w:szCs w:val="32"/>
        </w:rPr>
        <w:t>%。决算数大于年初预算数的主要原因是：预算</w:t>
      </w:r>
      <w:r>
        <w:rPr>
          <w:rFonts w:hint="eastAsia" w:ascii="宋体" w:hAnsi="宋体" w:eastAsia="宋体" w:cs="宋体"/>
          <w:i w:val="0"/>
          <w:iCs w:val="0"/>
          <w:caps w:val="0"/>
          <w:color w:val="000000"/>
          <w:spacing w:val="0"/>
          <w:sz w:val="32"/>
          <w:szCs w:val="32"/>
          <w:lang w:val="en-US" w:eastAsia="zh-CN"/>
        </w:rPr>
        <w:t>数</w:t>
      </w:r>
      <w:r>
        <w:rPr>
          <w:rFonts w:hint="eastAsia" w:ascii="宋体" w:hAnsi="宋体" w:eastAsia="宋体" w:cs="宋体"/>
          <w:i w:val="0"/>
          <w:iCs w:val="0"/>
          <w:caps w:val="0"/>
          <w:color w:val="000000"/>
          <w:spacing w:val="0"/>
          <w:sz w:val="32"/>
          <w:szCs w:val="32"/>
        </w:rPr>
        <w:t>只</w:t>
      </w:r>
      <w:r>
        <w:rPr>
          <w:rFonts w:hint="eastAsia" w:ascii="宋体" w:hAnsi="宋体" w:eastAsia="宋体" w:cs="宋体"/>
          <w:i w:val="0"/>
          <w:iCs w:val="0"/>
          <w:caps w:val="0"/>
          <w:color w:val="000000"/>
          <w:spacing w:val="0"/>
          <w:sz w:val="32"/>
          <w:szCs w:val="32"/>
          <w:lang w:val="en-US" w:eastAsia="zh-CN"/>
        </w:rPr>
        <w:t>含</w:t>
      </w:r>
      <w:r>
        <w:rPr>
          <w:rFonts w:hint="eastAsia" w:ascii="宋体" w:hAnsi="宋体" w:eastAsia="宋体" w:cs="宋体"/>
          <w:i w:val="0"/>
          <w:iCs w:val="0"/>
          <w:caps w:val="0"/>
          <w:color w:val="000000"/>
          <w:spacing w:val="0"/>
          <w:sz w:val="32"/>
          <w:szCs w:val="32"/>
        </w:rPr>
        <w:t>县级财政补助资金，决算</w:t>
      </w:r>
      <w:r>
        <w:rPr>
          <w:rFonts w:hint="eastAsia" w:ascii="宋体" w:hAnsi="宋体" w:eastAsia="宋体" w:cs="宋体"/>
          <w:i w:val="0"/>
          <w:iCs w:val="0"/>
          <w:caps w:val="0"/>
          <w:color w:val="000000"/>
          <w:spacing w:val="0"/>
          <w:sz w:val="32"/>
          <w:szCs w:val="32"/>
          <w:lang w:val="en-US" w:eastAsia="zh-CN"/>
        </w:rPr>
        <w:t>数</w:t>
      </w:r>
      <w:r>
        <w:rPr>
          <w:rFonts w:hint="eastAsia" w:ascii="宋体" w:hAnsi="宋体" w:eastAsia="宋体" w:cs="宋体"/>
          <w:i w:val="0"/>
          <w:iCs w:val="0"/>
          <w:caps w:val="0"/>
          <w:color w:val="000000"/>
          <w:spacing w:val="0"/>
          <w:sz w:val="32"/>
          <w:szCs w:val="32"/>
        </w:rPr>
        <w:t>含中央</w:t>
      </w:r>
      <w:r>
        <w:rPr>
          <w:rFonts w:hint="eastAsia" w:ascii="宋体" w:hAnsi="宋体" w:eastAsia="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省</w:t>
      </w:r>
      <w:r>
        <w:rPr>
          <w:rFonts w:hint="eastAsia" w:ascii="宋体" w:hAnsi="宋体" w:eastAsia="宋体" w:cs="宋体"/>
          <w:i w:val="0"/>
          <w:iCs w:val="0"/>
          <w:caps w:val="0"/>
          <w:color w:val="000000"/>
          <w:spacing w:val="0"/>
          <w:sz w:val="32"/>
          <w:szCs w:val="32"/>
          <w:lang w:val="en-US" w:eastAsia="zh-CN"/>
        </w:rPr>
        <w:t>级</w:t>
      </w:r>
      <w:r>
        <w:rPr>
          <w:rFonts w:hint="eastAsia" w:ascii="宋体" w:hAnsi="宋体" w:eastAsia="宋体" w:cs="宋体"/>
          <w:i w:val="0"/>
          <w:iCs w:val="0"/>
          <w:caps w:val="0"/>
          <w:color w:val="000000"/>
          <w:spacing w:val="0"/>
          <w:sz w:val="32"/>
          <w:szCs w:val="32"/>
        </w:rPr>
        <w:t>财政补助资金</w:t>
      </w:r>
      <w:r>
        <w:rPr>
          <w:rFonts w:hint="eastAsia" w:ascii="宋体" w:hAnsi="宋体" w:eastAsia="宋体" w:cs="宋体"/>
          <w:i w:val="0"/>
          <w:iCs w:val="0"/>
          <w:caps w:val="0"/>
          <w:color w:val="000000"/>
          <w:spacing w:val="0"/>
          <w:sz w:val="32"/>
          <w:szCs w:val="32"/>
          <w:lang w:val="en-US" w:eastAsia="zh-CN"/>
        </w:rPr>
        <w:t>和上年结转资金。</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lang w:val="en-US" w:eastAsia="zh-CN"/>
        </w:rPr>
        <w:t>10</w:t>
      </w:r>
      <w:r>
        <w:rPr>
          <w:rFonts w:hint="eastAsia" w:ascii="宋体" w:hAnsi="宋体" w:eastAsia="宋体" w:cs="宋体"/>
          <w:i w:val="0"/>
          <w:iCs w:val="0"/>
          <w:caps w:val="0"/>
          <w:color w:val="000000"/>
          <w:spacing w:val="0"/>
          <w:sz w:val="32"/>
          <w:szCs w:val="32"/>
        </w:rPr>
        <w:t>、卫生健康支出（类）医疗救助（款）</w:t>
      </w:r>
      <w:r>
        <w:rPr>
          <w:rFonts w:hint="eastAsia" w:ascii="宋体" w:hAnsi="宋体" w:eastAsia="宋体" w:cs="宋体"/>
          <w:i w:val="0"/>
          <w:iCs w:val="0"/>
          <w:caps w:val="0"/>
          <w:color w:val="000000"/>
          <w:spacing w:val="0"/>
          <w:sz w:val="32"/>
          <w:szCs w:val="32"/>
          <w:lang w:val="en-US" w:eastAsia="zh-CN"/>
        </w:rPr>
        <w:t>其他</w:t>
      </w:r>
      <w:r>
        <w:rPr>
          <w:rFonts w:hint="eastAsia" w:ascii="宋体" w:hAnsi="宋体" w:eastAsia="宋体" w:cs="宋体"/>
          <w:i w:val="0"/>
          <w:iCs w:val="0"/>
          <w:caps w:val="0"/>
          <w:color w:val="000000"/>
          <w:spacing w:val="0"/>
          <w:sz w:val="32"/>
          <w:szCs w:val="32"/>
        </w:rPr>
        <w:t>医疗救助</w:t>
      </w:r>
      <w:r>
        <w:rPr>
          <w:rFonts w:hint="eastAsia" w:ascii="宋体" w:hAnsi="宋体" w:eastAsia="宋体" w:cs="宋体"/>
          <w:i w:val="0"/>
          <w:iCs w:val="0"/>
          <w:caps w:val="0"/>
          <w:color w:val="000000"/>
          <w:spacing w:val="0"/>
          <w:sz w:val="32"/>
          <w:szCs w:val="32"/>
          <w:lang w:val="en-US" w:eastAsia="zh-CN"/>
        </w:rPr>
        <w:t>支出</w:t>
      </w:r>
      <w:r>
        <w:rPr>
          <w:rFonts w:hint="eastAsia" w:ascii="宋体" w:hAnsi="宋体" w:eastAsia="宋体" w:cs="宋体"/>
          <w:i w:val="0"/>
          <w:iCs w:val="0"/>
          <w:caps w:val="0"/>
          <w:color w:val="000000"/>
          <w:spacing w:val="0"/>
          <w:sz w:val="32"/>
          <w:szCs w:val="32"/>
        </w:rPr>
        <w:t>（项） </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年初预算为</w:t>
      </w:r>
      <w:r>
        <w:rPr>
          <w:rFonts w:hint="eastAsia" w:ascii="宋体" w:hAnsi="宋体" w:eastAsia="宋体" w:cs="宋体"/>
          <w:i w:val="0"/>
          <w:iCs w:val="0"/>
          <w:caps w:val="0"/>
          <w:color w:val="000000"/>
          <w:spacing w:val="0"/>
          <w:sz w:val="32"/>
          <w:szCs w:val="32"/>
          <w:lang w:val="en-US" w:eastAsia="zh-CN"/>
        </w:rPr>
        <w:t>0</w:t>
      </w:r>
      <w:r>
        <w:rPr>
          <w:rFonts w:hint="eastAsia" w:ascii="宋体" w:hAnsi="宋体" w:eastAsia="宋体" w:cs="宋体"/>
          <w:i w:val="0"/>
          <w:iCs w:val="0"/>
          <w:caps w:val="0"/>
          <w:color w:val="000000"/>
          <w:spacing w:val="0"/>
          <w:sz w:val="32"/>
          <w:szCs w:val="32"/>
        </w:rPr>
        <w:t>万元，支出决算为</w:t>
      </w:r>
      <w:r>
        <w:rPr>
          <w:rFonts w:hint="eastAsia" w:ascii="宋体" w:hAnsi="宋体" w:eastAsia="宋体" w:cs="宋体"/>
          <w:i w:val="0"/>
          <w:iCs w:val="0"/>
          <w:caps w:val="0"/>
          <w:color w:val="000000"/>
          <w:spacing w:val="0"/>
          <w:sz w:val="32"/>
          <w:szCs w:val="32"/>
          <w:lang w:val="en-US" w:eastAsia="zh-CN"/>
        </w:rPr>
        <w:t>1068.22</w:t>
      </w:r>
      <w:r>
        <w:rPr>
          <w:rFonts w:hint="eastAsia" w:ascii="宋体" w:hAnsi="宋体" w:eastAsia="宋体" w:cs="宋体"/>
          <w:i w:val="0"/>
          <w:iCs w:val="0"/>
          <w:caps w:val="0"/>
          <w:color w:val="000000"/>
          <w:spacing w:val="0"/>
          <w:sz w:val="32"/>
          <w:szCs w:val="32"/>
        </w:rPr>
        <w:t>万元，</w:t>
      </w:r>
      <w:r>
        <w:rPr>
          <w:rFonts w:hint="eastAsia" w:asciiTheme="minorEastAsia" w:hAnsiTheme="minorEastAsia" w:eastAsiaTheme="minorEastAsia"/>
          <w:sz w:val="32"/>
          <w:szCs w:val="32"/>
          <w:lang w:val="en-US" w:eastAsia="zh-CN"/>
        </w:rPr>
        <w:t>无法计算完成比率</w:t>
      </w:r>
      <w:r>
        <w:rPr>
          <w:rFonts w:hint="eastAsia" w:ascii="宋体" w:hAnsi="宋体" w:eastAsia="宋体" w:cs="宋体"/>
          <w:i w:val="0"/>
          <w:iCs w:val="0"/>
          <w:caps w:val="0"/>
          <w:color w:val="000000"/>
          <w:spacing w:val="0"/>
          <w:sz w:val="32"/>
          <w:szCs w:val="32"/>
        </w:rPr>
        <w:t>。决算数大于年初预算数的主要原因是：预算</w:t>
      </w:r>
      <w:r>
        <w:rPr>
          <w:rFonts w:hint="eastAsia" w:ascii="宋体" w:hAnsi="宋体" w:eastAsia="宋体" w:cs="宋体"/>
          <w:i w:val="0"/>
          <w:iCs w:val="0"/>
          <w:caps w:val="0"/>
          <w:color w:val="000000"/>
          <w:spacing w:val="0"/>
          <w:sz w:val="32"/>
          <w:szCs w:val="32"/>
          <w:lang w:val="en-US" w:eastAsia="zh-CN"/>
        </w:rPr>
        <w:t>数</w:t>
      </w:r>
      <w:r>
        <w:rPr>
          <w:rFonts w:hint="eastAsia" w:ascii="宋体" w:hAnsi="宋体" w:eastAsia="宋体" w:cs="宋体"/>
          <w:i w:val="0"/>
          <w:iCs w:val="0"/>
          <w:caps w:val="0"/>
          <w:color w:val="000000"/>
          <w:spacing w:val="0"/>
          <w:sz w:val="32"/>
          <w:szCs w:val="32"/>
        </w:rPr>
        <w:t>只</w:t>
      </w:r>
      <w:r>
        <w:rPr>
          <w:rFonts w:hint="eastAsia" w:ascii="宋体" w:hAnsi="宋体" w:eastAsia="宋体" w:cs="宋体"/>
          <w:i w:val="0"/>
          <w:iCs w:val="0"/>
          <w:caps w:val="0"/>
          <w:color w:val="000000"/>
          <w:spacing w:val="0"/>
          <w:sz w:val="32"/>
          <w:szCs w:val="32"/>
          <w:lang w:val="en-US" w:eastAsia="zh-CN"/>
        </w:rPr>
        <w:t>含</w:t>
      </w:r>
      <w:r>
        <w:rPr>
          <w:rFonts w:hint="eastAsia" w:ascii="宋体" w:hAnsi="宋体" w:eastAsia="宋体" w:cs="宋体"/>
          <w:i w:val="0"/>
          <w:iCs w:val="0"/>
          <w:caps w:val="0"/>
          <w:color w:val="000000"/>
          <w:spacing w:val="0"/>
          <w:sz w:val="32"/>
          <w:szCs w:val="32"/>
        </w:rPr>
        <w:t>县级财政补助资金，决算</w:t>
      </w:r>
      <w:r>
        <w:rPr>
          <w:rFonts w:hint="eastAsia" w:ascii="宋体" w:hAnsi="宋体" w:eastAsia="宋体" w:cs="宋体"/>
          <w:i w:val="0"/>
          <w:iCs w:val="0"/>
          <w:caps w:val="0"/>
          <w:color w:val="000000"/>
          <w:spacing w:val="0"/>
          <w:sz w:val="32"/>
          <w:szCs w:val="32"/>
          <w:lang w:val="en-US" w:eastAsia="zh-CN"/>
        </w:rPr>
        <w:t>数</w:t>
      </w:r>
      <w:r>
        <w:rPr>
          <w:rFonts w:hint="eastAsia" w:ascii="宋体" w:hAnsi="宋体" w:eastAsia="宋体" w:cs="宋体"/>
          <w:i w:val="0"/>
          <w:iCs w:val="0"/>
          <w:caps w:val="0"/>
          <w:color w:val="000000"/>
          <w:spacing w:val="0"/>
          <w:sz w:val="32"/>
          <w:szCs w:val="32"/>
        </w:rPr>
        <w:t>含中央</w:t>
      </w:r>
      <w:r>
        <w:rPr>
          <w:rFonts w:hint="eastAsia" w:ascii="宋体" w:hAnsi="宋体" w:eastAsia="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省</w:t>
      </w:r>
      <w:r>
        <w:rPr>
          <w:rFonts w:hint="eastAsia" w:ascii="宋体" w:hAnsi="宋体" w:eastAsia="宋体" w:cs="宋体"/>
          <w:i w:val="0"/>
          <w:iCs w:val="0"/>
          <w:caps w:val="0"/>
          <w:color w:val="000000"/>
          <w:spacing w:val="0"/>
          <w:sz w:val="32"/>
          <w:szCs w:val="32"/>
          <w:lang w:val="en-US" w:eastAsia="zh-CN"/>
        </w:rPr>
        <w:t>级</w:t>
      </w:r>
      <w:r>
        <w:rPr>
          <w:rFonts w:hint="eastAsia" w:ascii="宋体" w:hAnsi="宋体" w:eastAsia="宋体" w:cs="宋体"/>
          <w:i w:val="0"/>
          <w:iCs w:val="0"/>
          <w:caps w:val="0"/>
          <w:color w:val="000000"/>
          <w:spacing w:val="0"/>
          <w:sz w:val="32"/>
          <w:szCs w:val="32"/>
        </w:rPr>
        <w:t>财政补助资金。</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lang w:val="en-US" w:eastAsia="zh-CN"/>
        </w:rPr>
        <w:t>11</w:t>
      </w:r>
      <w:r>
        <w:rPr>
          <w:rFonts w:hint="eastAsia" w:ascii="宋体" w:hAnsi="宋体" w:eastAsia="宋体" w:cs="宋体"/>
          <w:i w:val="0"/>
          <w:iCs w:val="0"/>
          <w:caps w:val="0"/>
          <w:color w:val="000000"/>
          <w:spacing w:val="0"/>
          <w:sz w:val="32"/>
          <w:szCs w:val="32"/>
        </w:rPr>
        <w:t>、卫生健康支出（类）医疗保障管理事务（款）行政运行（项） </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w:t>
      </w:r>
      <w:r>
        <w:rPr>
          <w:rFonts w:hint="eastAsia" w:ascii="宋体" w:hAnsi="宋体" w:eastAsia="宋体" w:cs="宋体"/>
          <w:i w:val="0"/>
          <w:iCs w:val="0"/>
          <w:caps w:val="0"/>
          <w:color w:val="000000"/>
          <w:spacing w:val="0"/>
          <w:sz w:val="32"/>
          <w:szCs w:val="32"/>
          <w:lang w:val="en-US" w:eastAsia="zh-CN"/>
        </w:rPr>
        <w:t>637.24</w:t>
      </w:r>
      <w:r>
        <w:rPr>
          <w:rFonts w:hint="eastAsia" w:ascii="宋体" w:hAnsi="宋体" w:eastAsia="宋体" w:cs="宋体"/>
          <w:i w:val="0"/>
          <w:iCs w:val="0"/>
          <w:caps w:val="0"/>
          <w:color w:val="000000"/>
          <w:spacing w:val="0"/>
          <w:sz w:val="32"/>
          <w:szCs w:val="32"/>
        </w:rPr>
        <w:t>万元，支出决算为</w:t>
      </w:r>
      <w:r>
        <w:rPr>
          <w:rFonts w:hint="eastAsia" w:ascii="宋体" w:hAnsi="宋体" w:eastAsia="宋体" w:cs="宋体"/>
          <w:i w:val="0"/>
          <w:iCs w:val="0"/>
          <w:caps w:val="0"/>
          <w:color w:val="000000"/>
          <w:spacing w:val="0"/>
          <w:sz w:val="32"/>
          <w:szCs w:val="32"/>
          <w:lang w:val="en-US" w:eastAsia="zh-CN"/>
        </w:rPr>
        <w:t>429.51</w:t>
      </w:r>
      <w:r>
        <w:rPr>
          <w:rFonts w:hint="eastAsia" w:ascii="宋体" w:hAnsi="宋体" w:eastAsia="宋体" w:cs="宋体"/>
          <w:i w:val="0"/>
          <w:iCs w:val="0"/>
          <w:caps w:val="0"/>
          <w:color w:val="000000"/>
          <w:spacing w:val="0"/>
          <w:sz w:val="32"/>
          <w:szCs w:val="32"/>
        </w:rPr>
        <w:t>万元，完成年初预算的</w:t>
      </w:r>
      <w:r>
        <w:rPr>
          <w:rFonts w:hint="eastAsia" w:ascii="宋体" w:hAnsi="宋体" w:eastAsia="宋体" w:cs="宋体"/>
          <w:i w:val="0"/>
          <w:iCs w:val="0"/>
          <w:caps w:val="0"/>
          <w:color w:val="000000"/>
          <w:spacing w:val="0"/>
          <w:sz w:val="32"/>
          <w:szCs w:val="32"/>
          <w:lang w:val="en-US" w:eastAsia="zh-CN"/>
        </w:rPr>
        <w:t>67.40</w:t>
      </w:r>
      <w:r>
        <w:rPr>
          <w:rFonts w:hint="eastAsia" w:ascii="宋体" w:hAnsi="宋体" w:eastAsia="宋体" w:cs="宋体"/>
          <w:i w:val="0"/>
          <w:iCs w:val="0"/>
          <w:caps w:val="0"/>
          <w:color w:val="000000"/>
          <w:spacing w:val="0"/>
          <w:sz w:val="32"/>
          <w:szCs w:val="32"/>
        </w:rPr>
        <w:t>%。决算数小于年初预算数的主要原因是：预算数含医保、养老保险、公积金，实际支出时单列</w:t>
      </w:r>
      <w:r>
        <w:rPr>
          <w:rFonts w:hint="eastAsia" w:ascii="宋体" w:hAnsi="宋体" w:eastAsia="宋体" w:cs="宋体"/>
          <w:i w:val="0"/>
          <w:iCs w:val="0"/>
          <w:caps w:val="0"/>
          <w:color w:val="000000"/>
          <w:spacing w:val="0"/>
          <w:sz w:val="32"/>
          <w:szCs w:val="32"/>
          <w:lang w:val="en-US" w:eastAsia="zh-CN"/>
        </w:rPr>
        <w:t>各相关类、款、项</w:t>
      </w:r>
      <w:r>
        <w:rPr>
          <w:rFonts w:hint="eastAsia" w:ascii="宋体" w:hAnsi="宋体" w:eastAsia="宋体" w:cs="宋体"/>
          <w:i w:val="0"/>
          <w:iCs w:val="0"/>
          <w:caps w:val="0"/>
          <w:color w:val="000000"/>
          <w:spacing w:val="0"/>
          <w:sz w:val="32"/>
          <w:szCs w:val="32"/>
        </w:rPr>
        <w:t>。</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12</w:t>
      </w:r>
      <w:r>
        <w:rPr>
          <w:rFonts w:hint="eastAsia" w:ascii="宋体" w:hAnsi="宋体" w:eastAsia="宋体" w:cs="宋体"/>
          <w:i w:val="0"/>
          <w:iCs w:val="0"/>
          <w:caps w:val="0"/>
          <w:color w:val="000000"/>
          <w:spacing w:val="0"/>
          <w:sz w:val="32"/>
          <w:szCs w:val="32"/>
        </w:rPr>
        <w:t>、卫生健康支出（类）医疗保障管理事务（款）医疗保障政策管理（项） </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年初预算为</w:t>
      </w:r>
      <w:r>
        <w:rPr>
          <w:rFonts w:hint="eastAsia" w:ascii="宋体" w:hAnsi="宋体" w:eastAsia="宋体" w:cs="宋体"/>
          <w:i w:val="0"/>
          <w:iCs w:val="0"/>
          <w:caps w:val="0"/>
          <w:color w:val="000000"/>
          <w:spacing w:val="0"/>
          <w:sz w:val="32"/>
          <w:szCs w:val="32"/>
          <w:lang w:val="en-US" w:eastAsia="zh-CN"/>
        </w:rPr>
        <w:t>32</w:t>
      </w:r>
      <w:r>
        <w:rPr>
          <w:rFonts w:hint="eastAsia" w:ascii="宋体" w:hAnsi="宋体" w:eastAsia="宋体" w:cs="宋体"/>
          <w:i w:val="0"/>
          <w:iCs w:val="0"/>
          <w:caps w:val="0"/>
          <w:color w:val="000000"/>
          <w:spacing w:val="0"/>
          <w:sz w:val="32"/>
          <w:szCs w:val="32"/>
        </w:rPr>
        <w:t>万元，支出决算为</w:t>
      </w:r>
      <w:r>
        <w:rPr>
          <w:rFonts w:hint="eastAsia" w:ascii="宋体" w:hAnsi="宋体" w:eastAsia="宋体" w:cs="宋体"/>
          <w:i w:val="0"/>
          <w:iCs w:val="0"/>
          <w:caps w:val="0"/>
          <w:color w:val="000000"/>
          <w:spacing w:val="0"/>
          <w:sz w:val="32"/>
          <w:szCs w:val="32"/>
          <w:lang w:val="en-US" w:eastAsia="zh-CN"/>
        </w:rPr>
        <w:t>10</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auto"/>
          <w:spacing w:val="0"/>
          <w:sz w:val="32"/>
          <w:szCs w:val="32"/>
        </w:rPr>
        <w:t>完成年初预算的</w:t>
      </w:r>
      <w:r>
        <w:rPr>
          <w:rFonts w:hint="eastAsia" w:ascii="宋体" w:hAnsi="宋体" w:eastAsia="宋体" w:cs="宋体"/>
          <w:i w:val="0"/>
          <w:iCs w:val="0"/>
          <w:caps w:val="0"/>
          <w:color w:val="auto"/>
          <w:spacing w:val="0"/>
          <w:sz w:val="32"/>
          <w:szCs w:val="32"/>
          <w:lang w:val="en-US" w:eastAsia="zh-CN"/>
        </w:rPr>
        <w:t>31.25</w:t>
      </w:r>
      <w:r>
        <w:rPr>
          <w:rFonts w:hint="eastAsia" w:ascii="宋体" w:hAnsi="宋体" w:eastAsia="宋体" w:cs="宋体"/>
          <w:i w:val="0"/>
          <w:iCs w:val="0"/>
          <w:caps w:val="0"/>
          <w:color w:val="auto"/>
          <w:spacing w:val="0"/>
          <w:sz w:val="32"/>
          <w:szCs w:val="32"/>
        </w:rPr>
        <w:t>%。决算数</w:t>
      </w:r>
      <w:r>
        <w:rPr>
          <w:rFonts w:hint="eastAsia" w:ascii="宋体" w:hAnsi="宋体" w:eastAsia="宋体" w:cs="宋体"/>
          <w:i w:val="0"/>
          <w:iCs w:val="0"/>
          <w:caps w:val="0"/>
          <w:color w:val="auto"/>
          <w:spacing w:val="0"/>
          <w:sz w:val="32"/>
          <w:szCs w:val="32"/>
          <w:lang w:val="en-US" w:eastAsia="zh-CN"/>
        </w:rPr>
        <w:t>小</w:t>
      </w:r>
      <w:r>
        <w:rPr>
          <w:rFonts w:hint="eastAsia" w:ascii="宋体" w:hAnsi="宋体" w:eastAsia="宋体" w:cs="宋体"/>
          <w:i w:val="0"/>
          <w:iCs w:val="0"/>
          <w:caps w:val="0"/>
          <w:color w:val="auto"/>
          <w:spacing w:val="0"/>
          <w:sz w:val="32"/>
          <w:szCs w:val="32"/>
        </w:rPr>
        <w:t>于年初预算数的主要原因是：</w:t>
      </w:r>
      <w:r>
        <w:rPr>
          <w:rFonts w:hint="eastAsia" w:ascii="宋体" w:hAnsi="宋体" w:eastAsia="宋体" w:cs="宋体"/>
          <w:i w:val="0"/>
          <w:iCs w:val="0"/>
          <w:caps w:val="0"/>
          <w:color w:val="auto"/>
          <w:spacing w:val="0"/>
          <w:sz w:val="32"/>
          <w:szCs w:val="32"/>
          <w:lang w:val="en-US" w:eastAsia="zh-CN"/>
        </w:rPr>
        <w:t>财政核减</w:t>
      </w:r>
      <w:r>
        <w:rPr>
          <w:rFonts w:hint="eastAsia" w:ascii="宋体" w:hAnsi="宋体" w:eastAsia="宋体" w:cs="宋体"/>
          <w:i w:val="0"/>
          <w:iCs w:val="0"/>
          <w:caps w:val="0"/>
          <w:color w:val="000000"/>
          <w:spacing w:val="0"/>
          <w:sz w:val="32"/>
          <w:szCs w:val="32"/>
          <w:lang w:val="en-US" w:eastAsia="zh-CN"/>
        </w:rPr>
        <w:t>指标数且下达为医疗保障经办事务项。</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13</w:t>
      </w:r>
      <w:r>
        <w:rPr>
          <w:rFonts w:hint="eastAsia" w:ascii="宋体" w:hAnsi="宋体" w:eastAsia="宋体" w:cs="宋体"/>
          <w:i w:val="0"/>
          <w:iCs w:val="0"/>
          <w:caps w:val="0"/>
          <w:color w:val="000000"/>
          <w:spacing w:val="0"/>
          <w:sz w:val="32"/>
          <w:szCs w:val="32"/>
        </w:rPr>
        <w:t>、卫生健康支出（类）医疗保障管理事务（款）医疗保障经办事务（项） </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年初预算为</w:t>
      </w:r>
      <w:r>
        <w:rPr>
          <w:rFonts w:hint="eastAsia" w:ascii="宋体" w:hAnsi="宋体" w:eastAsia="宋体" w:cs="宋体"/>
          <w:i w:val="0"/>
          <w:iCs w:val="0"/>
          <w:caps w:val="0"/>
          <w:color w:val="000000"/>
          <w:spacing w:val="0"/>
          <w:sz w:val="32"/>
          <w:szCs w:val="32"/>
          <w:lang w:val="en-US" w:eastAsia="zh-CN"/>
        </w:rPr>
        <w:t>8.1</w:t>
      </w:r>
      <w:r>
        <w:rPr>
          <w:rFonts w:hint="eastAsia" w:ascii="宋体" w:hAnsi="宋体" w:eastAsia="宋体" w:cs="宋体"/>
          <w:i w:val="0"/>
          <w:iCs w:val="0"/>
          <w:caps w:val="0"/>
          <w:color w:val="000000"/>
          <w:spacing w:val="0"/>
          <w:sz w:val="32"/>
          <w:szCs w:val="32"/>
        </w:rPr>
        <w:t>万元，支出决算为</w:t>
      </w:r>
      <w:r>
        <w:rPr>
          <w:rFonts w:hint="eastAsia" w:ascii="宋体" w:hAnsi="宋体" w:eastAsia="宋体" w:cs="宋体"/>
          <w:i w:val="0"/>
          <w:iCs w:val="0"/>
          <w:caps w:val="0"/>
          <w:color w:val="000000"/>
          <w:spacing w:val="0"/>
          <w:sz w:val="32"/>
          <w:szCs w:val="32"/>
          <w:lang w:val="en-US" w:eastAsia="zh-CN"/>
        </w:rPr>
        <w:t>16.1</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000000"/>
          <w:spacing w:val="0"/>
          <w:sz w:val="32"/>
          <w:szCs w:val="32"/>
          <w:lang w:val="en-US" w:eastAsia="zh-CN"/>
        </w:rPr>
        <w:t>完成</w:t>
      </w:r>
      <w:r>
        <w:rPr>
          <w:rFonts w:hint="eastAsia" w:ascii="宋体" w:hAnsi="宋体" w:eastAsia="宋体" w:cs="宋体"/>
          <w:i w:val="0"/>
          <w:iCs w:val="0"/>
          <w:caps w:val="0"/>
          <w:color w:val="000000"/>
          <w:spacing w:val="0"/>
          <w:sz w:val="32"/>
          <w:szCs w:val="32"/>
        </w:rPr>
        <w:t>年初预算的1</w:t>
      </w:r>
      <w:r>
        <w:rPr>
          <w:rFonts w:hint="eastAsia" w:ascii="宋体" w:hAnsi="宋体" w:eastAsia="宋体" w:cs="宋体"/>
          <w:i w:val="0"/>
          <w:iCs w:val="0"/>
          <w:caps w:val="0"/>
          <w:color w:val="000000"/>
          <w:spacing w:val="0"/>
          <w:sz w:val="32"/>
          <w:szCs w:val="32"/>
          <w:lang w:val="en-US" w:eastAsia="zh-CN"/>
        </w:rPr>
        <w:t>98</w:t>
      </w:r>
      <w:r>
        <w:rPr>
          <w:rFonts w:hint="eastAsia" w:ascii="宋体" w:hAnsi="宋体" w:eastAsia="宋体" w:cs="宋体"/>
          <w:i w:val="0"/>
          <w:iCs w:val="0"/>
          <w:caps w:val="0"/>
          <w:color w:val="000000"/>
          <w:spacing w:val="0"/>
          <w:sz w:val="32"/>
          <w:szCs w:val="32"/>
        </w:rPr>
        <w:t>%。决算数大于年初预算数的主要原因是：预算时</w:t>
      </w:r>
      <w:r>
        <w:rPr>
          <w:rFonts w:hint="eastAsia" w:ascii="宋体" w:hAnsi="宋体" w:eastAsia="宋体" w:cs="宋体"/>
          <w:i w:val="0"/>
          <w:iCs w:val="0"/>
          <w:caps w:val="0"/>
          <w:color w:val="000000"/>
          <w:spacing w:val="0"/>
          <w:sz w:val="32"/>
          <w:szCs w:val="32"/>
          <w:lang w:val="en-US" w:eastAsia="zh-CN"/>
        </w:rPr>
        <w:t>列</w:t>
      </w:r>
      <w:r>
        <w:rPr>
          <w:rFonts w:hint="eastAsia" w:ascii="宋体" w:hAnsi="宋体" w:eastAsia="宋体" w:cs="宋体"/>
          <w:i w:val="0"/>
          <w:iCs w:val="0"/>
          <w:caps w:val="0"/>
          <w:color w:val="000000"/>
          <w:spacing w:val="0"/>
          <w:sz w:val="32"/>
          <w:szCs w:val="32"/>
        </w:rPr>
        <w:t>医疗保障政策管理支出项，实际支出为</w:t>
      </w:r>
      <w:r>
        <w:rPr>
          <w:rFonts w:hint="eastAsia" w:ascii="宋体" w:hAnsi="宋体" w:eastAsia="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医疗保障经办事务项</w:t>
      </w:r>
      <w:r>
        <w:rPr>
          <w:rFonts w:hint="eastAsia" w:ascii="宋体" w:hAnsi="宋体" w:eastAsia="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w:t>
      </w:r>
    </w:p>
    <w:p>
      <w:pPr>
        <w:pStyle w:val="7"/>
        <w:keepNext w:val="0"/>
        <w:keepLines w:val="0"/>
        <w:widowControl/>
        <w:suppressLineNumbers w:val="0"/>
        <w:spacing w:before="0" w:beforeAutospacing="0" w:after="1" w:afterAutospacing="0"/>
        <w:ind w:left="0" w:right="0" w:firstLine="641"/>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lang w:val="en-US" w:eastAsia="zh-CN"/>
        </w:rPr>
        <w:t>14</w:t>
      </w:r>
      <w:r>
        <w:rPr>
          <w:rFonts w:hint="eastAsia" w:ascii="宋体" w:hAnsi="宋体" w:eastAsia="宋体" w:cs="宋体"/>
          <w:i w:val="0"/>
          <w:iCs w:val="0"/>
          <w:caps w:val="0"/>
          <w:color w:val="000000"/>
          <w:spacing w:val="0"/>
          <w:sz w:val="32"/>
          <w:szCs w:val="32"/>
        </w:rPr>
        <w:t>、卫生健康支出（类）医疗保障管理事务（款）其他医疗保障管理事务支出（项） </w:t>
      </w:r>
    </w:p>
    <w:p>
      <w:pPr>
        <w:pStyle w:val="7"/>
        <w:keepNext w:val="0"/>
        <w:keepLines w:val="0"/>
        <w:widowControl/>
        <w:suppressLineNumbers w:val="0"/>
        <w:spacing w:before="0" w:beforeAutospacing="0" w:after="1" w:afterAutospacing="0"/>
        <w:ind w:left="0" w:right="0" w:firstLine="641"/>
        <w:jc w:val="left"/>
        <w:rPr>
          <w:rFonts w:hint="default" w:asciiTheme="minorEastAsia" w:hAnsiTheme="minorEastAsia" w:eastAsiaTheme="minorEastAsia"/>
          <w:sz w:val="32"/>
          <w:szCs w:val="32"/>
          <w:lang w:val="en-US" w:eastAsia="zh-CN"/>
        </w:rPr>
      </w:pPr>
      <w:r>
        <w:rPr>
          <w:rFonts w:hint="eastAsia" w:ascii="宋体" w:hAnsi="宋体" w:eastAsia="宋体" w:cs="宋体"/>
          <w:i w:val="0"/>
          <w:iCs w:val="0"/>
          <w:caps w:val="0"/>
          <w:color w:val="000000"/>
          <w:spacing w:val="0"/>
          <w:sz w:val="32"/>
          <w:szCs w:val="32"/>
        </w:rPr>
        <w:t>年初预算为</w:t>
      </w:r>
      <w:r>
        <w:rPr>
          <w:rFonts w:hint="eastAsia" w:ascii="宋体" w:hAnsi="宋体" w:eastAsia="宋体" w:cs="宋体"/>
          <w:i w:val="0"/>
          <w:iCs w:val="0"/>
          <w:caps w:val="0"/>
          <w:color w:val="000000"/>
          <w:spacing w:val="0"/>
          <w:sz w:val="32"/>
          <w:szCs w:val="32"/>
          <w:lang w:val="en-US" w:eastAsia="zh-CN"/>
        </w:rPr>
        <w:t>20</w:t>
      </w:r>
      <w:r>
        <w:rPr>
          <w:rFonts w:hint="eastAsia" w:ascii="宋体" w:hAnsi="宋体" w:eastAsia="宋体" w:cs="宋体"/>
          <w:i w:val="0"/>
          <w:iCs w:val="0"/>
          <w:caps w:val="0"/>
          <w:color w:val="000000"/>
          <w:spacing w:val="0"/>
          <w:sz w:val="32"/>
          <w:szCs w:val="32"/>
        </w:rPr>
        <w:t>万元，支出决算为</w:t>
      </w:r>
      <w:r>
        <w:rPr>
          <w:rFonts w:hint="eastAsia" w:ascii="宋体" w:hAnsi="宋体" w:eastAsia="宋体" w:cs="宋体"/>
          <w:i w:val="0"/>
          <w:iCs w:val="0"/>
          <w:caps w:val="0"/>
          <w:color w:val="000000"/>
          <w:spacing w:val="0"/>
          <w:sz w:val="32"/>
          <w:szCs w:val="32"/>
          <w:lang w:val="en-US" w:eastAsia="zh-CN"/>
        </w:rPr>
        <w:t>839.64</w:t>
      </w:r>
      <w:r>
        <w:rPr>
          <w:rFonts w:hint="eastAsia" w:ascii="宋体" w:hAnsi="宋体" w:eastAsia="宋体" w:cs="宋体"/>
          <w:i w:val="0"/>
          <w:iCs w:val="0"/>
          <w:caps w:val="0"/>
          <w:color w:val="000000"/>
          <w:spacing w:val="0"/>
          <w:sz w:val="32"/>
          <w:szCs w:val="32"/>
        </w:rPr>
        <w:t>万元，</w:t>
      </w:r>
      <w:r>
        <w:rPr>
          <w:rFonts w:hint="eastAsia" w:cs="黑体" w:asciiTheme="minorEastAsia" w:hAnsiTheme="minorEastAsia" w:eastAsiaTheme="minorEastAsia"/>
          <w:color w:val="000000"/>
          <w:kern w:val="0"/>
          <w:sz w:val="32"/>
          <w:szCs w:val="32"/>
          <w:lang w:val="en-US" w:eastAsia="zh-CN" w:bidi="ar-SA"/>
        </w:rPr>
        <w:t>完成年初预算的4198%。决算数大于年初预算数的主要原因是：政府兜底由县财政统一做预算，单位未单列</w:t>
      </w:r>
      <w:r>
        <w:rPr>
          <w:rFonts w:hint="eastAsia" w:cs="黑体" w:asciiTheme="minorEastAsia" w:hAnsiTheme="minorEastAsia"/>
          <w:color w:val="000000"/>
          <w:kern w:val="0"/>
          <w:sz w:val="32"/>
          <w:szCs w:val="32"/>
          <w:lang w:val="en-US" w:eastAsia="zh-CN" w:bidi="ar-SA"/>
        </w:rPr>
        <w:t>此项</w:t>
      </w:r>
      <w:r>
        <w:rPr>
          <w:rFonts w:hint="eastAsia" w:cs="黑体" w:asciiTheme="minorEastAsia" w:hAnsiTheme="minorEastAsia" w:eastAsiaTheme="minorEastAsia"/>
          <w:color w:val="000000"/>
          <w:kern w:val="0"/>
          <w:sz w:val="32"/>
          <w:szCs w:val="32"/>
          <w:lang w:val="en-US" w:eastAsia="zh-CN" w:bidi="ar-SA"/>
        </w:rPr>
        <w:t>。</w:t>
      </w:r>
    </w:p>
    <w:p>
      <w:pPr>
        <w:pStyle w:val="12"/>
        <w:ind w:firstLine="640" w:firstLineChars="200"/>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38511.61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38385.44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99.67</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、绩效工资、机关事业单位基本养老保险缴费、职工基本医疗保险缴费、其他社会保障缴费、</w:t>
      </w:r>
      <w:r>
        <w:rPr>
          <w:rFonts w:hint="eastAsia" w:asciiTheme="minorEastAsia" w:hAnsiTheme="minorEastAsia" w:eastAsiaTheme="minorEastAsia"/>
          <w:sz w:val="32"/>
          <w:szCs w:val="32"/>
          <w:lang w:val="en-US" w:eastAsia="zh-CN"/>
        </w:rPr>
        <w:t>对个人和家庭补助支出的医疗费补助等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126.17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0.33</w:t>
      </w:r>
      <w:r>
        <w:rPr>
          <w:rFonts w:hint="eastAsia" w:asciiTheme="minorEastAsia" w:hAnsiTheme="minorEastAsia" w:eastAsiaTheme="minorEastAsia"/>
          <w:sz w:val="32"/>
          <w:szCs w:val="32"/>
        </w:rPr>
        <w:t>%，主要包括办公费、印刷费、电费</w:t>
      </w:r>
      <w:r>
        <w:rPr>
          <w:rFonts w:hint="eastAsia" w:asciiTheme="minorEastAsia" w:hAnsiTheme="minorEastAsia" w:eastAsiaTheme="minorEastAsia"/>
          <w:sz w:val="32"/>
          <w:szCs w:val="32"/>
          <w:lang w:eastAsia="zh-CN"/>
        </w:rPr>
        <w:t>、邮电费、</w:t>
      </w:r>
      <w:r>
        <w:rPr>
          <w:rFonts w:hint="eastAsia" w:asciiTheme="minorEastAsia" w:hAnsiTheme="minorEastAsia" w:eastAsiaTheme="minorEastAsia"/>
          <w:sz w:val="32"/>
          <w:szCs w:val="32"/>
        </w:rPr>
        <w:t>差旅费、租赁费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会议费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培训费</w:t>
      </w:r>
      <w:r>
        <w:rPr>
          <w:rFonts w:hint="eastAsia" w:asciiTheme="minorEastAsia" w:hAnsiTheme="minorEastAsia" w:eastAsiaTheme="minorEastAsia"/>
          <w:sz w:val="32"/>
          <w:szCs w:val="32"/>
          <w:lang w:eastAsia="zh-CN"/>
        </w:rPr>
        <w:t>、公务接待费、劳务费、工会经费、其他交通费用、其他商品和服务支出</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七、一般公共预算财政拨款“三公”经费支出决算情况说明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12.55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69.72</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12.55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69.72</w:t>
      </w:r>
      <w:r>
        <w:rPr>
          <w:rFonts w:hint="eastAsia" w:asciiTheme="minorEastAsia" w:hAnsiTheme="minorEastAsia" w:eastAsiaTheme="minorEastAsia"/>
          <w:sz w:val="32"/>
          <w:szCs w:val="32"/>
        </w:rPr>
        <w:t>%，决算数小于预算数的主要原因是单位贯彻落实中央八项规定到位，内控制度更完美，严控支出 ，与上年相比减少</w:t>
      </w:r>
      <w:r>
        <w:rPr>
          <w:rFonts w:hint="eastAsia" w:asciiTheme="minorEastAsia" w:hAnsiTheme="minorEastAsia" w:eastAsiaTheme="minorEastAsia"/>
          <w:sz w:val="32"/>
          <w:szCs w:val="32"/>
          <w:lang w:val="en-US" w:eastAsia="zh-CN"/>
        </w:rPr>
        <w:t>0.39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3.01</w:t>
      </w:r>
      <w:r>
        <w:rPr>
          <w:rFonts w:hint="eastAsia" w:asciiTheme="minorEastAsia" w:hAnsiTheme="minorEastAsia" w:eastAsiaTheme="minorEastAsia"/>
          <w:sz w:val="32"/>
          <w:szCs w:val="32"/>
        </w:rPr>
        <w:t>%,减少的主要原因是单位贯彻落实中央八项规定到位，内控制度更完美，严控支出 。</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12"/>
        <w:ind w:firstLine="640" w:firstLineChars="20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12.55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2、公务接待费支出预算为</w:t>
      </w:r>
      <w:r>
        <w:rPr>
          <w:rFonts w:hint="eastAsia" w:asciiTheme="minorEastAsia" w:hAnsiTheme="minorEastAsia" w:eastAsiaTheme="minorEastAsia"/>
          <w:sz w:val="32"/>
          <w:szCs w:val="32"/>
          <w:lang w:val="en-US" w:eastAsia="zh-CN"/>
        </w:rPr>
        <w:t>12.55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12.55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，完成预算支出的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全年共接待来访团组</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976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省、</w:t>
      </w:r>
      <w:r>
        <w:rPr>
          <w:rFonts w:hint="eastAsia" w:asciiTheme="minorEastAsia" w:hAnsiTheme="minorEastAsia" w:eastAsiaTheme="minorEastAsia"/>
          <w:sz w:val="32"/>
          <w:szCs w:val="32"/>
        </w:rPr>
        <w:t>市内医保部门相互交流学习医保基金经办、监管业务发生的接待支出发生的接待支出。</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12"/>
        <w:ind w:firstLine="640" w:firstLineChars="200"/>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79.91</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79.91</w:t>
      </w:r>
      <w:r>
        <w:rPr>
          <w:rFonts w:hint="eastAsia" w:asciiTheme="minorEastAsia" w:hAnsiTheme="minorEastAsia" w:eastAsiaTheme="minorEastAsia"/>
          <w:sz w:val="32"/>
          <w:szCs w:val="32"/>
        </w:rPr>
        <w:t>万元，其中</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79.91</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1、其他支出（类）彩票公益金安排的支出（款）用于城乡医疗救助的彩票公益金支出（项）。</w:t>
      </w:r>
    </w:p>
    <w:p>
      <w:pPr>
        <w:pStyle w:val="12"/>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79.91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无法计算完成比率</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县级财政无此项政府性基金预算，决算收入为医疗救助中央财政补助资金（彩票公益金）。</w:t>
      </w:r>
    </w:p>
    <w:p>
      <w:pPr>
        <w:pStyle w:val="12"/>
        <w:ind w:firstLine="640" w:firstLineChars="200"/>
        <w:rPr>
          <w:rFonts w:hAnsi="黑体"/>
          <w:b/>
          <w:sz w:val="32"/>
          <w:szCs w:val="32"/>
        </w:rPr>
      </w:pPr>
      <w:r>
        <w:rPr>
          <w:rFonts w:hint="eastAsia" w:hAnsi="黑体"/>
          <w:b/>
          <w:sz w:val="32"/>
          <w:szCs w:val="32"/>
        </w:rPr>
        <w:t>九、机关运行经费支出说明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126.17</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21.48</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14.55</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单位</w:t>
      </w:r>
      <w:r>
        <w:rPr>
          <w:rFonts w:hint="eastAsia" w:asciiTheme="minorEastAsia" w:hAnsiTheme="minorEastAsia" w:eastAsiaTheme="minorEastAsia"/>
          <w:sz w:val="32"/>
          <w:szCs w:val="32"/>
        </w:rPr>
        <w:t>节约开支。</w:t>
      </w:r>
    </w:p>
    <w:p>
      <w:pPr>
        <w:pStyle w:val="12"/>
        <w:rPr>
          <w:rFonts w:hAnsi="黑体"/>
          <w:b/>
          <w:sz w:val="32"/>
          <w:szCs w:val="32"/>
        </w:rPr>
      </w:pPr>
      <w:r>
        <w:rPr>
          <w:rFonts w:hint="eastAsia" w:hAnsi="黑体"/>
          <w:b/>
          <w:sz w:val="32"/>
          <w:szCs w:val="32"/>
        </w:rPr>
        <w:t>十、一般性支出情况说明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2.63</w:t>
      </w:r>
      <w:r>
        <w:rPr>
          <w:rFonts w:hint="eastAsia" w:asciiTheme="minorEastAsia" w:hAnsiTheme="minorEastAsia" w:eastAsiaTheme="minorEastAsia"/>
          <w:sz w:val="32"/>
          <w:szCs w:val="32"/>
        </w:rPr>
        <w:t>万元，</w:t>
      </w:r>
      <w:r>
        <w:rPr>
          <w:rFonts w:hint="eastAsia" w:asciiTheme="minorEastAsia" w:hAnsiTheme="minorEastAsia" w:eastAsiaTheme="minorEastAsia"/>
          <w:color w:val="auto"/>
          <w:sz w:val="32"/>
          <w:szCs w:val="32"/>
        </w:rPr>
        <w:t>用于召开</w:t>
      </w:r>
      <w:r>
        <w:rPr>
          <w:rFonts w:hint="eastAsia" w:asciiTheme="minorEastAsia" w:hAnsiTheme="minorEastAsia" w:eastAsiaTheme="minorEastAsia"/>
          <w:sz w:val="32"/>
          <w:szCs w:val="32"/>
        </w:rPr>
        <w:t>“打击欺诈骗保 维护基金安全”</w:t>
      </w:r>
      <w:r>
        <w:rPr>
          <w:rFonts w:hint="default" w:asciiTheme="minorEastAsia" w:hAnsiTheme="minorEastAsia" w:eastAsiaTheme="minorEastAsia"/>
          <w:sz w:val="32"/>
          <w:szCs w:val="32"/>
        </w:rPr>
        <w:t>集中宣传活动</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约300</w:t>
      </w:r>
      <w:r>
        <w:rPr>
          <w:rFonts w:hint="eastAsia" w:asciiTheme="minorEastAsia" w:hAnsiTheme="minorEastAsia" w:eastAsiaTheme="minorEastAsia"/>
          <w:sz w:val="32"/>
          <w:szCs w:val="32"/>
        </w:rPr>
        <w:t>人，内容为“打击欺诈骗保 维护基金安全”；开支培训费</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万元，用于开展开展新医保系统上线工作培训，人数</w:t>
      </w:r>
      <w:r>
        <w:rPr>
          <w:rFonts w:hint="eastAsia" w:asciiTheme="minorEastAsia" w:hAnsiTheme="minorEastAsia" w:eastAsiaTheme="minorEastAsia"/>
          <w:sz w:val="32"/>
          <w:szCs w:val="32"/>
          <w:lang w:val="en-US" w:eastAsia="zh-CN"/>
        </w:rPr>
        <w:t>约220</w:t>
      </w:r>
      <w:r>
        <w:rPr>
          <w:rFonts w:hint="eastAsia" w:asciiTheme="minorEastAsia" w:hAnsiTheme="minorEastAsia" w:eastAsiaTheme="minorEastAsia"/>
          <w:sz w:val="32"/>
          <w:szCs w:val="32"/>
        </w:rPr>
        <w:t>人，内容为DIP付费方式改革准备工作；无节庆、晚会、赛事等开支</w:t>
      </w:r>
      <w:r>
        <w:rPr>
          <w:rFonts w:hint="eastAsia" w:asciiTheme="minorEastAsia" w:hAnsiTheme="minorEastAsia" w:eastAsiaTheme="minorEastAsia"/>
          <w:sz w:val="32"/>
          <w:szCs w:val="32"/>
          <w:lang w:eastAsia="zh-CN"/>
        </w:rPr>
        <w:t>。</w:t>
      </w:r>
    </w:p>
    <w:p>
      <w:pPr>
        <w:pStyle w:val="12"/>
        <w:ind w:firstLine="640" w:firstLineChars="200"/>
        <w:rPr>
          <w:rFonts w:hAnsi="黑体"/>
          <w:b/>
          <w:sz w:val="32"/>
          <w:szCs w:val="32"/>
        </w:rPr>
      </w:pPr>
      <w:r>
        <w:rPr>
          <w:rFonts w:hint="eastAsia" w:hAnsi="黑体"/>
          <w:b/>
          <w:sz w:val="32"/>
          <w:szCs w:val="32"/>
        </w:rPr>
        <w:t>十一、政府采购支出说明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十二、国有资产占用情况说明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道县医疗保障局</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2"/>
        <w:ind w:firstLine="640" w:firstLineChars="200"/>
        <w:rPr>
          <w:rFonts w:hAnsi="黑体"/>
          <w:b/>
          <w:sz w:val="32"/>
          <w:szCs w:val="32"/>
        </w:rPr>
      </w:pPr>
      <w:r>
        <w:rPr>
          <w:rFonts w:hint="eastAsia" w:hAnsi="黑体"/>
          <w:b/>
          <w:sz w:val="32"/>
          <w:szCs w:val="32"/>
        </w:rPr>
        <w:t>十三、2021年度预算绩效情况说明</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本部门预算绩效管理开展情况、绩效目标和绩效评价报告等见附件。</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numPr>
          <w:ilvl w:val="0"/>
          <w:numId w:val="0"/>
        </w:numPr>
        <w:ind w:left="420" w:leftChars="0" w:firstLine="640" w:firstLineChars="200"/>
        <w:jc w:val="left"/>
        <w:rPr>
          <w:rFonts w:hint="default" w:cs="黑体" w:asciiTheme="minorEastAsia" w:hAnsiTheme="minorEastAsia" w:eastAsiaTheme="minorEastAsia"/>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一、机关运行经费：</w:t>
      </w:r>
      <w:r>
        <w:rPr>
          <w:rFonts w:hint="eastAsia" w:cs="黑体" w:asciiTheme="minorEastAsia" w:hAnsiTheme="minorEastAsia" w:eastAsiaTheme="minorEastAsia"/>
          <w:color w:val="000000"/>
          <w:kern w:val="0"/>
          <w:sz w:val="32"/>
          <w:szCs w:val="32"/>
          <w:lang w:val="en-US" w:eastAsia="zh-CN" w:bidi="ar-SA"/>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default" w:cs="黑体" w:asciiTheme="minorEastAsia" w:hAnsiTheme="minorEastAsia" w:eastAsiaTheme="minorEastAsia"/>
          <w:color w:val="000000"/>
          <w:kern w:val="0"/>
          <w:sz w:val="32"/>
          <w:szCs w:val="32"/>
          <w:lang w:val="en-US" w:eastAsia="zh-CN" w:bidi="ar-SA"/>
        </w:rPr>
        <w:t> </w:t>
      </w:r>
    </w:p>
    <w:p>
      <w:pPr>
        <w:numPr>
          <w:ilvl w:val="0"/>
          <w:numId w:val="0"/>
        </w:numPr>
        <w:ind w:left="420" w:leftChars="0" w:firstLine="640" w:firstLineChars="200"/>
        <w:jc w:val="left"/>
        <w:rPr>
          <w:rFonts w:hint="default" w:cs="黑体" w:asciiTheme="minorEastAsia" w:hAnsiTheme="minorEastAsia" w:eastAsiaTheme="minorEastAsia"/>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二、“三公”</w:t>
      </w:r>
      <w:r>
        <w:rPr>
          <w:rFonts w:hint="default" w:ascii="黑体" w:hAnsi="黑体" w:eastAsia="黑体" w:cs="黑体"/>
          <w:b/>
          <w:color w:val="000000"/>
          <w:kern w:val="0"/>
          <w:sz w:val="32"/>
          <w:szCs w:val="32"/>
          <w:lang w:val="en-US" w:eastAsia="zh-CN" w:bidi="ar-SA"/>
        </w:rPr>
        <w:t>经费：</w:t>
      </w:r>
      <w:r>
        <w:rPr>
          <w:rFonts w:hint="default" w:cs="黑体" w:asciiTheme="minorEastAsia" w:hAnsiTheme="minorEastAsia" w:eastAsiaTheme="minorEastAsia"/>
          <w:color w:val="000000"/>
          <w:kern w:val="0"/>
          <w:sz w:val="32"/>
          <w:szCs w:val="32"/>
          <w:lang w:val="en-US" w:eastAsia="zh-CN" w:bidi="ar-SA"/>
        </w:rPr>
        <w:t>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numPr>
          <w:ilvl w:val="0"/>
          <w:numId w:val="0"/>
        </w:numPr>
        <w:ind w:left="420" w:leftChars="0" w:firstLine="640" w:firstLineChars="200"/>
        <w:jc w:val="left"/>
        <w:rPr>
          <w:rFonts w:hint="default" w:cs="黑体" w:asciiTheme="minorEastAsia" w:hAnsiTheme="minorEastAsia" w:eastAsiaTheme="minorEastAsia"/>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三、基本支出：</w:t>
      </w:r>
      <w:r>
        <w:rPr>
          <w:rFonts w:hint="default" w:cs="黑体" w:asciiTheme="minorEastAsia" w:hAnsiTheme="minorEastAsia" w:eastAsiaTheme="minorEastAsia"/>
          <w:color w:val="000000"/>
          <w:kern w:val="0"/>
          <w:sz w:val="32"/>
          <w:szCs w:val="32"/>
          <w:lang w:val="en-US" w:eastAsia="zh-CN" w:bidi="ar-SA"/>
        </w:rPr>
        <w:t>是指为保障单位机构正常运转、完成日常工作任务而发生的各项支出，包括用于基本工资、津贴补贴等人员经费以及办公费、印刷费、水电费、办公设备购置等日常公用经费。</w:t>
      </w:r>
    </w:p>
    <w:p>
      <w:pPr>
        <w:pStyle w:val="4"/>
        <w:ind w:firstLine="960" w:firstLineChars="300"/>
        <w:rPr>
          <w:rFonts w:hint="default" w:ascii="仿宋_GB2312" w:hAnsi="宋体" w:eastAsia="仿宋_GB2312" w:cs="仿宋_GB2312"/>
          <w:i w:val="0"/>
          <w:iCs w:val="0"/>
          <w:caps w:val="0"/>
          <w:color w:val="000000"/>
          <w:spacing w:val="0"/>
          <w:kern w:val="2"/>
          <w:sz w:val="32"/>
          <w:szCs w:val="32"/>
          <w:lang w:val="en-US" w:eastAsia="zh-CN" w:bidi="ar-SA"/>
        </w:rPr>
      </w:pPr>
      <w:r>
        <w:rPr>
          <w:rFonts w:hint="eastAsia" w:ascii="黑体" w:hAnsi="黑体" w:eastAsia="黑体" w:cs="黑体"/>
          <w:b/>
          <w:color w:val="000000"/>
          <w:kern w:val="0"/>
          <w:sz w:val="32"/>
          <w:szCs w:val="32"/>
          <w:lang w:val="en-US" w:eastAsia="zh-CN" w:bidi="ar-SA"/>
        </w:rPr>
        <w:t>四、项目支出：</w:t>
      </w:r>
      <w:r>
        <w:rPr>
          <w:rFonts w:hint="default" w:cs="黑体" w:asciiTheme="minorEastAsia" w:hAnsiTheme="minorEastAsia" w:eastAsiaTheme="minorEastAsia"/>
          <w:color w:val="000000"/>
          <w:kern w:val="0"/>
          <w:sz w:val="32"/>
          <w:szCs w:val="32"/>
          <w:lang w:val="en-US" w:eastAsia="zh-CN" w:bidi="ar-SA"/>
        </w:rPr>
        <w:t>项目支出：是指单位为完成特定行政工作任务或事业发展目标而发生的支出。</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both"/>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720" w:firstLineChars="200"/>
        <w:jc w:val="center"/>
        <w:rPr>
          <w:rFonts w:hint="eastAsia" w:ascii="黑体" w:hAnsi="黑体" w:eastAsia="黑体" w:cs="黑体"/>
          <w:b/>
          <w:color w:val="000000"/>
          <w:kern w:val="0"/>
          <w:sz w:val="36"/>
          <w:szCs w:val="36"/>
          <w:lang w:val="en-US" w:eastAsia="zh-CN" w:bidi="ar-SA"/>
        </w:rPr>
      </w:pPr>
    </w:p>
    <w:p>
      <w:pPr>
        <w:ind w:firstLine="720" w:firstLineChars="200"/>
        <w:jc w:val="center"/>
        <w:rPr>
          <w:rFonts w:hint="eastAsia" w:ascii="黑体" w:hAnsi="黑体" w:eastAsia="黑体" w:cs="黑体"/>
          <w:b/>
          <w:color w:val="000000"/>
          <w:kern w:val="0"/>
          <w:sz w:val="36"/>
          <w:szCs w:val="36"/>
          <w:lang w:val="en-US" w:eastAsia="zh-CN" w:bidi="ar-SA"/>
        </w:rPr>
      </w:pPr>
      <w:r>
        <w:rPr>
          <w:rFonts w:hint="eastAsia" w:ascii="黑体" w:hAnsi="黑体" w:eastAsia="黑体" w:cs="黑体"/>
          <w:b/>
          <w:color w:val="000000"/>
          <w:kern w:val="0"/>
          <w:sz w:val="36"/>
          <w:szCs w:val="36"/>
          <w:lang w:val="en-US" w:eastAsia="zh-CN" w:bidi="ar-SA"/>
        </w:rPr>
        <w:t>2021年度部门整体支出绩效评价报告</w:t>
      </w:r>
    </w:p>
    <w:p>
      <w:pPr>
        <w:ind w:firstLine="640" w:firstLineChars="200"/>
        <w:rPr>
          <w:rFonts w:hint="eastAsia" w:ascii="黑体" w:hAnsi="黑体" w:eastAsia="黑体" w:cs="黑体"/>
          <w:b/>
          <w:sz w:val="40"/>
          <w:szCs w:val="40"/>
        </w:rPr>
      </w:pPr>
      <w:r>
        <w:rPr>
          <w:rFonts w:hint="eastAsia" w:ascii="黑体" w:hAnsi="黑体" w:eastAsia="黑体" w:cs="黑体"/>
          <w:b/>
          <w:color w:val="000000"/>
          <w:kern w:val="0"/>
          <w:sz w:val="32"/>
          <w:szCs w:val="32"/>
          <w:lang w:val="en-US" w:eastAsia="zh-CN" w:bidi="ar-SA"/>
        </w:rPr>
        <w:t>一、基本情况</w:t>
      </w:r>
    </w:p>
    <w:p>
      <w:pPr>
        <w:pStyle w:val="12"/>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（一）部门基本情况</w:t>
      </w:r>
    </w:p>
    <w:p>
      <w:pPr>
        <w:pStyle w:val="12"/>
        <w:ind w:firstLine="640" w:firstLineChars="200"/>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1．主要职能。</w:t>
      </w:r>
    </w:p>
    <w:p>
      <w:pPr>
        <w:pStyle w:val="12"/>
        <w:ind w:firstLine="640" w:firstLineChars="200"/>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（1）拟定全县医疗保险、生育保险、医疗救助等医疗保障制度的政策、规划和标准，并组织实施。</w:t>
      </w:r>
    </w:p>
    <w:p>
      <w:pPr>
        <w:pStyle w:val="12"/>
        <w:ind w:firstLine="640" w:firstLineChars="200"/>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（2）、组织制定并实施全县医疗保障基金监督管理办法，监督管理相关医疗保障基金。建立健全医疗保障基金安全防控机制，推进医疗保障基金支付方式改革。</w:t>
      </w:r>
    </w:p>
    <w:p>
      <w:pPr>
        <w:pStyle w:val="12"/>
        <w:ind w:firstLine="640" w:firstLineChars="200"/>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3）、组织制定全县医疗保障筹资和待遇政策，组织制定全县城乡居民大病保险政策，完善动态调整和区域内调剂平衡机制，统筹城乡医疗保障待遇标准，建立健全与筹资水平相适应的待遇调整机制。负责管理全县医疗救助资金的使用。组织拟定并实施长期护理保险制度改革方案。</w:t>
      </w:r>
    </w:p>
    <w:p>
      <w:pPr>
        <w:pStyle w:val="12"/>
        <w:ind w:firstLine="640" w:firstLineChars="200"/>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 xml:space="preserve">（4）、贯彻落实国家、湖南省制定的药品、医用耗材、医疗服务项目、医疗服务设施等医保目录、支付标准。贯彻执行医保目录准入谈判规则。 </w:t>
      </w:r>
    </w:p>
    <w:p>
      <w:pPr>
        <w:pStyle w:val="12"/>
        <w:ind w:firstLine="640" w:firstLineChars="200"/>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5）、组织制定全县药品、医用耗材价格和医疗服务项目、医疗服务设施收费等政策，建立医保支付医药服务价格合理确定和动态调整机制，推动建立市场主导的社会医药服务体格形成机制，建立价格信息监测和信息发布制度。</w:t>
      </w:r>
    </w:p>
    <w:p>
      <w:pPr>
        <w:pStyle w:val="12"/>
        <w:ind w:firstLine="640" w:firstLineChars="200"/>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（6）、根据国家、省、市药品、医用耗材的招标采购政策，监督实施全县药品、医用耗材招标采购工作。</w:t>
      </w:r>
    </w:p>
    <w:p>
      <w:pPr>
        <w:pStyle w:val="12"/>
        <w:ind w:firstLine="640" w:firstLineChars="200"/>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（7）、制定全县定点医药机构协议和支付管理办法并组织实施，建立健全医疗保障信用评价体系和信息披露制度，监督管理纳入医保范围内的医疗服务行为和医疗费用，依法查处医疗保障领域违法违规行为。</w:t>
      </w:r>
    </w:p>
    <w:p>
      <w:pPr>
        <w:pStyle w:val="12"/>
        <w:ind w:firstLine="640" w:firstLineChars="200"/>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8）、负责全县医疗保障经办管理、公共服务体系和信息化建设。指导、监督全县医疗保险、生育保险、大病保险、医疗救助等医疗保障经办业务工作。负责医疗保障行政审批事项。组织制定和完善异地就医管理和费用结算政策。建立健全医疗保障关系转移接续制度。开展医疗保障领域合作交流。</w:t>
      </w:r>
    </w:p>
    <w:p>
      <w:pPr>
        <w:pStyle w:val="12"/>
        <w:ind w:firstLine="640" w:firstLineChars="200"/>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（9）、完成县委、县政府交办的其他工作。</w:t>
      </w:r>
    </w:p>
    <w:p>
      <w:pPr>
        <w:pStyle w:val="12"/>
        <w:ind w:firstLine="640" w:firstLineChars="200"/>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10）、职能转变。县医保局应完善统一的城乡居民基本医疗保险制度和大病保险制度，巩固完善城乡居民医疗救助制度，建立健全覆盖全民、城乡统筹的多层次医疗保障体系，不断提高医疗保障水平，确保医保资金合理使用、安全可控，推进医疗、医保、医药“三医联动”改革，更好保障人民群众就医需求、减轻医药费用负担。</w:t>
      </w:r>
    </w:p>
    <w:p>
      <w:pPr>
        <w:pStyle w:val="12"/>
        <w:ind w:firstLine="640" w:firstLineChars="200"/>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（11）、与县卫生健康局的有关职责分工。县卫生健康局、县医保局等部门在医疗、医保、医药等方面加强制度、政策衔接，建立沟通协商机制，协同推进改革，提高医疗资源使用效率和医疗保障水平。</w:t>
      </w:r>
    </w:p>
    <w:p>
      <w:pPr>
        <w:pStyle w:val="12"/>
        <w:ind w:firstLine="640" w:firstLineChars="200"/>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 xml:space="preserve">2、机构设置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道县医保局是县政府工作部门，为正科级行政单位，下设县医疗保障事务中心，为副科级公益一类事业单位。局机关设领导班子3名，内设股室6个，行政编制8个，实有编制人员14人，全部为公务员。县医疗保障事务中心，设领导班子3名，内设股室7个，事业编制51个，实有编制人员38人，全局年末实有工作人员52人。</w:t>
      </w:r>
    </w:p>
    <w:p>
      <w:pPr>
        <w:pStyle w:val="12"/>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（二）部门年度整体支出绩效目标，专项资金绩效目标。</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2021年度单位整体支出和专项资金绩效目标情况：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目标1.继续稳定医保参保缴费率,预计城镇职工参保人数3万人，城乡居民参保人数 65万人。</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2021年全县基本医疗保险实际参保人数为68.55万人，完成市级下达目标任务的110.50%,排全市第一，做到应保尽保。筹集医保基金6.93亿，做大做强基金盘子，提高抗风险能力。</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目标2.确保困难人群全面参保缴费，持续实施重特大疾病医疗救助。</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2021年全面落实城乡医疗救助制度，符合救助条件的对象全部纳入救助范围，全年共救助46992人次，发放救助金1709.16万元。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目标3.完善综合监管机制，继续开展打击欺诈骗保专项治理行动。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坚持严监管强执法，从重打击骗保行为。</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目标4.提升医保经办服务水平。</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Bidi"/>
          <w:bCs/>
          <w:color w:val="auto"/>
          <w:kern w:val="0"/>
          <w:sz w:val="32"/>
          <w:szCs w:val="32"/>
          <w:lang w:val="en-US" w:eastAsia="zh-CN" w:bidi="ar-SA"/>
        </w:rPr>
        <w:t>一是设立窗口服务股，实行“一窗口通办”，梳理政务服务医保事项20余项，简化办事流程。二是持续推进“互联网+医保”服务。</w:t>
      </w:r>
    </w:p>
    <w:p>
      <w:pPr>
        <w:ind w:firstLine="640" w:firstLineChars="200"/>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二、一般公共预算支出情况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2021年本部门一般公共预算拨款收入3072.28万元，一般公共预算支出3239.24万元</w:t>
      </w:r>
      <w:r>
        <w:rPr>
          <w:rFonts w:hint="eastAsia" w:asciiTheme="minorEastAsia" w:hAnsiTheme="minorEastAsia" w:cstheme="minorBidi"/>
          <w:bCs/>
          <w:color w:val="auto"/>
          <w:kern w:val="0"/>
          <w:sz w:val="32"/>
          <w:szCs w:val="32"/>
          <w:lang w:val="en-US" w:eastAsia="zh-CN" w:bidi="ar-SA"/>
        </w:rPr>
        <w:t>（收支均不含基本医疗保障基金财补资金36901.62万元）</w:t>
      </w:r>
      <w:r>
        <w:rPr>
          <w:rFonts w:hint="eastAsia" w:asciiTheme="minorEastAsia" w:hAnsiTheme="minorEastAsia" w:eastAsiaTheme="minorEastAsia" w:cstheme="minorBidi"/>
          <w:bCs/>
          <w:color w:val="auto"/>
          <w:kern w:val="0"/>
          <w:sz w:val="32"/>
          <w:szCs w:val="32"/>
          <w:lang w:val="en-US" w:eastAsia="zh-CN" w:bidi="ar-SA"/>
        </w:rPr>
        <w:t>。</w:t>
      </w:r>
    </w:p>
    <w:p>
      <w:pPr>
        <w:pStyle w:val="12"/>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（一）基本支出情况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 xml:space="preserve">2021年基本支出810万元，主要是为保障部门正常运转、完成日常工作任务而发生的各项支出，包括用于工资福利支出的人员经费以及办公费、印刷费、水电费、办公设备购置等公用经费。 </w:t>
      </w:r>
    </w:p>
    <w:p>
      <w:pPr>
        <w:pStyle w:val="12"/>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（二）项目支出情况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2021年项目支出2429.25万元，各项专项资金的使用管理情况如下：</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1、2021年度医疗救助专项资金分配安排和使用管理情况。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根据《湖南省医疗保障局关于进一步做好医疗救助工作的通知》（湘医保函〔2019〕57号）等文件精神，我局进一步完善我县医疗救助体系，提高困难群众的医疗保障水平，保障困难群众基本医疗需求，切实帮助困难群众解决医疗问题。2021年各级财政共筹集医疗救助专项资金1481.93万元，其中：中央1222.1万元，省级59.83万元，县本级200万元。上年累计结转147.32万元，该项目资金全年支出1629.25万元（不含用于医疗救助支出的政府性基金支出79.91万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2、2021年度一站式结算政府兜底专项资金分配安排和使用管理情况。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根据《道县人民政府办公室关于印发道县健康扶贫“一站式”结算实施方案的通知》（道政办发〔2018〕30号）文件精神，2021年县财政安排“一站式”结算政府兜底资金800万元。</w:t>
      </w:r>
    </w:p>
    <w:p>
      <w:pPr>
        <w:ind w:firstLine="640" w:firstLineChars="200"/>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三、政府性基金预算支出情况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Theme="minorEastAsia" w:hAnsiTheme="minorEastAsia" w:eastAsiaTheme="minorEastAsia" w:cstheme="minorBidi"/>
          <w:bCs/>
          <w:color w:val="auto"/>
          <w:kern w:val="0"/>
          <w:sz w:val="32"/>
          <w:szCs w:val="32"/>
          <w:lang w:val="en-US" w:eastAsia="zh-CN" w:bidi="ar-SA"/>
        </w:rPr>
        <w:t>2021年度政府性基金收入和支出均为79.91万元，全部为用于城乡医疗救助支出。</w:t>
      </w:r>
    </w:p>
    <w:p>
      <w:pPr>
        <w:ind w:firstLine="640" w:firstLineChars="200"/>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四、国有资本经营预算支出情况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本单位无国有资本经营预算的收支。</w:t>
      </w:r>
    </w:p>
    <w:p>
      <w:pPr>
        <w:ind w:firstLine="640" w:firstLineChars="200"/>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五、社会保险基金预算支出情况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我县城乡居民医保参保人数654722人，城镇职工医保参保人数31782人，按户籍人口为基础计算的参保率为85.57%，按常住人口为基础计算的参保率为110.45%，超额完成标准值，无重复参保及虚报参保人数。2021年基本医疗保险基金各级财政下达补助资金36901.62万元。其中：中央补助资金22103万元、省级补助资金10552.4万元，县级财政相应配套4246.22万元（含城镇职工医保县级财政补助254.35万元）。全年基本医疗保险基金统筹支付 51099万元，享受待遇38.84万人次 。</w:t>
      </w:r>
    </w:p>
    <w:p>
      <w:pPr>
        <w:ind w:firstLine="640" w:firstLineChars="200"/>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六、部门整体支出绩效情况</w:t>
      </w:r>
    </w:p>
    <w:p>
      <w:pPr>
        <w:ind w:firstLine="600" w:firstLineChars="200"/>
        <w:rPr>
          <w:rFonts w:hint="eastAsia" w:cs="黑体" w:asciiTheme="minorEastAsia" w:hAnsiTheme="minorEastAsia" w:eastAsiaTheme="minorEastAsia"/>
          <w:b/>
          <w:color w:val="000000"/>
          <w:kern w:val="0"/>
          <w:sz w:val="32"/>
          <w:szCs w:val="32"/>
          <w:lang w:val="en-US" w:eastAsia="zh-CN" w:bidi="ar-SA"/>
        </w:rPr>
      </w:pPr>
      <w:r>
        <w:rPr>
          <w:rFonts w:hint="eastAsia" w:ascii="宋体" w:hAnsi="宋体" w:eastAsia="宋体" w:cs="Times New Roman"/>
          <w:kern w:val="2"/>
          <w:sz w:val="30"/>
          <w:szCs w:val="30"/>
          <w:lang w:val="en-US" w:eastAsia="zh-CN" w:bidi="ar-SA"/>
        </w:rPr>
        <w:t xml:space="preserve"> </w:t>
      </w:r>
      <w:r>
        <w:rPr>
          <w:rFonts w:hint="eastAsia" w:cs="黑体" w:asciiTheme="minorEastAsia" w:hAnsiTheme="minorEastAsia" w:eastAsiaTheme="minorEastAsia"/>
          <w:b/>
          <w:color w:val="000000"/>
          <w:kern w:val="0"/>
          <w:sz w:val="32"/>
          <w:szCs w:val="32"/>
          <w:lang w:val="en-US" w:eastAsia="zh-CN" w:bidi="ar-SA"/>
        </w:rPr>
        <w:t>（一）坚持抓参保促扩面，夯实医保基金盘子</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面对新冠疫情新形势，我局开动脑筋、迎难而上、多措并举、千方百计提高征缴面。2021年基本医疗参保人数为686504人，完成市级下达目标任务的110.50%,排全市第一。筹集医保基金6.93亿，做大做强基金盘子，提高抗风险能力。</w:t>
      </w:r>
    </w:p>
    <w:p>
      <w:pPr>
        <w:pStyle w:val="12"/>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（二）坚持惠民生促和谐，减轻群众就医负担</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一是全面推进门诊统筹和“两病”门诊，让群众享受更多医保政策红利。截止目前，门诊统筹待遇享受112575人次、补偿411.83万元。高血压门诊待遇享受2832人次，降血压药品基金支出52650.51元；糖尿病门诊待遇享受1583人次，降血糖药品基金支出65554.63元。二是全面落实医保补偿制度。全年城乡居民医保统筹支付48735.15万元，共365000人次；城镇职工统筹支付2363.85万元，享受待遇23401人次；大病互助支付110.71万元，享受待遇140人次。三是全面落实城乡医疗救助制度。2021年资助参保30538人次，资助金额609.37万元。医疗救助补偿16454人次，补偿金额1099.79万元。四是积极推进药品集中带量采购。今年已开展四批共157种国家带量药品采购和湖南省抗菌药物专项集中采购154个品种和五省联盟带量采购7种药品共完成采购金额1515余万元。五是开展高值耗材冠脉支架带量采购工作。高值耗材冠脉支架从2021年起开始实行集中带量采购工作，今年采购完成高值医用耗材（冠脉支架）157个，采购金额9.26万元元，患者需要做冠脉支架手术耗材的费用由原来1万元左右下降到1千元左右，平均降幅85%左右，大大降低了患者的负担。六是完成了“三大目录”的上线工作。协议医院省级目录进行匹配，并按照目录实行结算；完成协议医药机构的赋码工作，完成医生、护士、药师的赋码工作；完成41家医院的协议签订工作。</w:t>
      </w:r>
    </w:p>
    <w:p>
      <w:pPr>
        <w:pStyle w:val="12"/>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（三）坚持严监管强执法，从重打击骗保行为</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一是开展专项治理“回头看”全履盖检查。联合卫健局核查全县41家定点医疗机构存在的违规收费等欺诈骗保行为涉及违规费用180余万元。二是组织定点医药机构开展欺诈骗保行为自查自纠工作。全县41家协议医疗机构对标对表开展自查自纠，各协议医疗机构自查自纠主动退回基金账户违规金额计175.98万元。三是加大对举报案件的查处。今年5月，查处1家乡镇卫生院的举报套取医保基金案，拒付3.61万元，处罚7.22万元。四是开展打击欺诈骗保专项整治行动。联动公安、卫健部门对道县两家精神病专科医院开展专项整治行动，初步核定违规金额27.63万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截至目前，已查处对管理欠规范、不合理收费等突出的医疗机构3家，责令整改6家；共查处违规补偿额300余万元，及时遏制了医疗机构的违规行为。</w:t>
      </w:r>
    </w:p>
    <w:p>
      <w:pPr>
        <w:pStyle w:val="12"/>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（四）坚持服务提质,优化便民服务平台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一是设立窗口服务股，实行“一窗口通办”，梳理政务服务医保事项20余项，包括后台报账、费用审核与结算、社保卡激活、费用审核与审批、医药服务等,简化办事流程。今年以来，窗口受理业务咨询30423人次，办件65166件，办结率达到100%，业务量在政务中心进驻单位中排名前三。二是持续推进“互联网+医保”服务。开设两条异地就医转诊专人专岗服务热线，利用宣传平台，大力推广激活“湘医保”（医保电子凭证）。今年，我局政务中心窗口成功创建永州市青年文明号，树立了良好形象。</w:t>
      </w:r>
    </w:p>
    <w:p>
      <w:pPr>
        <w:pStyle w:val="12"/>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（五）坚持转作风提素质，打造医疗保障铁军</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eastAsia" w:asciiTheme="minorEastAsia" w:hAnsiTheme="minorEastAsia" w:eastAsiaTheme="minorEastAsia" w:cstheme="minorBidi"/>
          <w:bCs/>
          <w:color w:val="auto"/>
          <w:kern w:val="0"/>
          <w:sz w:val="32"/>
          <w:szCs w:val="32"/>
          <w:lang w:val="en-US" w:eastAsia="zh-CN" w:bidi="ar-SA"/>
        </w:rPr>
        <w:t xml:space="preserve">认真落实党组中心组理论集中学习、党员“三会一课”、主题党日活动等制度，全年开展专题学习10余场。全面落实从严治党主体责任，认真履行“一岗双责”，持之以恒纠“四风”，加大清廉机关、清廉医保建设力度，一年来，我局未发生违法违规案件。同时，狠抓干部作风整顿，持续推进医疗保障领域行风建设，不断增强干部职工为民服务的思想自觉和行动自觉。 </w:t>
      </w:r>
    </w:p>
    <w:p>
      <w:pPr>
        <w:ind w:firstLine="640" w:firstLineChars="200"/>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七、绩效自评结果拟应用和公开情况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heme="minorEastAsia" w:hAnsiTheme="minorEastAsia" w:eastAsiaTheme="minorEastAsia" w:cstheme="minorBidi"/>
          <w:bCs/>
          <w:color w:val="auto"/>
          <w:kern w:val="0"/>
          <w:sz w:val="32"/>
          <w:szCs w:val="32"/>
          <w:lang w:val="en-US" w:eastAsia="zh-CN" w:bidi="ar-SA"/>
        </w:rPr>
      </w:pPr>
      <w:r>
        <w:rPr>
          <w:rFonts w:hint="default" w:asciiTheme="minorEastAsia" w:hAnsiTheme="minorEastAsia" w:eastAsiaTheme="minorEastAsia" w:cstheme="minorBidi"/>
          <w:bCs/>
          <w:color w:val="auto"/>
          <w:kern w:val="0"/>
          <w:sz w:val="32"/>
          <w:szCs w:val="32"/>
          <w:lang w:val="en-US" w:eastAsia="zh-CN" w:bidi="ar-SA"/>
        </w:rPr>
        <w:t>总体来说，我局20</w:t>
      </w:r>
      <w:r>
        <w:rPr>
          <w:rFonts w:hint="eastAsia" w:asciiTheme="minorEastAsia" w:hAnsiTheme="minorEastAsia" w:eastAsiaTheme="minorEastAsia" w:cstheme="minorBidi"/>
          <w:bCs/>
          <w:color w:val="auto"/>
          <w:kern w:val="0"/>
          <w:sz w:val="32"/>
          <w:szCs w:val="32"/>
          <w:lang w:val="en-US" w:eastAsia="zh-CN" w:bidi="ar-SA"/>
        </w:rPr>
        <w:t>21</w:t>
      </w:r>
      <w:r>
        <w:rPr>
          <w:rFonts w:hint="default" w:asciiTheme="minorEastAsia" w:hAnsiTheme="minorEastAsia" w:eastAsiaTheme="minorEastAsia" w:cstheme="minorBidi"/>
          <w:bCs/>
          <w:color w:val="auto"/>
          <w:kern w:val="0"/>
          <w:sz w:val="32"/>
          <w:szCs w:val="32"/>
          <w:lang w:val="en-US" w:eastAsia="zh-CN" w:bidi="ar-SA"/>
        </w:rPr>
        <w:t>年部门整体支出情况良好，财政资金预算配置合理合规，预算执行严格有序，预算管理规范可控，资金效益合乎预期。从预算到执行和收入、支出、资产管理及信息公开，都严格按相关制度要求进行，全年收支平衡，有效保证了机构运转，圆满完成了上级下达的目标任务，取得了较好的社会效益。</w:t>
      </w:r>
      <w:r>
        <w:rPr>
          <w:rFonts w:hint="eastAsia" w:asciiTheme="minorEastAsia" w:hAnsiTheme="minorEastAsia" w:eastAsiaTheme="minorEastAsia" w:cstheme="minorBidi"/>
          <w:bCs/>
          <w:color w:val="auto"/>
          <w:kern w:val="0"/>
          <w:sz w:val="32"/>
          <w:szCs w:val="32"/>
          <w:lang w:val="en-US" w:eastAsia="zh-CN" w:bidi="ar-SA"/>
        </w:rPr>
        <w:t>综合评分为97分，自评结果为“优”。</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heme="minorEastAsia" w:hAnsiTheme="minorEastAsia" w:eastAsiaTheme="minorEastAsia" w:cstheme="minorBidi"/>
          <w:bCs/>
          <w:color w:val="auto"/>
          <w:kern w:val="0"/>
          <w:sz w:val="32"/>
          <w:szCs w:val="32"/>
          <w:lang w:val="en-US" w:eastAsia="zh-CN" w:bidi="ar-SA"/>
        </w:rPr>
      </w:pPr>
      <w:r>
        <w:rPr>
          <w:rFonts w:hint="default" w:asciiTheme="minorEastAsia" w:hAnsiTheme="minorEastAsia" w:eastAsiaTheme="minorEastAsia" w:cstheme="minorBidi"/>
          <w:bCs/>
          <w:color w:val="auto"/>
          <w:kern w:val="0"/>
          <w:sz w:val="32"/>
          <w:szCs w:val="32"/>
          <w:lang w:val="en-US" w:eastAsia="zh-CN" w:bidi="ar-SA"/>
        </w:rPr>
        <w:t>绩效自评对全年工作目标起到积极的促进作用，为明年的工作开展及实施奠定坚实的基础。我单位将绩效自评结果运用到下一年工作的统筹安排、项目资金划拨及按照工作任务的重要性来明确资金使用上，以提高工作效率，保质保量完成各项工作任务。本次自评按相关要求</w:t>
      </w:r>
      <w:r>
        <w:rPr>
          <w:rFonts w:hint="eastAsia" w:asciiTheme="minorEastAsia" w:hAnsiTheme="minorEastAsia" w:eastAsiaTheme="minorEastAsia" w:cstheme="minorBidi"/>
          <w:bCs/>
          <w:color w:val="auto"/>
          <w:kern w:val="0"/>
          <w:sz w:val="32"/>
          <w:szCs w:val="32"/>
          <w:lang w:val="en-US" w:eastAsia="zh-CN" w:bidi="ar-SA"/>
        </w:rPr>
        <w:t>及时</w:t>
      </w:r>
      <w:r>
        <w:rPr>
          <w:rFonts w:hint="default" w:asciiTheme="minorEastAsia" w:hAnsiTheme="minorEastAsia" w:eastAsiaTheme="minorEastAsia" w:cstheme="minorBidi"/>
          <w:bCs/>
          <w:color w:val="auto"/>
          <w:kern w:val="0"/>
          <w:sz w:val="32"/>
          <w:szCs w:val="32"/>
          <w:lang w:val="en-US" w:eastAsia="zh-CN" w:bidi="ar-SA"/>
        </w:rPr>
        <w:t>上报</w:t>
      </w:r>
      <w:r>
        <w:rPr>
          <w:rFonts w:hint="eastAsia" w:asciiTheme="minorEastAsia" w:hAnsiTheme="minorEastAsia" w:eastAsiaTheme="minorEastAsia" w:cstheme="minorBidi"/>
          <w:bCs/>
          <w:color w:val="auto"/>
          <w:kern w:val="0"/>
          <w:sz w:val="32"/>
          <w:szCs w:val="32"/>
          <w:lang w:val="en-US" w:eastAsia="zh-CN" w:bidi="ar-SA"/>
        </w:rPr>
        <w:t>、</w:t>
      </w:r>
      <w:r>
        <w:rPr>
          <w:rFonts w:hint="default" w:asciiTheme="minorEastAsia" w:hAnsiTheme="minorEastAsia" w:eastAsiaTheme="minorEastAsia" w:cstheme="minorBidi"/>
          <w:bCs/>
          <w:color w:val="auto"/>
          <w:kern w:val="0"/>
          <w:sz w:val="32"/>
          <w:szCs w:val="32"/>
          <w:lang w:val="en-US" w:eastAsia="zh-CN" w:bidi="ar-SA"/>
        </w:rPr>
        <w:t>公开。绩效评价结果的公开不仅提供资金使用的透明度，而且强化政府行为的合理性和合法性，取得公众对医保工作的肯定。</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BEEA1C-39C1-4EFF-87A4-A19FA2907C5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D203E818-CB4E-439C-B2DF-1C1DAC36308C}"/>
  </w:font>
  <w:font w:name="华文中宋">
    <w:altName w:val="宋体"/>
    <w:panose1 w:val="02010600040101010101"/>
    <w:charset w:val="86"/>
    <w:family w:val="auto"/>
    <w:pitch w:val="default"/>
    <w:sig w:usb0="00000000" w:usb1="00000000" w:usb2="00000000" w:usb3="00000000" w:csb0="0004009F" w:csb1="DFD70000"/>
    <w:embedRegular r:id="rId3" w:fontKey="{0DDEB561-07E3-4ECB-A8B6-A5301A7A4D9F}"/>
  </w:font>
  <w:font w:name="方正小标宋_GBK">
    <w:panose1 w:val="02000000000000000000"/>
    <w:charset w:val="86"/>
    <w:family w:val="script"/>
    <w:pitch w:val="default"/>
    <w:sig w:usb0="A00002BF" w:usb1="38CF7CFA" w:usb2="00082016" w:usb3="00000000" w:csb0="00040001" w:csb1="00000000"/>
    <w:embedRegular r:id="rId4" w:fontKey="{451B0FB4-848E-42ED-8A65-514BC34E48B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D31D5"/>
    <w:multiLevelType w:val="singleLevel"/>
    <w:tmpl w:val="F7DD31D5"/>
    <w:lvl w:ilvl="0" w:tentative="0">
      <w:start w:val="4"/>
      <w:numFmt w:val="chineseCounting"/>
      <w:suff w:val="nothing"/>
      <w:lvlText w:val="%1、"/>
      <w:lvlJc w:val="left"/>
      <w:rPr>
        <w:rFonts w:hint="eastAsia"/>
      </w:rPr>
    </w:lvl>
  </w:abstractNum>
  <w:abstractNum w:abstractNumId="1">
    <w:nsid w:val="25FDD4F7"/>
    <w:multiLevelType w:val="singleLevel"/>
    <w:tmpl w:val="25FDD4F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623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9C3B08"/>
    <w:rsid w:val="02D7069C"/>
    <w:rsid w:val="02EA1E17"/>
    <w:rsid w:val="032B09E8"/>
    <w:rsid w:val="0381560B"/>
    <w:rsid w:val="03C36E72"/>
    <w:rsid w:val="03EC4758"/>
    <w:rsid w:val="04E21C1B"/>
    <w:rsid w:val="04E91183"/>
    <w:rsid w:val="05563B02"/>
    <w:rsid w:val="061978E9"/>
    <w:rsid w:val="06CE0008"/>
    <w:rsid w:val="07BF5055"/>
    <w:rsid w:val="07CC6487"/>
    <w:rsid w:val="08730E67"/>
    <w:rsid w:val="0878657C"/>
    <w:rsid w:val="089E3A0A"/>
    <w:rsid w:val="092826A2"/>
    <w:rsid w:val="09F71624"/>
    <w:rsid w:val="0A232419"/>
    <w:rsid w:val="0ACB4F8A"/>
    <w:rsid w:val="0AD75A32"/>
    <w:rsid w:val="0B424E6E"/>
    <w:rsid w:val="0B444D3D"/>
    <w:rsid w:val="0BAD4BBE"/>
    <w:rsid w:val="0C0007E1"/>
    <w:rsid w:val="0C0704BC"/>
    <w:rsid w:val="0C1C3319"/>
    <w:rsid w:val="0C2506CA"/>
    <w:rsid w:val="0C5E3BDC"/>
    <w:rsid w:val="0D3475F8"/>
    <w:rsid w:val="0D731909"/>
    <w:rsid w:val="0D961154"/>
    <w:rsid w:val="0E364E11"/>
    <w:rsid w:val="0E507767"/>
    <w:rsid w:val="0ED71A24"/>
    <w:rsid w:val="0F8C280E"/>
    <w:rsid w:val="0FF83FD7"/>
    <w:rsid w:val="10125409"/>
    <w:rsid w:val="108522BA"/>
    <w:rsid w:val="10C83D1A"/>
    <w:rsid w:val="11DF131B"/>
    <w:rsid w:val="124A7DCF"/>
    <w:rsid w:val="124B52FD"/>
    <w:rsid w:val="131352E1"/>
    <w:rsid w:val="13A652ED"/>
    <w:rsid w:val="140E3FD0"/>
    <w:rsid w:val="141A3C20"/>
    <w:rsid w:val="15A969F7"/>
    <w:rsid w:val="15DD5B72"/>
    <w:rsid w:val="15F01DDF"/>
    <w:rsid w:val="165C29EB"/>
    <w:rsid w:val="16E217CB"/>
    <w:rsid w:val="1720040C"/>
    <w:rsid w:val="172F4AF3"/>
    <w:rsid w:val="175E47EF"/>
    <w:rsid w:val="19E951A2"/>
    <w:rsid w:val="1A07072A"/>
    <w:rsid w:val="1A320B87"/>
    <w:rsid w:val="1A833539"/>
    <w:rsid w:val="1A8C400A"/>
    <w:rsid w:val="1B012F66"/>
    <w:rsid w:val="1B250E06"/>
    <w:rsid w:val="1BAF1D5E"/>
    <w:rsid w:val="1BAF3C42"/>
    <w:rsid w:val="1C316C17"/>
    <w:rsid w:val="1C506DBF"/>
    <w:rsid w:val="1C817B9F"/>
    <w:rsid w:val="1CD723CC"/>
    <w:rsid w:val="1CEB326A"/>
    <w:rsid w:val="1DC615E1"/>
    <w:rsid w:val="1DED3012"/>
    <w:rsid w:val="1E396ABD"/>
    <w:rsid w:val="1EFF7485"/>
    <w:rsid w:val="1F8B2EF8"/>
    <w:rsid w:val="205E7B4F"/>
    <w:rsid w:val="20E3645C"/>
    <w:rsid w:val="20FC1961"/>
    <w:rsid w:val="21B31E7D"/>
    <w:rsid w:val="2209600E"/>
    <w:rsid w:val="223D0FAA"/>
    <w:rsid w:val="22721D38"/>
    <w:rsid w:val="24AF1D92"/>
    <w:rsid w:val="24BC54EC"/>
    <w:rsid w:val="24EC5DD1"/>
    <w:rsid w:val="25386701"/>
    <w:rsid w:val="259A75DB"/>
    <w:rsid w:val="25A446BE"/>
    <w:rsid w:val="26FC7E22"/>
    <w:rsid w:val="27207FB4"/>
    <w:rsid w:val="275639D6"/>
    <w:rsid w:val="279B588D"/>
    <w:rsid w:val="2821304F"/>
    <w:rsid w:val="283E4B96"/>
    <w:rsid w:val="28D472A8"/>
    <w:rsid w:val="29C6285B"/>
    <w:rsid w:val="2A042187"/>
    <w:rsid w:val="2A3A76D6"/>
    <w:rsid w:val="2A4445CC"/>
    <w:rsid w:val="2A6938B8"/>
    <w:rsid w:val="2BFD08C4"/>
    <w:rsid w:val="2CF962A5"/>
    <w:rsid w:val="2E6966E5"/>
    <w:rsid w:val="2E771303"/>
    <w:rsid w:val="2F3F64DB"/>
    <w:rsid w:val="2F6452EA"/>
    <w:rsid w:val="2F6B0CED"/>
    <w:rsid w:val="2F7161E5"/>
    <w:rsid w:val="2F80638D"/>
    <w:rsid w:val="2FC74ED6"/>
    <w:rsid w:val="306929CC"/>
    <w:rsid w:val="30D2231F"/>
    <w:rsid w:val="30E2489C"/>
    <w:rsid w:val="31E87920"/>
    <w:rsid w:val="323448B4"/>
    <w:rsid w:val="331C3CA1"/>
    <w:rsid w:val="333F7A14"/>
    <w:rsid w:val="33D939C5"/>
    <w:rsid w:val="34BD137E"/>
    <w:rsid w:val="35433694"/>
    <w:rsid w:val="35613247"/>
    <w:rsid w:val="35DE0CDF"/>
    <w:rsid w:val="378258D0"/>
    <w:rsid w:val="37C1407A"/>
    <w:rsid w:val="37DE3C9F"/>
    <w:rsid w:val="382611A3"/>
    <w:rsid w:val="384266A5"/>
    <w:rsid w:val="385A4951"/>
    <w:rsid w:val="388859B9"/>
    <w:rsid w:val="38C8216C"/>
    <w:rsid w:val="38E56968"/>
    <w:rsid w:val="38E839F1"/>
    <w:rsid w:val="38FD2530"/>
    <w:rsid w:val="3A153590"/>
    <w:rsid w:val="3A3E7B24"/>
    <w:rsid w:val="3AAD35FB"/>
    <w:rsid w:val="3AD24831"/>
    <w:rsid w:val="3BBA273E"/>
    <w:rsid w:val="3C1D6033"/>
    <w:rsid w:val="3D023F8C"/>
    <w:rsid w:val="3D2B17B5"/>
    <w:rsid w:val="3D341F2A"/>
    <w:rsid w:val="3D89339C"/>
    <w:rsid w:val="3E3E66DA"/>
    <w:rsid w:val="3EDC25BB"/>
    <w:rsid w:val="40B30B18"/>
    <w:rsid w:val="415C7CAA"/>
    <w:rsid w:val="416261FF"/>
    <w:rsid w:val="41DC2290"/>
    <w:rsid w:val="42A42A98"/>
    <w:rsid w:val="42CE0610"/>
    <w:rsid w:val="42E51972"/>
    <w:rsid w:val="436332AB"/>
    <w:rsid w:val="43885E71"/>
    <w:rsid w:val="43E66EFE"/>
    <w:rsid w:val="447514E8"/>
    <w:rsid w:val="449F6565"/>
    <w:rsid w:val="44E93C84"/>
    <w:rsid w:val="458B6C82"/>
    <w:rsid w:val="4633754B"/>
    <w:rsid w:val="467001B9"/>
    <w:rsid w:val="46BD0F24"/>
    <w:rsid w:val="46F03063"/>
    <w:rsid w:val="47172AA3"/>
    <w:rsid w:val="4723522B"/>
    <w:rsid w:val="48496604"/>
    <w:rsid w:val="48D569F9"/>
    <w:rsid w:val="48FA645F"/>
    <w:rsid w:val="495F6F59"/>
    <w:rsid w:val="496F29A9"/>
    <w:rsid w:val="4A5C2802"/>
    <w:rsid w:val="4B081925"/>
    <w:rsid w:val="4B68071D"/>
    <w:rsid w:val="4BC532F1"/>
    <w:rsid w:val="4CEF587D"/>
    <w:rsid w:val="4D3A43E4"/>
    <w:rsid w:val="4D8B58D8"/>
    <w:rsid w:val="4E1F4A85"/>
    <w:rsid w:val="4E9419CF"/>
    <w:rsid w:val="4EF23735"/>
    <w:rsid w:val="4F3D5C49"/>
    <w:rsid w:val="4F830B68"/>
    <w:rsid w:val="51081256"/>
    <w:rsid w:val="51B13991"/>
    <w:rsid w:val="51B47D0F"/>
    <w:rsid w:val="52383B54"/>
    <w:rsid w:val="532365B3"/>
    <w:rsid w:val="533B1B4E"/>
    <w:rsid w:val="54433155"/>
    <w:rsid w:val="54532EC8"/>
    <w:rsid w:val="54D5430B"/>
    <w:rsid w:val="553B5E36"/>
    <w:rsid w:val="554B4D08"/>
    <w:rsid w:val="55660C91"/>
    <w:rsid w:val="56F919E5"/>
    <w:rsid w:val="588D4BFA"/>
    <w:rsid w:val="59011144"/>
    <w:rsid w:val="590C5701"/>
    <w:rsid w:val="59222295"/>
    <w:rsid w:val="59987F3E"/>
    <w:rsid w:val="59C105C2"/>
    <w:rsid w:val="5A262157"/>
    <w:rsid w:val="5BE2700B"/>
    <w:rsid w:val="5C5F68AD"/>
    <w:rsid w:val="5D2D2508"/>
    <w:rsid w:val="5D887B53"/>
    <w:rsid w:val="5D9C768D"/>
    <w:rsid w:val="5DD24E5D"/>
    <w:rsid w:val="5DF272AD"/>
    <w:rsid w:val="5DFE20F6"/>
    <w:rsid w:val="5E110272"/>
    <w:rsid w:val="5EBB3B43"/>
    <w:rsid w:val="5F4634C0"/>
    <w:rsid w:val="5FA77173"/>
    <w:rsid w:val="5FBB4C6E"/>
    <w:rsid w:val="60B531C6"/>
    <w:rsid w:val="60E63D35"/>
    <w:rsid w:val="60F5158E"/>
    <w:rsid w:val="613320B7"/>
    <w:rsid w:val="61480013"/>
    <w:rsid w:val="61532759"/>
    <w:rsid w:val="61A30FEA"/>
    <w:rsid w:val="61D932AC"/>
    <w:rsid w:val="620677CB"/>
    <w:rsid w:val="62691AE8"/>
    <w:rsid w:val="62856942"/>
    <w:rsid w:val="64520AA6"/>
    <w:rsid w:val="64727AE0"/>
    <w:rsid w:val="64942E6C"/>
    <w:rsid w:val="64FE478A"/>
    <w:rsid w:val="65876E75"/>
    <w:rsid w:val="660A0257"/>
    <w:rsid w:val="664D2080"/>
    <w:rsid w:val="67E576D1"/>
    <w:rsid w:val="68594AF9"/>
    <w:rsid w:val="68623328"/>
    <w:rsid w:val="694D7A8E"/>
    <w:rsid w:val="696A7636"/>
    <w:rsid w:val="69920040"/>
    <w:rsid w:val="69B67D29"/>
    <w:rsid w:val="6A463A2C"/>
    <w:rsid w:val="6AA302AD"/>
    <w:rsid w:val="6ACA7EE2"/>
    <w:rsid w:val="6AD27917"/>
    <w:rsid w:val="6BB66561"/>
    <w:rsid w:val="6BF00DBA"/>
    <w:rsid w:val="6C463AE6"/>
    <w:rsid w:val="6CB13578"/>
    <w:rsid w:val="6CB528A3"/>
    <w:rsid w:val="6D6247D2"/>
    <w:rsid w:val="6DCD1AD1"/>
    <w:rsid w:val="6DCF5F74"/>
    <w:rsid w:val="6EA13D16"/>
    <w:rsid w:val="6FAC75CD"/>
    <w:rsid w:val="6FBF6E3C"/>
    <w:rsid w:val="6FE36674"/>
    <w:rsid w:val="707B5963"/>
    <w:rsid w:val="70BD3042"/>
    <w:rsid w:val="70CA394F"/>
    <w:rsid w:val="710475CC"/>
    <w:rsid w:val="714220F6"/>
    <w:rsid w:val="71E61073"/>
    <w:rsid w:val="71F272E6"/>
    <w:rsid w:val="723B5E06"/>
    <w:rsid w:val="725E1DF4"/>
    <w:rsid w:val="73223D39"/>
    <w:rsid w:val="733E4FFE"/>
    <w:rsid w:val="73AD0947"/>
    <w:rsid w:val="73F751C6"/>
    <w:rsid w:val="7420498F"/>
    <w:rsid w:val="752124FA"/>
    <w:rsid w:val="752A45A8"/>
    <w:rsid w:val="754461E9"/>
    <w:rsid w:val="75D86488"/>
    <w:rsid w:val="7751596C"/>
    <w:rsid w:val="77632264"/>
    <w:rsid w:val="77B77146"/>
    <w:rsid w:val="77D01FB6"/>
    <w:rsid w:val="77E41AC7"/>
    <w:rsid w:val="77FE6B23"/>
    <w:rsid w:val="784C3D32"/>
    <w:rsid w:val="79057E40"/>
    <w:rsid w:val="797D43BF"/>
    <w:rsid w:val="79F24133"/>
    <w:rsid w:val="7B0047C5"/>
    <w:rsid w:val="7B125187"/>
    <w:rsid w:val="7B9613EA"/>
    <w:rsid w:val="7D6E3820"/>
    <w:rsid w:val="7E3808B5"/>
    <w:rsid w:val="7EB74315"/>
    <w:rsid w:val="7ED73005"/>
    <w:rsid w:val="7EE410E1"/>
    <w:rsid w:val="7F3F6373"/>
    <w:rsid w:val="7F6A6282"/>
    <w:rsid w:val="7FB42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1"/>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Normal Indent"/>
    <w:basedOn w:val="1"/>
    <w:qFormat/>
    <w:uiPriority w:val="0"/>
    <w:pPr>
      <w:ind w:firstLine="420"/>
    </w:pPr>
    <w:rPr>
      <w:szCs w:val="20"/>
    </w:rPr>
  </w:style>
  <w:style w:type="paragraph" w:styleId="5">
    <w:name w:val="Balloon Text"/>
    <w:basedOn w:val="1"/>
    <w:link w:val="14"/>
    <w:semiHidden/>
    <w:unhideWhenUsed/>
    <w:qFormat/>
    <w:uiPriority w:val="99"/>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qFormat/>
    <w:uiPriority w:val="99"/>
    <w:rPr>
      <w:sz w:val="18"/>
      <w:szCs w:val="18"/>
    </w:rPr>
  </w:style>
  <w:style w:type="character" w:customStyle="1" w:styleId="11">
    <w:name w:val="页脚 Char"/>
    <w:basedOn w:val="9"/>
    <w:link w:val="2"/>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13767</Words>
  <Characters>16709</Characters>
  <Lines>69</Lines>
  <Paragraphs>19</Paragraphs>
  <TotalTime>0</TotalTime>
  <ScaleCrop>false</ScaleCrop>
  <LinksUpToDate>false</LinksUpToDate>
  <CharactersWithSpaces>17761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2023-09-28T05:10:37Z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2DB0063F940B42CCA3CBE6D544A608EA_13</vt:lpwstr>
  </property>
</Properties>
</file>