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eastAsia="zh-CN"/>
        </w:rPr>
        <w:t>道县妇女联合会</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道县妇女联合会</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道县妇联</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rPr>
          <w:sz w:val="72"/>
          <w:szCs w:val="72"/>
        </w:rPr>
      </w:pPr>
    </w:p>
    <w:p>
      <w:pPr>
        <w:pStyle w:val="2"/>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keepNext w:val="0"/>
        <w:keepLines w:val="0"/>
        <w:pageBreakBefore w:val="0"/>
        <w:numPr>
          <w:ilvl w:val="0"/>
          <w:numId w:val="1"/>
        </w:numPr>
        <w:kinsoku/>
        <w:wordWrap/>
        <w:overflowPunct/>
        <w:topLinePunct w:val="0"/>
        <w:autoSpaceDE/>
        <w:autoSpaceDN/>
        <w:bidi w:val="0"/>
        <w:adjustRightInd/>
        <w:snapToGrid/>
        <w:spacing w:line="580" w:lineRule="exact"/>
        <w:ind w:left="0" w:firstLine="640" w:firstLineChars="200"/>
        <w:jc w:val="left"/>
        <w:textAlignment w:val="auto"/>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eastAsia="仿宋_GB2312"/>
          <w:sz w:val="32"/>
          <w:szCs w:val="32"/>
        </w:rPr>
      </w:pPr>
      <w:r>
        <w:rPr>
          <w:rFonts w:hint="eastAsia" w:eastAsia="仿宋_GB2312"/>
          <w:sz w:val="32"/>
          <w:szCs w:val="32"/>
        </w:rPr>
        <w:t>指导全会各级妇联依据《中华全国妇女联合会章程》和妇女代表大会的决定、决议，开展妇女儿童工作，联系团体委员，并给予指导</w:t>
      </w:r>
      <w:r>
        <w:rPr>
          <w:rFonts w:hint="eastAsia" w:eastAsia="仿宋_GB2312"/>
          <w:sz w:val="32"/>
          <w:szCs w:val="32"/>
          <w:lang w:val="en-US" w:eastAsia="zh-CN"/>
        </w:rPr>
        <w:t>；</w:t>
      </w:r>
      <w:r>
        <w:rPr>
          <w:rFonts w:hint="eastAsia" w:eastAsia="仿宋_GB2312"/>
          <w:sz w:val="32"/>
          <w:szCs w:val="32"/>
        </w:rPr>
        <w:t>指导和推动全县农村妇女“双学双比”活动，城镇妇女“巾帼建功”活动和“五好文明家庭”创建活动</w:t>
      </w:r>
      <w:r>
        <w:rPr>
          <w:rFonts w:hint="eastAsia" w:eastAsia="仿宋_GB2312"/>
          <w:sz w:val="32"/>
          <w:szCs w:val="32"/>
          <w:lang w:val="en-US" w:eastAsia="zh-CN"/>
        </w:rPr>
        <w:t>；</w:t>
      </w:r>
      <w:r>
        <w:rPr>
          <w:rFonts w:hint="eastAsia" w:eastAsia="仿宋_GB2312"/>
          <w:sz w:val="32"/>
          <w:szCs w:val="32"/>
        </w:rPr>
        <w:t>教育、引导广大妇女自尊、自信、自立、自强。宣传妇女典型，实施女性素质工程，促进妇女人才成长，全面提高妇女素质</w:t>
      </w:r>
      <w:r>
        <w:rPr>
          <w:rFonts w:hint="eastAsia" w:eastAsia="仿宋_GB2312"/>
          <w:sz w:val="32"/>
          <w:szCs w:val="32"/>
          <w:lang w:val="en-US" w:eastAsia="zh-CN"/>
        </w:rPr>
        <w:t>；</w:t>
      </w:r>
      <w:r>
        <w:rPr>
          <w:rFonts w:hint="eastAsia" w:eastAsia="仿宋_GB2312"/>
          <w:sz w:val="32"/>
          <w:szCs w:val="32"/>
        </w:rPr>
        <w:t>维护妇女儿童合法权益，调查研究妇女、儿童问题，为县委、县政府决策提供依据，提出建议</w:t>
      </w:r>
      <w:r>
        <w:rPr>
          <w:rFonts w:hint="eastAsia" w:eastAsia="仿宋_GB2312"/>
          <w:sz w:val="32"/>
          <w:szCs w:val="32"/>
          <w:lang w:val="en-US" w:eastAsia="zh-CN"/>
        </w:rPr>
        <w:t>；</w:t>
      </w:r>
      <w:r>
        <w:rPr>
          <w:rFonts w:hint="eastAsia" w:eastAsia="仿宋_GB2312"/>
          <w:sz w:val="32"/>
          <w:szCs w:val="32"/>
        </w:rPr>
        <w:t>加强城乡基层妇女组织建设，扩大组织网络，拓宽工作领域</w:t>
      </w:r>
      <w:r>
        <w:rPr>
          <w:rFonts w:hint="eastAsia" w:eastAsia="仿宋_GB2312"/>
          <w:sz w:val="32"/>
          <w:szCs w:val="32"/>
          <w:lang w:val="en-US" w:eastAsia="zh-CN"/>
        </w:rPr>
        <w:t>；</w:t>
      </w:r>
      <w:r>
        <w:rPr>
          <w:rFonts w:hint="eastAsia" w:eastAsia="仿宋_GB2312"/>
          <w:sz w:val="32"/>
          <w:szCs w:val="32"/>
        </w:rPr>
        <w:t>负责与社会各界各族妇女的联络，与民主党派、工商联和团体会员之间的联系，开展有关的联谊</w:t>
      </w:r>
      <w:r>
        <w:rPr>
          <w:rFonts w:hint="eastAsia" w:eastAsia="仿宋_GB2312"/>
          <w:sz w:val="32"/>
          <w:szCs w:val="32"/>
          <w:lang w:val="en-US" w:eastAsia="zh-CN"/>
        </w:rPr>
        <w:t>；</w:t>
      </w:r>
      <w:r>
        <w:rPr>
          <w:rFonts w:hint="eastAsia" w:eastAsia="仿宋_GB2312"/>
          <w:sz w:val="32"/>
          <w:szCs w:val="32"/>
        </w:rPr>
        <w:t>承办县委、县政府交办的其他事项。</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sz w:val="32"/>
          <w:szCs w:val="32"/>
        </w:rPr>
      </w:pPr>
      <w:r>
        <w:rPr>
          <w:rFonts w:hint="eastAsia" w:asciiTheme="minorEastAsia" w:hAnsiTheme="minorEastAsia"/>
          <w:bCs/>
          <w:kern w:val="0"/>
          <w:sz w:val="32"/>
          <w:szCs w:val="32"/>
        </w:rPr>
        <w:t>（一）内设机构设置。</w:t>
      </w:r>
      <w:r>
        <w:rPr>
          <w:rFonts w:hint="eastAsia" w:ascii="仿宋" w:hAnsi="仿宋" w:eastAsia="仿宋"/>
          <w:sz w:val="32"/>
          <w:szCs w:val="32"/>
        </w:rPr>
        <w:t>道县</w:t>
      </w:r>
      <w:r>
        <w:rPr>
          <w:rFonts w:hint="eastAsia" w:ascii="仿宋" w:hAnsi="仿宋" w:eastAsia="仿宋"/>
          <w:sz w:val="32"/>
          <w:szCs w:val="32"/>
          <w:lang w:val="en-US" w:eastAsia="zh-CN"/>
        </w:rPr>
        <w:t>妇女</w:t>
      </w:r>
      <w:r>
        <w:rPr>
          <w:rFonts w:hint="eastAsia" w:ascii="仿宋" w:hAnsi="仿宋" w:eastAsia="仿宋"/>
          <w:sz w:val="32"/>
          <w:szCs w:val="32"/>
        </w:rPr>
        <w:t>联合会</w:t>
      </w:r>
      <w:r>
        <w:rPr>
          <w:rFonts w:hint="eastAsia" w:ascii="仿宋" w:hAnsi="仿宋" w:eastAsia="仿宋"/>
          <w:sz w:val="32"/>
          <w:szCs w:val="32"/>
          <w:lang w:val="en-US" w:eastAsia="zh-CN"/>
        </w:rPr>
        <w:t>内设机构包括：办公室、权益部（妇儿工委）、家儿部（发展部）3个部室，无变动情况</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eastAsia" w:ascii="宋体" w:hAnsi="宋体" w:eastAsia="宋体" w:cs="宋体"/>
          <w:bCs/>
          <w:kern w:val="0"/>
          <w:sz w:val="32"/>
          <w:szCs w:val="32"/>
          <w:lang w:val="en-US" w:eastAsia="zh-CN"/>
        </w:rPr>
      </w:pPr>
      <w:r>
        <w:rPr>
          <w:rFonts w:hint="eastAsia" w:ascii="宋体" w:hAnsi="宋体" w:eastAsia="宋体" w:cs="宋体"/>
          <w:bCs/>
          <w:kern w:val="0"/>
          <w:sz w:val="32"/>
          <w:szCs w:val="32"/>
        </w:rPr>
        <w:t>（二）决算单位构成。</w:t>
      </w:r>
      <w:r>
        <w:rPr>
          <w:rFonts w:hint="eastAsia" w:ascii="仿宋" w:hAnsi="仿宋" w:eastAsia="仿宋"/>
          <w:sz w:val="32"/>
          <w:szCs w:val="32"/>
        </w:rPr>
        <w:t>单位2021年部门决算汇总公开单位构成包括：道县</w:t>
      </w:r>
      <w:r>
        <w:rPr>
          <w:rFonts w:hint="eastAsia" w:ascii="仿宋" w:hAnsi="仿宋" w:eastAsia="仿宋"/>
          <w:sz w:val="32"/>
          <w:szCs w:val="32"/>
          <w:lang w:val="en-US" w:eastAsia="zh-CN"/>
        </w:rPr>
        <w:t>妇女</w:t>
      </w:r>
      <w:r>
        <w:rPr>
          <w:rFonts w:hint="eastAsia" w:ascii="仿宋" w:hAnsi="仿宋" w:eastAsia="仿宋"/>
          <w:sz w:val="32"/>
          <w:szCs w:val="32"/>
        </w:rPr>
        <w:t>联合会单位本级</w:t>
      </w:r>
      <w:r>
        <w:rPr>
          <w:rFonts w:hint="eastAsia" w:ascii="仿宋" w:hAnsi="仿宋" w:eastAsia="仿宋"/>
          <w:sz w:val="32"/>
          <w:szCs w:val="32"/>
          <w:lang w:val="en-US" w:eastAsia="zh-CN"/>
        </w:rPr>
        <w:t>；</w:t>
      </w:r>
      <w:r>
        <w:rPr>
          <w:rFonts w:hint="eastAsia" w:ascii="仿宋" w:hAnsi="仿宋" w:eastAsia="仿宋"/>
          <w:sz w:val="32"/>
          <w:szCs w:val="32"/>
          <w:lang w:eastAsia="zh-CN"/>
        </w:rPr>
        <w:t>行政编制人员6人，事业编制人员2人。实有行政编制人数</w:t>
      </w:r>
      <w:r>
        <w:rPr>
          <w:rFonts w:hint="eastAsia" w:ascii="仿宋" w:hAnsi="仿宋" w:eastAsia="仿宋"/>
          <w:sz w:val="32"/>
          <w:szCs w:val="32"/>
          <w:lang w:val="en-US" w:eastAsia="zh-CN"/>
        </w:rPr>
        <w:t>5</w:t>
      </w:r>
      <w:r>
        <w:rPr>
          <w:rFonts w:hint="eastAsia" w:ascii="仿宋" w:hAnsi="仿宋" w:eastAsia="仿宋"/>
          <w:sz w:val="32"/>
          <w:szCs w:val="32"/>
          <w:lang w:eastAsia="zh-CN"/>
        </w:rPr>
        <w:t>名，事业编制人员</w:t>
      </w:r>
      <w:r>
        <w:rPr>
          <w:rFonts w:hint="eastAsia" w:ascii="仿宋" w:hAnsi="仿宋" w:eastAsia="仿宋"/>
          <w:sz w:val="32"/>
          <w:szCs w:val="32"/>
          <w:lang w:val="en-US" w:eastAsia="zh-CN"/>
        </w:rPr>
        <w:t>1</w:t>
      </w:r>
      <w:r>
        <w:rPr>
          <w:rFonts w:hint="eastAsia" w:ascii="仿宋" w:hAnsi="仿宋" w:eastAsia="仿宋"/>
          <w:sz w:val="32"/>
          <w:szCs w:val="32"/>
          <w:lang w:eastAsia="zh-CN"/>
        </w:rPr>
        <w:t>名，比上年度增加</w:t>
      </w:r>
      <w:r>
        <w:rPr>
          <w:rFonts w:hint="eastAsia" w:ascii="仿宋" w:hAnsi="仿宋" w:eastAsia="仿宋"/>
          <w:sz w:val="32"/>
          <w:szCs w:val="32"/>
          <w:lang w:val="en-US" w:eastAsia="zh-CN"/>
        </w:rPr>
        <w:t>1</w:t>
      </w:r>
      <w:r>
        <w:rPr>
          <w:rFonts w:hint="eastAsia" w:ascii="仿宋" w:hAnsi="仿宋" w:eastAsia="仿宋"/>
          <w:sz w:val="32"/>
          <w:szCs w:val="32"/>
          <w:lang w:eastAsia="zh-CN"/>
        </w:rPr>
        <w:t>人。</w:t>
      </w:r>
    </w:p>
    <w:p>
      <w:pPr>
        <w:keepNext w:val="0"/>
        <w:keepLines w:val="0"/>
        <w:pageBreakBefore w:val="0"/>
        <w:kinsoku/>
        <w:wordWrap/>
        <w:overflowPunct/>
        <w:topLinePunct w:val="0"/>
        <w:autoSpaceDE/>
        <w:autoSpaceDN/>
        <w:bidi w:val="0"/>
        <w:adjustRightInd/>
        <w:snapToGrid/>
        <w:spacing w:line="580" w:lineRule="exact"/>
        <w:ind w:left="0" w:firstLine="560" w:firstLineChars="200"/>
        <w:jc w:val="left"/>
        <w:textAlignment w:val="auto"/>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1"/>
        <w:jc w:val="center"/>
        <w:rPr>
          <w:sz w:val="72"/>
          <w:szCs w:val="72"/>
        </w:rPr>
      </w:pPr>
    </w:p>
    <w:p>
      <w:pPr>
        <w:pStyle w:val="11"/>
        <w:jc w:val="center"/>
        <w:rPr>
          <w:sz w:val="72"/>
          <w:szCs w:val="72"/>
        </w:rPr>
      </w:pPr>
    </w:p>
    <w:p>
      <w:pPr>
        <w:pStyle w:val="11"/>
        <w:jc w:val="center"/>
        <w:rPr>
          <w:rFonts w:hint="eastAsia"/>
          <w:sz w:val="70"/>
          <w:szCs w:val="70"/>
        </w:rPr>
      </w:pPr>
    </w:p>
    <w:p>
      <w:pPr>
        <w:pStyle w:val="11"/>
        <w:jc w:val="center"/>
        <w:rPr>
          <w:rFonts w:hint="eastAsia"/>
          <w:sz w:val="70"/>
          <w:szCs w:val="70"/>
        </w:rPr>
      </w:pPr>
      <w:r>
        <w:rPr>
          <w:rFonts w:hint="eastAsia"/>
          <w:sz w:val="70"/>
          <w:szCs w:val="70"/>
        </w:rPr>
        <w:t>第二部分</w:t>
      </w:r>
    </w:p>
    <w:p>
      <w:pPr>
        <w:pStyle w:val="11"/>
        <w:jc w:val="center"/>
        <w:rPr>
          <w:rFonts w:hint="eastAsia"/>
          <w:sz w:val="70"/>
          <w:szCs w:val="70"/>
        </w:rPr>
      </w:pPr>
    </w:p>
    <w:p>
      <w:pPr>
        <w:pStyle w:val="11"/>
        <w:jc w:val="center"/>
        <w:rPr>
          <w:rFonts w:hint="eastAsia"/>
          <w:sz w:val="70"/>
          <w:szCs w:val="70"/>
        </w:rPr>
      </w:pPr>
      <w:r>
        <w:rPr>
          <w:rFonts w:hint="eastAsia"/>
          <w:sz w:val="70"/>
          <w:szCs w:val="70"/>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道县妇女联合会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114.93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114.93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644" w:right="1440" w:bottom="1797" w:left="1440" w:header="851" w:footer="992" w:gutter="0"/>
          <w:cols w:space="425" w:num="1"/>
          <w:docGrid w:type="linesAndChars" w:linePitch="312" w:charSpace="0"/>
        </w:sectPr>
      </w:pPr>
    </w:p>
    <w:tbl>
      <w:tblPr>
        <w:tblStyle w:val="7"/>
        <w:tblW w:w="15372" w:type="dxa"/>
        <w:tblInd w:w="0" w:type="dxa"/>
        <w:tblLayout w:type="fixed"/>
        <w:tblCellMar>
          <w:top w:w="0" w:type="dxa"/>
          <w:left w:w="0" w:type="dxa"/>
          <w:bottom w:w="0" w:type="dxa"/>
          <w:right w:w="0" w:type="dxa"/>
        </w:tblCellMar>
      </w:tblPr>
      <w:tblGrid>
        <w:gridCol w:w="1030"/>
        <w:gridCol w:w="73"/>
        <w:gridCol w:w="2081"/>
        <w:gridCol w:w="1456"/>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0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道县妇女联合会</w:t>
            </w:r>
            <w:r>
              <w:rPr>
                <w:rFonts w:hint="eastAsia"/>
              </w:rPr>
              <w:t>　</w:t>
            </w:r>
          </w:p>
        </w:tc>
        <w:tc>
          <w:tcPr>
            <w:tcW w:w="145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18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5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08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5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8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18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5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18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114.93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114.93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106.65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106.65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其他政府办公厅（室）及相关机构事务支出</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20129</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群众团体事务</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2012901</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行政运行</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2013199</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其他党委办公厅（室）及相关机构事务支出</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89"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15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4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w:t>
            </w: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w:t>
            </w: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15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5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w:t>
            </w: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w:t>
            </w: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154" w:type="dxa"/>
            <w:gridSpan w:val="2"/>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5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w:t>
            </w:r>
          </w:p>
        </w:tc>
        <w:tc>
          <w:tcPr>
            <w:tcW w:w="167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w:t>
            </w:r>
          </w:p>
        </w:tc>
        <w:tc>
          <w:tcPr>
            <w:tcW w:w="167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2154"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行政单位医疗</w:t>
            </w:r>
          </w:p>
        </w:tc>
        <w:tc>
          <w:tcPr>
            <w:tcW w:w="145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道县妇女联合会</w:t>
            </w: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114.93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75.21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9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564"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群众团体事务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564"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57"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2.76</w:t>
            </w: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道县妇女联合会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106.65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114.93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val="en-US" w:eastAsia="zh-CN"/>
        </w:rPr>
        <w:t>道县妇女联合会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84"/>
        <w:gridCol w:w="3309"/>
        <w:gridCol w:w="2834"/>
        <w:gridCol w:w="3279"/>
        <w:gridCol w:w="2827"/>
      </w:tblGrid>
      <w:tr>
        <w:tblPrEx>
          <w:tblCellMar>
            <w:top w:w="0" w:type="dxa"/>
            <w:left w:w="108" w:type="dxa"/>
            <w:bottom w:w="0" w:type="dxa"/>
            <w:right w:w="108" w:type="dxa"/>
          </w:tblCellMar>
        </w:tblPrEx>
        <w:trPr>
          <w:trHeight w:val="405" w:hRule="atLeast"/>
          <w:jc w:val="center"/>
        </w:trPr>
        <w:tc>
          <w:tcPr>
            <w:tcW w:w="5279"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0"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7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7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7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27"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7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114.93</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75.21</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39.72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106.65</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66.93</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3.35</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3.35</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其他政府办公厅（室）及相关机构事务支出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3.35</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3.35</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63.58</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2012901</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行政运行</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63.58</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39.72</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2013199</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其他党委办公厅（室）及相关机构事务支出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39.72</w:t>
            </w:r>
          </w:p>
        </w:tc>
        <w:tc>
          <w:tcPr>
            <w:tcW w:w="327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39.72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w:t>
            </w:r>
          </w:p>
        </w:tc>
        <w:tc>
          <w:tcPr>
            <w:tcW w:w="32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w:t>
            </w:r>
          </w:p>
        </w:tc>
        <w:tc>
          <w:tcPr>
            <w:tcW w:w="3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w:t>
            </w:r>
          </w:p>
        </w:tc>
        <w:tc>
          <w:tcPr>
            <w:tcW w:w="3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2.76</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10"/>
        <w:gridCol w:w="3283"/>
        <w:gridCol w:w="754"/>
        <w:gridCol w:w="1198"/>
        <w:gridCol w:w="2262"/>
        <w:gridCol w:w="754"/>
        <w:gridCol w:w="1199"/>
        <w:gridCol w:w="4100"/>
        <w:gridCol w:w="754"/>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200" w:lineRule="exact"/>
              <w:jc w:val="center"/>
              <w:textAlignment w:val="auto"/>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keepNext w:val="0"/>
              <w:keepLines w:val="0"/>
              <w:pageBreakBefore w:val="0"/>
              <w:widowControl/>
              <w:kinsoku/>
              <w:wordWrap w:val="0"/>
              <w:overflowPunct/>
              <w:topLinePunct w:val="0"/>
              <w:autoSpaceDE/>
              <w:autoSpaceDN/>
              <w:bidi w:val="0"/>
              <w:adjustRightInd/>
              <w:snapToGrid/>
              <w:spacing w:line="200" w:lineRule="exact"/>
              <w:jc w:val="right"/>
              <w:textAlignment w:val="auto"/>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val="en-US" w:eastAsia="zh-CN"/>
              </w:rPr>
              <w:t>道县妇女联合会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keepNext w:val="0"/>
              <w:keepLines w:val="0"/>
              <w:pageBreakBefore w:val="0"/>
              <w:widowControl/>
              <w:kinsoku/>
              <w:overflowPunct/>
              <w:topLinePunct w:val="0"/>
              <w:autoSpaceDE/>
              <w:autoSpaceDN/>
              <w:bidi w:val="0"/>
              <w:adjustRightInd/>
              <w:snapToGrid/>
              <w:spacing w:line="200" w:lineRule="exact"/>
              <w:jc w:val="right"/>
              <w:textAlignment w:val="auto"/>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475"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56.01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24.74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14.02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8.97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59"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49"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4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56.01</w:t>
            </w:r>
          </w:p>
        </w:tc>
        <w:tc>
          <w:tcPr>
            <w:tcW w:w="961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19.20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cs="宋体"/>
          <w:color w:val="000000"/>
          <w:kern w:val="0"/>
          <w:sz w:val="20"/>
          <w:szCs w:val="20"/>
          <w:lang w:val="en-US" w:eastAsia="zh-CN"/>
        </w:rPr>
        <w:t>道县妇女联合会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cs="宋体"/>
          <w:color w:val="000000"/>
          <w:kern w:val="0"/>
          <w:sz w:val="20"/>
          <w:szCs w:val="20"/>
          <w:lang w:val="en-US" w:eastAsia="zh-CN"/>
        </w:rPr>
        <w:t>道县妇女联合会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道县妇女联合会</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hint="eastAsia" w:ascii="黑体" w:hAnsi="黑体" w:eastAsia="黑体"/>
          <w:szCs w:val="21"/>
          <w:lang w:val="en-US" w:eastAsia="zh-CN"/>
        </w:rPr>
      </w:pPr>
    </w:p>
    <w:p>
      <w:pPr>
        <w:pStyle w:val="2"/>
      </w:pP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3775" w:type="dxa"/>
            <w:gridSpan w:val="3"/>
            <w:tcBorders>
              <w:top w:val="nil"/>
              <w:left w:val="nil"/>
              <w:bottom w:val="nil"/>
              <w:right w:val="nil"/>
            </w:tcBorders>
            <w:shd w:val="clear" w:color="000000" w:fill="FFFFFF"/>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道县妇女联合会</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1"/>
        <w:rPr>
          <w:sz w:val="72"/>
          <w:szCs w:val="72"/>
        </w:rPr>
        <w:sectPr>
          <w:pgSz w:w="16838" w:h="11906" w:orient="landscape"/>
          <w:pgMar w:top="720" w:right="720" w:bottom="1644" w:left="720" w:header="851" w:footer="992" w:gutter="0"/>
          <w:cols w:space="425" w:num="1"/>
          <w:docGrid w:type="lines" w:linePitch="312" w:charSpace="0"/>
        </w:sectPr>
      </w:pPr>
      <w:r>
        <w:rPr>
          <w:rFonts w:hint="eastAsia" w:ascii="黑体" w:hAnsi="黑体" w:eastAsia="黑体"/>
          <w:szCs w:val="21"/>
          <w:lang w:val="en-US" w:eastAsia="zh-CN"/>
        </w:rPr>
        <w:t>道县妇女联合会无政府性预算财政拨款收，也没有安排政府性支出，故本表格无数据。</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hint="eastAsia" w:ascii="宋体" w:hAnsi="宋体" w:eastAsia="宋体" w:cs="宋体"/>
          <w:sz w:val="32"/>
          <w:szCs w:val="32"/>
        </w:rPr>
      </w:pPr>
      <w:r>
        <w:rPr>
          <w:sz w:val="70"/>
          <w:szCs w:val="70"/>
        </w:rPr>
        <w:br w:type="page"/>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一、收入支出决算总体情况说明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2021年度收、支总计</w:t>
      </w:r>
      <w:r>
        <w:rPr>
          <w:rFonts w:hint="eastAsia" w:ascii="仿宋" w:hAnsi="仿宋" w:eastAsia="仿宋" w:cs="仿宋"/>
          <w:sz w:val="32"/>
          <w:szCs w:val="32"/>
          <w:lang w:val="en-US" w:eastAsia="zh-CN"/>
        </w:rPr>
        <w:t>114.93</w:t>
      </w:r>
      <w:r>
        <w:rPr>
          <w:rFonts w:hint="eastAsia" w:ascii="仿宋" w:hAnsi="仿宋" w:eastAsia="仿宋" w:cs="仿宋"/>
          <w:sz w:val="32"/>
          <w:szCs w:val="32"/>
        </w:rPr>
        <w:t>万元。与上年相比，较上年</w:t>
      </w:r>
      <w:r>
        <w:rPr>
          <w:rFonts w:hint="eastAsia" w:ascii="仿宋" w:hAnsi="仿宋" w:eastAsia="仿宋" w:cs="仿宋"/>
          <w:sz w:val="32"/>
          <w:szCs w:val="32"/>
          <w:lang w:val="en-US" w:eastAsia="zh-CN"/>
        </w:rPr>
        <w:t>103.79</w:t>
      </w:r>
      <w:r>
        <w:rPr>
          <w:rFonts w:hint="eastAsia" w:ascii="仿宋" w:hAnsi="仿宋" w:eastAsia="仿宋" w:cs="仿宋"/>
          <w:sz w:val="32"/>
          <w:szCs w:val="32"/>
        </w:rPr>
        <w:t>万元增加</w:t>
      </w:r>
      <w:r>
        <w:rPr>
          <w:rFonts w:hint="eastAsia" w:ascii="仿宋" w:hAnsi="仿宋" w:eastAsia="仿宋" w:cs="仿宋"/>
          <w:sz w:val="32"/>
          <w:szCs w:val="32"/>
          <w:lang w:val="en-US" w:eastAsia="zh-CN"/>
        </w:rPr>
        <w:t>11.14</w:t>
      </w:r>
      <w:r>
        <w:rPr>
          <w:rFonts w:hint="eastAsia" w:ascii="仿宋" w:hAnsi="仿宋" w:eastAsia="仿宋" w:cs="仿宋"/>
          <w:sz w:val="32"/>
          <w:szCs w:val="32"/>
        </w:rPr>
        <w:t>万元，增幅达</w:t>
      </w:r>
      <w:r>
        <w:rPr>
          <w:rFonts w:hint="eastAsia" w:ascii="仿宋" w:hAnsi="仿宋" w:eastAsia="仿宋" w:cs="仿宋"/>
          <w:sz w:val="32"/>
          <w:szCs w:val="32"/>
          <w:lang w:val="en-US" w:eastAsia="zh-CN"/>
        </w:rPr>
        <w:t>10.73</w:t>
      </w:r>
      <w:r>
        <w:rPr>
          <w:rFonts w:hint="eastAsia" w:ascii="仿宋" w:hAnsi="仿宋" w:eastAsia="仿宋" w:cs="仿宋"/>
          <w:sz w:val="32"/>
          <w:szCs w:val="32"/>
        </w:rPr>
        <w:t>%，主要是项目支出规模、数量增加</w:t>
      </w:r>
      <w:r>
        <w:rPr>
          <w:rFonts w:hint="eastAsia" w:ascii="仿宋" w:hAnsi="仿宋" w:eastAsia="仿宋" w:cs="仿宋"/>
          <w:sz w:val="32"/>
          <w:szCs w:val="32"/>
          <w:lang w:eastAsia="zh-CN"/>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二、收入决算情况说明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2021年度收入合计</w:t>
      </w:r>
      <w:r>
        <w:rPr>
          <w:rFonts w:hint="eastAsia" w:ascii="仿宋" w:hAnsi="仿宋" w:eastAsia="仿宋" w:cs="仿宋"/>
          <w:sz w:val="32"/>
          <w:szCs w:val="32"/>
          <w:lang w:val="en-US" w:eastAsia="zh-CN"/>
        </w:rPr>
        <w:t>114.93</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114.93</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三、支出决算情况说明</w:t>
      </w:r>
    </w:p>
    <w:p>
      <w:pPr>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2021年度支出合计</w:t>
      </w:r>
      <w:r>
        <w:rPr>
          <w:rFonts w:hint="eastAsia" w:ascii="仿宋" w:hAnsi="仿宋" w:eastAsia="仿宋" w:cs="仿宋"/>
          <w:sz w:val="32"/>
          <w:szCs w:val="32"/>
          <w:lang w:val="en-US" w:eastAsia="zh-CN"/>
        </w:rPr>
        <w:t>114.93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75.21</w:t>
      </w:r>
      <w:r>
        <w:rPr>
          <w:rFonts w:hint="eastAsia" w:ascii="仿宋" w:hAnsi="仿宋" w:eastAsia="仿宋" w:cs="仿宋"/>
          <w:sz w:val="32"/>
          <w:szCs w:val="32"/>
        </w:rPr>
        <w:t>万元(人员经费</w:t>
      </w:r>
      <w:r>
        <w:rPr>
          <w:rFonts w:hint="eastAsia" w:ascii="仿宋" w:hAnsi="仿宋" w:eastAsia="仿宋" w:cs="仿宋"/>
          <w:sz w:val="32"/>
          <w:szCs w:val="32"/>
          <w:lang w:val="en-US" w:eastAsia="zh-CN"/>
        </w:rPr>
        <w:t>56.01</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19.</w:t>
      </w:r>
      <w:r>
        <w:rPr>
          <w:rFonts w:hint="eastAsia" w:ascii="仿宋" w:hAnsi="仿宋" w:eastAsia="仿宋" w:cs="仿宋"/>
          <w:sz w:val="32"/>
          <w:szCs w:val="32"/>
        </w:rPr>
        <w:t>2万元)，</w:t>
      </w:r>
      <w:r>
        <w:rPr>
          <w:rFonts w:hint="eastAsia" w:ascii="仿宋" w:hAnsi="仿宋" w:eastAsia="仿宋" w:cs="仿宋"/>
          <w:sz w:val="32"/>
          <w:szCs w:val="32"/>
          <w:lang w:val="en-US" w:eastAsia="zh-CN"/>
        </w:rPr>
        <w:t>占65.44%；</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39.72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占34.56%</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四、财政拨款收入支出决算总体情况说明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2021年度财政拨款收、支总计</w:t>
      </w:r>
      <w:r>
        <w:rPr>
          <w:rFonts w:hint="eastAsia" w:ascii="仿宋" w:hAnsi="仿宋" w:eastAsia="仿宋" w:cs="仿宋"/>
          <w:sz w:val="32"/>
          <w:szCs w:val="32"/>
          <w:lang w:val="en-US" w:eastAsia="zh-CN"/>
        </w:rPr>
        <w:t>114.93</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11.14</w:t>
      </w:r>
      <w:r>
        <w:rPr>
          <w:rFonts w:hint="eastAsia" w:ascii="仿宋" w:hAnsi="仿宋" w:eastAsia="仿宋" w:cs="仿宋"/>
          <w:sz w:val="32"/>
          <w:szCs w:val="32"/>
        </w:rPr>
        <w:t>万元，增幅达</w:t>
      </w:r>
      <w:r>
        <w:rPr>
          <w:rFonts w:hint="eastAsia" w:ascii="仿宋" w:hAnsi="仿宋" w:eastAsia="仿宋" w:cs="仿宋"/>
          <w:sz w:val="32"/>
          <w:szCs w:val="32"/>
          <w:lang w:val="en-US" w:eastAsia="zh-CN"/>
        </w:rPr>
        <w:t>10.73</w:t>
      </w:r>
      <w:r>
        <w:rPr>
          <w:rFonts w:hint="eastAsia" w:ascii="仿宋" w:hAnsi="仿宋" w:eastAsia="仿宋" w:cs="仿宋"/>
          <w:sz w:val="32"/>
          <w:szCs w:val="32"/>
        </w:rPr>
        <w:t>%，主要是项目支出规模、数量增加</w:t>
      </w:r>
      <w:r>
        <w:rPr>
          <w:rFonts w:hint="eastAsia" w:ascii="仿宋" w:hAnsi="仿宋" w:eastAsia="仿宋" w:cs="仿宋"/>
          <w:sz w:val="32"/>
          <w:szCs w:val="32"/>
          <w:lang w:eastAsia="zh-CN"/>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五、一般公共预算财政拨款支出决算情况说明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（一）财政拨款支出决算总体情况</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2021年度财政拨款支出</w:t>
      </w:r>
      <w:r>
        <w:rPr>
          <w:rFonts w:hint="eastAsia" w:ascii="仿宋" w:hAnsi="仿宋" w:eastAsia="仿宋" w:cs="仿宋"/>
          <w:sz w:val="32"/>
          <w:szCs w:val="32"/>
          <w:lang w:val="en-US" w:eastAsia="zh-CN"/>
        </w:rPr>
        <w:t>114.93</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100</w:t>
      </w:r>
      <w:r>
        <w:rPr>
          <w:rFonts w:hint="eastAsia" w:ascii="仿宋" w:hAnsi="仿宋" w:eastAsia="仿宋" w:cs="仿宋"/>
          <w:sz w:val="32"/>
          <w:szCs w:val="32"/>
        </w:rPr>
        <w:t>%，上年相比，增加</w:t>
      </w:r>
      <w:r>
        <w:rPr>
          <w:rFonts w:hint="eastAsia" w:ascii="仿宋" w:hAnsi="仿宋" w:eastAsia="仿宋" w:cs="仿宋"/>
          <w:sz w:val="32"/>
          <w:szCs w:val="32"/>
          <w:lang w:val="en-US" w:eastAsia="zh-CN"/>
        </w:rPr>
        <w:t>11.14</w:t>
      </w:r>
      <w:r>
        <w:rPr>
          <w:rFonts w:hint="eastAsia" w:ascii="仿宋" w:hAnsi="仿宋" w:eastAsia="仿宋" w:cs="仿宋"/>
          <w:sz w:val="32"/>
          <w:szCs w:val="32"/>
        </w:rPr>
        <w:t>万元，增幅达</w:t>
      </w:r>
      <w:r>
        <w:rPr>
          <w:rFonts w:hint="eastAsia" w:ascii="仿宋" w:hAnsi="仿宋" w:eastAsia="仿宋" w:cs="仿宋"/>
          <w:sz w:val="32"/>
          <w:szCs w:val="32"/>
          <w:lang w:val="en-US" w:eastAsia="zh-CN"/>
        </w:rPr>
        <w:t>10.73</w:t>
      </w:r>
      <w:r>
        <w:rPr>
          <w:rFonts w:hint="eastAsia" w:ascii="仿宋" w:hAnsi="仿宋" w:eastAsia="仿宋" w:cs="仿宋"/>
          <w:sz w:val="32"/>
          <w:szCs w:val="32"/>
        </w:rPr>
        <w:t>%，主要是项目支出规模、数量增加</w:t>
      </w:r>
      <w:r>
        <w:rPr>
          <w:rFonts w:hint="eastAsia" w:ascii="仿宋" w:hAnsi="仿宋" w:eastAsia="仿宋" w:cs="仿宋"/>
          <w:sz w:val="32"/>
          <w:szCs w:val="32"/>
          <w:lang w:eastAsia="zh-CN"/>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（二）财政拨款支出决算结构情况</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2021年度财政拨款支出</w:t>
      </w:r>
      <w:r>
        <w:rPr>
          <w:rFonts w:hint="eastAsia" w:ascii="仿宋" w:hAnsi="仿宋" w:eastAsia="仿宋" w:cs="仿宋"/>
          <w:sz w:val="32"/>
          <w:szCs w:val="32"/>
          <w:lang w:val="en-US" w:eastAsia="zh-CN"/>
        </w:rPr>
        <w:t>114.93</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106.65</w:t>
      </w:r>
      <w:r>
        <w:rPr>
          <w:rFonts w:hint="eastAsia" w:ascii="仿宋" w:hAnsi="仿宋" w:eastAsia="仿宋" w:cs="仿宋"/>
          <w:sz w:val="32"/>
          <w:szCs w:val="32"/>
        </w:rPr>
        <w:t>万元，占</w:t>
      </w:r>
      <w:r>
        <w:rPr>
          <w:rFonts w:hint="eastAsia" w:ascii="仿宋" w:hAnsi="仿宋" w:eastAsia="仿宋" w:cs="仿宋"/>
          <w:sz w:val="32"/>
          <w:szCs w:val="32"/>
          <w:lang w:val="en-US" w:eastAsia="zh-CN"/>
        </w:rPr>
        <w:t>92.8</w:t>
      </w:r>
      <w:r>
        <w:rPr>
          <w:rFonts w:hint="eastAsia" w:ascii="仿宋" w:hAnsi="仿宋" w:eastAsia="仿宋" w:cs="仿宋"/>
          <w:sz w:val="32"/>
          <w:szCs w:val="32"/>
        </w:rPr>
        <w:t>%；</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5.52万元，占4.8%，卫生健康支出2.76万元，占2.4%。</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（三）财政拨款支出决算具体情况</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2021年度财政拨款支出年初预算数为</w:t>
      </w:r>
      <w:r>
        <w:rPr>
          <w:rFonts w:hint="eastAsia" w:ascii="仿宋" w:hAnsi="仿宋" w:eastAsia="仿宋" w:cs="仿宋"/>
          <w:sz w:val="32"/>
          <w:szCs w:val="32"/>
          <w:lang w:val="en-US" w:eastAsia="zh-CN"/>
        </w:rPr>
        <w:t>114.93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113.35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98.63</w:t>
      </w:r>
      <w:r>
        <w:rPr>
          <w:rFonts w:hint="eastAsia" w:ascii="仿宋" w:hAnsi="仿宋" w:eastAsia="仿宋" w:cs="仿宋"/>
          <w:sz w:val="32"/>
          <w:szCs w:val="32"/>
        </w:rPr>
        <w:t>%，其中：</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1、一般公共服务支出</w:t>
      </w:r>
      <w:r>
        <w:rPr>
          <w:rFonts w:hint="eastAsia" w:ascii="仿宋" w:hAnsi="仿宋" w:eastAsia="仿宋" w:cs="仿宋"/>
          <w:sz w:val="32"/>
          <w:szCs w:val="32"/>
          <w:lang w:eastAsia="zh-CN"/>
        </w:rPr>
        <w:t>。</w:t>
      </w:r>
      <w:r>
        <w:rPr>
          <w:rFonts w:hint="eastAsia" w:ascii="仿宋" w:hAnsi="仿宋" w:eastAsia="仿宋" w:cs="仿宋"/>
          <w:color w:val="auto"/>
          <w:kern w:val="2"/>
          <w:sz w:val="32"/>
          <w:szCs w:val="32"/>
          <w:lang w:val="en-US" w:eastAsia="zh-CN" w:bidi="ar-SA"/>
        </w:rPr>
        <w:t>年初预算为114.93万元，支出决算为110万元，完成年初预算的95.71%，决算数小于年初预算数的主要原因是：将社会保障和就业支出、卫生健康支出年初预算纳入里面。</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六、一般公共预算财政拨款基本支出决算情况说明</w:t>
      </w:r>
    </w:p>
    <w:p>
      <w:pPr>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i/>
          <w:color w:val="FF0000"/>
          <w:sz w:val="32"/>
          <w:szCs w:val="32"/>
        </w:rPr>
      </w:pPr>
      <w:r>
        <w:rPr>
          <w:rFonts w:hint="eastAsia" w:ascii="仿宋" w:hAnsi="仿宋" w:eastAsia="仿宋" w:cs="仿宋"/>
          <w:sz w:val="32"/>
          <w:szCs w:val="32"/>
        </w:rPr>
        <w:t>2021年度财政拨款基本支出</w:t>
      </w:r>
      <w:r>
        <w:rPr>
          <w:rFonts w:hint="eastAsia" w:ascii="仿宋" w:hAnsi="仿宋" w:eastAsia="仿宋" w:cs="仿宋"/>
          <w:sz w:val="32"/>
          <w:szCs w:val="32"/>
          <w:lang w:val="en-US" w:eastAsia="zh-CN"/>
        </w:rPr>
        <w:t>75.2</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56.01</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74.47</w:t>
      </w:r>
      <w:r>
        <w:rPr>
          <w:rFonts w:hint="eastAsia" w:ascii="仿宋" w:hAnsi="仿宋" w:eastAsia="仿宋" w:cs="仿宋"/>
          <w:sz w:val="32"/>
          <w:szCs w:val="32"/>
        </w:rPr>
        <w:t>%，主要包括：基本工资、津贴补贴、奖金、机关事业单位基本养老保险缴费、职工基本医疗保险缴费、抚恤金、生活补助。公用经费</w:t>
      </w:r>
      <w:r>
        <w:rPr>
          <w:rFonts w:hint="eastAsia" w:ascii="仿宋" w:hAnsi="仿宋" w:eastAsia="仿宋" w:cs="仿宋"/>
          <w:sz w:val="32"/>
          <w:szCs w:val="32"/>
          <w:lang w:val="en-US" w:eastAsia="zh-CN"/>
        </w:rPr>
        <w:t>19.2</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25.53</w:t>
      </w:r>
      <w:r>
        <w:rPr>
          <w:rFonts w:hint="eastAsia" w:ascii="仿宋" w:hAnsi="仿宋" w:eastAsia="仿宋" w:cs="仿宋"/>
          <w:sz w:val="32"/>
          <w:szCs w:val="32"/>
        </w:rPr>
        <w:t>%，主要包括：办公费、印刷费、水费、电费、邮电费、差旅费、会议费、培训费、公务接待费、专用材料费、劳务费、工会经费、福利费、其他交通费用。</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七、一般公共预算财政拨款“三公”经费支出决算情况说明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（一）“三公”经费财政拨款支出决算总体情况说明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2021年度“三公”经费财政拨款支出预算为2万元，支出决算为1.2万元，完成预算的60%，其中：</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因公出国（境）费支出预算为</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万元，支出决算为</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万元，由于预算数为0，无法计算百分比，2021年度我单位未开展因公出国（出境）活动。</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color w:val="auto"/>
          <w:kern w:val="2"/>
          <w:sz w:val="32"/>
          <w:szCs w:val="32"/>
          <w:lang w:val="en-US" w:eastAsia="zh-CN" w:bidi="ar-SA"/>
        </w:rPr>
        <w:t>公务接待费支出预算为2万元，支出决算为1.2万元，完成预算的6</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%，决算数少于预算数，</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0.6</w:t>
      </w:r>
      <w:r>
        <w:rPr>
          <w:rFonts w:hint="eastAsia" w:ascii="仿宋" w:hAnsi="仿宋" w:eastAsia="仿宋" w:cs="仿宋"/>
          <w:sz w:val="32"/>
          <w:szCs w:val="32"/>
        </w:rPr>
        <w:t>万元，减少</w:t>
      </w:r>
      <w:r>
        <w:rPr>
          <w:rFonts w:hint="eastAsia" w:ascii="仿宋" w:hAnsi="仿宋" w:eastAsia="仿宋" w:cs="仿宋"/>
          <w:sz w:val="32"/>
          <w:szCs w:val="32"/>
          <w:lang w:val="en-US" w:eastAsia="zh-CN"/>
        </w:rPr>
        <w:t>33.3</w:t>
      </w:r>
      <w:r>
        <w:rPr>
          <w:rFonts w:hint="eastAsia" w:ascii="仿宋" w:hAnsi="仿宋" w:eastAsia="仿宋" w:cs="仿宋"/>
          <w:sz w:val="32"/>
          <w:szCs w:val="32"/>
        </w:rPr>
        <w:t>%,减少的主要原因是</w:t>
      </w:r>
      <w:r>
        <w:rPr>
          <w:rFonts w:hint="eastAsia" w:ascii="仿宋" w:hAnsi="仿宋" w:eastAsia="仿宋" w:cs="仿宋"/>
          <w:color w:val="010101"/>
          <w:sz w:val="32"/>
          <w:szCs w:val="32"/>
        </w:rPr>
        <w:t>2021年为更好地贯彻落实中央厉行节约的有关规定，财务管理不断加强，“三公”经费得到有效控制，实现了有效压减。</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公务用车购置费支出预算为</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万元，支出决算为</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万元，由于预算数为0，无法计算百分比，本年度本单位无车辆购置。</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公务用车运行维护费支出预算为</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万元，支出决算为</w:t>
      </w:r>
      <w:r>
        <w:rPr>
          <w:rFonts w:hint="default" w:ascii="仿宋" w:hAnsi="仿宋" w:eastAsia="仿宋" w:cs="仿宋"/>
          <w:color w:val="auto"/>
          <w:kern w:val="2"/>
          <w:sz w:val="32"/>
          <w:szCs w:val="32"/>
          <w:lang w:val="en-US" w:eastAsia="zh-CN" w:bidi="ar-SA"/>
        </w:rPr>
        <w:t>0</w:t>
      </w:r>
      <w:r>
        <w:rPr>
          <w:rFonts w:hint="eastAsia" w:ascii="仿宋" w:hAnsi="仿宋" w:eastAsia="仿宋" w:cs="仿宋"/>
          <w:color w:val="auto"/>
          <w:kern w:val="2"/>
          <w:sz w:val="32"/>
          <w:szCs w:val="32"/>
          <w:lang w:val="en-US" w:eastAsia="zh-CN" w:bidi="ar-SA"/>
        </w:rPr>
        <w:t>万元，由于预算数为0，无法计算百分比，本年度本单位无公务用车运行维护费支出。</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bookmarkStart w:id="3" w:name="_GoBack"/>
      <w:bookmarkEnd w:id="3"/>
      <w:r>
        <w:rPr>
          <w:rFonts w:hint="eastAsia" w:ascii="仿宋" w:hAnsi="仿宋" w:eastAsia="仿宋" w:cs="仿宋"/>
          <w:b/>
          <w:sz w:val="32"/>
          <w:szCs w:val="32"/>
        </w:rPr>
        <w:t>（二）“三公”经费财政拨款支出决算具体情况说明</w:t>
      </w:r>
    </w:p>
    <w:p>
      <w:pPr>
        <w:pStyle w:val="11"/>
        <w:keepNext w:val="0"/>
        <w:keepLines w:val="0"/>
        <w:pageBreakBefore w:val="0"/>
        <w:kinsoku/>
        <w:wordWrap/>
        <w:overflowPunct/>
        <w:bidi w:val="0"/>
        <w:spacing w:line="580" w:lineRule="exact"/>
        <w:ind w:righ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2021年度“三公”经费财政拨款支出</w:t>
      </w:r>
      <w:r>
        <w:rPr>
          <w:rFonts w:hint="eastAsia" w:ascii="仿宋" w:hAnsi="仿宋" w:eastAsia="仿宋" w:cs="仿宋"/>
          <w:sz w:val="32"/>
          <w:szCs w:val="32"/>
          <w:lang w:val="en-US" w:eastAsia="zh-CN"/>
        </w:rPr>
        <w:t>预算为2万元，支出</w:t>
      </w:r>
      <w:r>
        <w:rPr>
          <w:rFonts w:hint="eastAsia" w:ascii="仿宋" w:hAnsi="仿宋" w:eastAsia="仿宋" w:cs="仿宋"/>
          <w:sz w:val="32"/>
          <w:szCs w:val="32"/>
        </w:rPr>
        <w:t>决算</w:t>
      </w:r>
      <w:r>
        <w:rPr>
          <w:rFonts w:hint="eastAsia" w:ascii="仿宋" w:hAnsi="仿宋" w:eastAsia="仿宋" w:cs="仿宋"/>
          <w:sz w:val="32"/>
          <w:szCs w:val="32"/>
          <w:lang w:val="en-US" w:eastAsia="zh-CN"/>
        </w:rPr>
        <w:t>为1.2万元，完成预算的60%，因公出国（境）费支出决算为0万元，公务用车购置费及运行维护支出费支出决算0万元，公务接待支出决算为1.2万元，占60%。其中：</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支出决算为0万元，完成预算的0</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为2万元，支出决算为1.2</w:t>
      </w:r>
      <w:r>
        <w:rPr>
          <w:rFonts w:hint="eastAsia" w:ascii="仿宋" w:hAnsi="仿宋" w:eastAsia="仿宋" w:cs="仿宋"/>
          <w:sz w:val="32"/>
          <w:szCs w:val="32"/>
        </w:rPr>
        <w:t>万元，全年共接待来访团组</w:t>
      </w:r>
      <w:r>
        <w:rPr>
          <w:rFonts w:hint="eastAsia" w:ascii="仿宋" w:hAnsi="仿宋" w:eastAsia="仿宋" w:cs="仿宋"/>
          <w:sz w:val="32"/>
          <w:szCs w:val="32"/>
          <w:lang w:val="en-US" w:eastAsia="zh-CN"/>
        </w:rPr>
        <w:t>20</w:t>
      </w:r>
      <w:r>
        <w:rPr>
          <w:rFonts w:hint="eastAsia" w:ascii="仿宋" w:hAnsi="仿宋" w:eastAsia="仿宋" w:cs="仿宋"/>
          <w:sz w:val="32"/>
          <w:szCs w:val="32"/>
        </w:rPr>
        <w:t>个、来宾</w:t>
      </w:r>
      <w:r>
        <w:rPr>
          <w:rFonts w:hint="eastAsia" w:ascii="仿宋" w:hAnsi="仿宋" w:eastAsia="仿宋" w:cs="仿宋"/>
          <w:sz w:val="32"/>
          <w:szCs w:val="32"/>
          <w:lang w:val="en-US" w:eastAsia="zh-CN"/>
        </w:rPr>
        <w:t>105</w:t>
      </w:r>
      <w:r>
        <w:rPr>
          <w:rFonts w:hint="eastAsia" w:ascii="仿宋" w:hAnsi="仿宋" w:eastAsia="仿宋" w:cs="仿宋"/>
          <w:sz w:val="32"/>
          <w:szCs w:val="32"/>
        </w:rPr>
        <w:t>人次，主要是</w:t>
      </w:r>
      <w:r>
        <w:rPr>
          <w:rFonts w:hint="eastAsia" w:ascii="仿宋" w:hAnsi="仿宋" w:eastAsia="仿宋" w:cs="仿宋"/>
          <w:sz w:val="32"/>
          <w:szCs w:val="32"/>
          <w:lang w:eastAsia="zh-CN"/>
        </w:rPr>
        <w:t>妇女儿童权益</w:t>
      </w:r>
      <w:r>
        <w:rPr>
          <w:rFonts w:hint="eastAsia" w:ascii="仿宋" w:hAnsi="仿宋" w:eastAsia="仿宋" w:cs="仿宋"/>
          <w:sz w:val="32"/>
          <w:szCs w:val="32"/>
        </w:rPr>
        <w:t>发生的接待支出。</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公务用车购置费及运行维护费支出决算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其中：公务用车购置费0万元，公务用车购置0辆，道县妇联更新公务用车0辆。公务用车运行维护费0万元，无支出，截止2021年12月31日，我单位开支财政拨款的公务用车保有量为0辆</w:t>
      </w:r>
      <w:r>
        <w:rPr>
          <w:rFonts w:hint="eastAsia" w:ascii="仿宋" w:hAnsi="仿宋" w:eastAsia="仿宋" w:cs="仿宋"/>
          <w:sz w:val="32"/>
          <w:szCs w:val="32"/>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八、政府性基金预算收入支出决算情况</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仿宋" w:hAnsi="仿宋" w:eastAsia="仿宋" w:cs="仿宋"/>
          <w:sz w:val="32"/>
          <w:szCs w:val="32"/>
        </w:rPr>
        <w:t>2021年度政府性基金预算财政拨款收入</w:t>
      </w:r>
      <w:r>
        <w:rPr>
          <w:rFonts w:hint="default" w:ascii="仿宋" w:hAnsi="仿宋" w:eastAsia="仿宋" w:cs="仿宋"/>
          <w:sz w:val="32"/>
          <w:szCs w:val="32"/>
          <w:lang w:val="en-US"/>
        </w:rPr>
        <w:t>0</w:t>
      </w:r>
      <w:r>
        <w:rPr>
          <w:rFonts w:hint="eastAsia" w:ascii="仿宋" w:hAnsi="仿宋" w:eastAsia="仿宋" w:cs="仿宋"/>
          <w:sz w:val="32"/>
          <w:szCs w:val="32"/>
        </w:rPr>
        <w:t>万元；年初结转和结余</w:t>
      </w:r>
      <w:r>
        <w:rPr>
          <w:rFonts w:hint="default" w:ascii="仿宋" w:hAnsi="仿宋" w:eastAsia="仿宋" w:cs="仿宋"/>
          <w:sz w:val="32"/>
          <w:szCs w:val="32"/>
          <w:lang w:val="en-US"/>
        </w:rPr>
        <w:t>0</w:t>
      </w:r>
      <w:r>
        <w:rPr>
          <w:rFonts w:hint="eastAsia" w:ascii="仿宋" w:hAnsi="仿宋" w:eastAsia="仿宋" w:cs="仿宋"/>
          <w:sz w:val="32"/>
          <w:szCs w:val="32"/>
        </w:rPr>
        <w:t>万元；支出</w:t>
      </w:r>
      <w:r>
        <w:rPr>
          <w:rFonts w:hint="default" w:ascii="仿宋" w:hAnsi="仿宋" w:eastAsia="仿宋" w:cs="仿宋"/>
          <w:sz w:val="32"/>
          <w:szCs w:val="32"/>
          <w:lang w:val="en-US"/>
        </w:rPr>
        <w:t>0</w:t>
      </w:r>
      <w:r>
        <w:rPr>
          <w:rFonts w:hint="eastAsia" w:ascii="仿宋" w:hAnsi="仿宋" w:eastAsia="仿宋" w:cs="仿宋"/>
          <w:sz w:val="32"/>
          <w:szCs w:val="32"/>
        </w:rPr>
        <w:t>万元，其中基本支出</w:t>
      </w:r>
      <w:r>
        <w:rPr>
          <w:rFonts w:hint="default" w:ascii="仿宋" w:hAnsi="仿宋" w:eastAsia="仿宋" w:cs="仿宋"/>
          <w:sz w:val="32"/>
          <w:szCs w:val="32"/>
          <w:lang w:val="en-US"/>
        </w:rPr>
        <w:t>0</w:t>
      </w:r>
      <w:r>
        <w:rPr>
          <w:rFonts w:hint="eastAsia" w:ascii="仿宋" w:hAnsi="仿宋" w:eastAsia="仿宋" w:cs="仿宋"/>
          <w:sz w:val="32"/>
          <w:szCs w:val="32"/>
        </w:rPr>
        <w:t>万元，项目支出</w:t>
      </w:r>
      <w:r>
        <w:rPr>
          <w:rFonts w:hint="default" w:ascii="仿宋" w:hAnsi="仿宋" w:eastAsia="仿宋" w:cs="仿宋"/>
          <w:sz w:val="32"/>
          <w:szCs w:val="32"/>
          <w:lang w:val="en-US"/>
        </w:rPr>
        <w:t>0</w:t>
      </w:r>
      <w:r>
        <w:rPr>
          <w:rFonts w:hint="eastAsia" w:ascii="仿宋" w:hAnsi="仿宋" w:eastAsia="仿宋" w:cs="仿宋"/>
          <w:sz w:val="32"/>
          <w:szCs w:val="32"/>
        </w:rPr>
        <w:t>万元；年末结转和结余</w:t>
      </w:r>
      <w:r>
        <w:rPr>
          <w:rFonts w:hint="default" w:ascii="仿宋" w:hAnsi="仿宋" w:eastAsia="仿宋" w:cs="仿宋"/>
          <w:sz w:val="32"/>
          <w:szCs w:val="32"/>
          <w:lang w:val="en-US"/>
        </w:rPr>
        <w:t>0</w:t>
      </w:r>
      <w:r>
        <w:rPr>
          <w:rFonts w:hint="eastAsia" w:ascii="仿宋" w:hAnsi="仿宋" w:eastAsia="仿宋" w:cs="仿宋"/>
          <w:sz w:val="32"/>
          <w:szCs w:val="32"/>
        </w:rPr>
        <w:t>万元。</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九、机关运行经费支出说明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本部门2021年度机关运行经费支出</w:t>
      </w:r>
      <w:r>
        <w:rPr>
          <w:rFonts w:hint="eastAsia" w:ascii="仿宋" w:hAnsi="仿宋" w:eastAsia="仿宋" w:cs="仿宋"/>
          <w:sz w:val="32"/>
          <w:szCs w:val="32"/>
          <w:lang w:val="en-US" w:eastAsia="zh-CN"/>
        </w:rPr>
        <w:t>19.2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比年初预算数增加</w:t>
      </w:r>
      <w:r>
        <w:rPr>
          <w:rFonts w:hint="eastAsia" w:ascii="仿宋" w:hAnsi="仿宋" w:eastAsia="仿宋" w:cs="仿宋"/>
          <w:sz w:val="32"/>
          <w:szCs w:val="32"/>
          <w:lang w:val="en-US" w:eastAsia="zh-CN"/>
        </w:rPr>
        <w:t>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5.5</w:t>
      </w:r>
      <w:r>
        <w:rPr>
          <w:rFonts w:hint="eastAsia" w:ascii="仿宋" w:hAnsi="仿宋" w:eastAsia="仿宋" w:cs="仿宋"/>
          <w:sz w:val="32"/>
          <w:szCs w:val="32"/>
        </w:rPr>
        <w:t>%。主要原因是：</w:t>
      </w:r>
      <w:r>
        <w:rPr>
          <w:rFonts w:hint="eastAsia" w:ascii="仿宋" w:hAnsi="仿宋" w:eastAsia="仿宋" w:cs="仿宋"/>
          <w:sz w:val="32"/>
          <w:szCs w:val="32"/>
          <w:lang w:eastAsia="zh-CN"/>
        </w:rPr>
        <w:t>公用经费增加</w:t>
      </w:r>
      <w:r>
        <w:rPr>
          <w:rFonts w:hint="eastAsia" w:ascii="仿宋" w:hAnsi="仿宋" w:eastAsia="仿宋" w:cs="仿宋"/>
          <w:sz w:val="32"/>
          <w:szCs w:val="32"/>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十、一般性支出情况说明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2021年本部门开支会议费</w:t>
      </w:r>
      <w:r>
        <w:rPr>
          <w:rFonts w:hint="eastAsia" w:ascii="仿宋" w:hAnsi="仿宋" w:eastAsia="仿宋" w:cs="仿宋"/>
          <w:sz w:val="32"/>
          <w:szCs w:val="32"/>
          <w:lang w:val="en-US" w:eastAsia="zh-CN"/>
        </w:rPr>
        <w:t>1</w:t>
      </w:r>
      <w:r>
        <w:rPr>
          <w:rFonts w:hint="eastAsia" w:ascii="仿宋" w:hAnsi="仿宋" w:eastAsia="仿宋" w:cs="仿宋"/>
          <w:sz w:val="32"/>
          <w:szCs w:val="32"/>
        </w:rPr>
        <w:t>万元，用于召开</w:t>
      </w:r>
      <w:r>
        <w:rPr>
          <w:rFonts w:hint="eastAsia" w:ascii="仿宋" w:hAnsi="仿宋" w:eastAsia="仿宋" w:cs="仿宋"/>
          <w:sz w:val="32"/>
          <w:szCs w:val="32"/>
          <w:lang w:eastAsia="zh-CN"/>
        </w:rPr>
        <w:t>三八妇女节表彰大会</w:t>
      </w:r>
      <w:r>
        <w:rPr>
          <w:rFonts w:hint="eastAsia" w:ascii="仿宋" w:hAnsi="仿宋" w:eastAsia="仿宋" w:cs="仿宋"/>
          <w:sz w:val="32"/>
          <w:szCs w:val="32"/>
        </w:rPr>
        <w:t>，人数</w:t>
      </w:r>
      <w:r>
        <w:rPr>
          <w:rFonts w:hint="eastAsia" w:ascii="仿宋" w:hAnsi="仿宋" w:eastAsia="仿宋" w:cs="仿宋"/>
          <w:sz w:val="32"/>
          <w:szCs w:val="32"/>
          <w:lang w:val="en-US" w:eastAsia="zh-CN"/>
        </w:rPr>
        <w:t>253</w:t>
      </w:r>
      <w:r>
        <w:rPr>
          <w:rFonts w:hint="eastAsia" w:ascii="仿宋" w:hAnsi="仿宋" w:eastAsia="仿宋" w:cs="仿宋"/>
          <w:sz w:val="32"/>
          <w:szCs w:val="32"/>
        </w:rPr>
        <w:t>人，内容为</w:t>
      </w:r>
      <w:r>
        <w:rPr>
          <w:rFonts w:hint="eastAsia" w:ascii="仿宋" w:hAnsi="仿宋" w:eastAsia="仿宋" w:cs="仿宋"/>
          <w:sz w:val="32"/>
          <w:szCs w:val="32"/>
          <w:lang w:eastAsia="zh-CN"/>
        </w:rPr>
        <w:t>三八妇女节表彰大会</w:t>
      </w:r>
      <w:r>
        <w:rPr>
          <w:rFonts w:hint="eastAsia" w:ascii="仿宋" w:hAnsi="仿宋" w:eastAsia="仿宋" w:cs="仿宋"/>
          <w:sz w:val="32"/>
          <w:szCs w:val="32"/>
        </w:rPr>
        <w:t>；开支培训费</w:t>
      </w:r>
      <w:r>
        <w:rPr>
          <w:rFonts w:hint="eastAsia" w:ascii="仿宋" w:hAnsi="仿宋" w:eastAsia="仿宋" w:cs="仿宋"/>
          <w:sz w:val="32"/>
          <w:szCs w:val="32"/>
          <w:lang w:val="en-US" w:eastAsia="zh-CN"/>
        </w:rPr>
        <w:t>2.4</w:t>
      </w:r>
      <w:r>
        <w:rPr>
          <w:rFonts w:hint="eastAsia" w:ascii="仿宋" w:hAnsi="仿宋" w:eastAsia="仿宋" w:cs="仿宋"/>
          <w:sz w:val="32"/>
          <w:szCs w:val="32"/>
        </w:rPr>
        <w:t>万元，用于开展</w:t>
      </w:r>
      <w:r>
        <w:rPr>
          <w:rFonts w:hint="eastAsia" w:ascii="仿宋" w:hAnsi="仿宋" w:eastAsia="仿宋" w:cs="仿宋"/>
          <w:sz w:val="32"/>
          <w:szCs w:val="32"/>
          <w:lang w:eastAsia="zh-CN"/>
        </w:rPr>
        <w:t>巾帼文明</w:t>
      </w:r>
      <w:r>
        <w:rPr>
          <w:rFonts w:hint="eastAsia" w:ascii="仿宋" w:hAnsi="仿宋" w:eastAsia="仿宋" w:cs="仿宋"/>
          <w:sz w:val="32"/>
          <w:szCs w:val="32"/>
        </w:rPr>
        <w:t>培训，人数</w:t>
      </w:r>
      <w:r>
        <w:rPr>
          <w:rFonts w:hint="eastAsia" w:ascii="仿宋" w:hAnsi="仿宋" w:eastAsia="仿宋" w:cs="仿宋"/>
          <w:sz w:val="32"/>
          <w:szCs w:val="32"/>
          <w:lang w:val="en-US" w:eastAsia="zh-CN"/>
        </w:rPr>
        <w:t>125</w:t>
      </w:r>
      <w:r>
        <w:rPr>
          <w:rFonts w:hint="eastAsia" w:ascii="仿宋" w:hAnsi="仿宋" w:eastAsia="仿宋" w:cs="仿宋"/>
          <w:sz w:val="32"/>
          <w:szCs w:val="32"/>
        </w:rPr>
        <w:t>人</w:t>
      </w:r>
      <w:r>
        <w:rPr>
          <w:rFonts w:hint="eastAsia" w:ascii="仿宋" w:hAnsi="仿宋" w:eastAsia="仿宋" w:cs="仿宋"/>
          <w:sz w:val="32"/>
          <w:szCs w:val="32"/>
          <w:lang w:eastAsia="zh-CN"/>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十一、政府采购支出说明</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本部门2021年度政府采购支出总额</w:t>
      </w:r>
      <w:r>
        <w:rPr>
          <w:rFonts w:hint="default" w:ascii="仿宋" w:hAnsi="仿宋" w:eastAsia="仿宋" w:cs="仿宋"/>
          <w:sz w:val="32"/>
          <w:szCs w:val="32"/>
          <w:lang w:val="en-US"/>
        </w:rPr>
        <w:t>0</w:t>
      </w:r>
      <w:r>
        <w:rPr>
          <w:rFonts w:hint="eastAsia" w:ascii="仿宋" w:hAnsi="仿宋" w:eastAsia="仿宋" w:cs="仿宋"/>
          <w:sz w:val="32"/>
          <w:szCs w:val="32"/>
        </w:rPr>
        <w:t>万元，其中：政府采购货物支出</w:t>
      </w:r>
      <w:r>
        <w:rPr>
          <w:rFonts w:hint="default" w:ascii="仿宋" w:hAnsi="仿宋" w:eastAsia="仿宋" w:cs="仿宋"/>
          <w:sz w:val="32"/>
          <w:szCs w:val="32"/>
          <w:lang w:val="en-US"/>
        </w:rPr>
        <w:t>0</w:t>
      </w:r>
      <w:r>
        <w:rPr>
          <w:rFonts w:hint="eastAsia" w:ascii="仿宋" w:hAnsi="仿宋" w:eastAsia="仿宋" w:cs="仿宋"/>
          <w:sz w:val="32"/>
          <w:szCs w:val="32"/>
        </w:rPr>
        <w:t>万元、政府采购工程支出</w:t>
      </w:r>
      <w:r>
        <w:rPr>
          <w:rFonts w:hint="default" w:ascii="仿宋" w:hAnsi="仿宋" w:eastAsia="仿宋" w:cs="仿宋"/>
          <w:sz w:val="32"/>
          <w:szCs w:val="32"/>
          <w:lang w:val="en-US"/>
        </w:rPr>
        <w:t>0</w:t>
      </w:r>
      <w:r>
        <w:rPr>
          <w:rFonts w:hint="eastAsia" w:ascii="仿宋" w:hAnsi="仿宋" w:eastAsia="仿宋" w:cs="仿宋"/>
          <w:sz w:val="32"/>
          <w:szCs w:val="32"/>
        </w:rPr>
        <w:t>万元、政府采购服务支出</w:t>
      </w:r>
      <w:r>
        <w:rPr>
          <w:rFonts w:hint="default" w:ascii="仿宋" w:hAnsi="仿宋" w:eastAsia="仿宋" w:cs="仿宋"/>
          <w:sz w:val="32"/>
          <w:szCs w:val="32"/>
          <w:lang w:val="en-US"/>
        </w:rPr>
        <w:t>0</w:t>
      </w:r>
      <w:r>
        <w:rPr>
          <w:rFonts w:hint="eastAsia" w:ascii="仿宋" w:hAnsi="仿宋" w:eastAsia="仿宋" w:cs="仿宋"/>
          <w:sz w:val="32"/>
          <w:szCs w:val="32"/>
        </w:rPr>
        <w:t>万元。授予中小企业合同金额</w:t>
      </w:r>
      <w:r>
        <w:rPr>
          <w:rFonts w:hint="default" w:ascii="仿宋" w:hAnsi="仿宋" w:eastAsia="仿宋" w:cs="仿宋"/>
          <w:sz w:val="32"/>
          <w:szCs w:val="32"/>
          <w:lang w:val="en-US"/>
        </w:rPr>
        <w:t>0</w:t>
      </w:r>
      <w:r>
        <w:rPr>
          <w:rFonts w:hint="eastAsia" w:ascii="仿宋" w:hAnsi="仿宋" w:eastAsia="仿宋" w:cs="仿宋"/>
          <w:sz w:val="32"/>
          <w:szCs w:val="32"/>
        </w:rPr>
        <w:t>万元，占政府采购支出总额的</w:t>
      </w:r>
      <w:r>
        <w:rPr>
          <w:rFonts w:hint="default" w:ascii="仿宋" w:hAnsi="仿宋" w:eastAsia="仿宋" w:cs="仿宋"/>
          <w:sz w:val="32"/>
          <w:szCs w:val="32"/>
          <w:lang w:val="en-US"/>
        </w:rPr>
        <w:t>0</w:t>
      </w:r>
      <w:r>
        <w:rPr>
          <w:rFonts w:hint="eastAsia" w:ascii="仿宋" w:hAnsi="仿宋" w:eastAsia="仿宋" w:cs="仿宋"/>
          <w:sz w:val="32"/>
          <w:szCs w:val="32"/>
        </w:rPr>
        <w:t>%，其中：授予小微企业合同金额</w:t>
      </w:r>
      <w:r>
        <w:rPr>
          <w:rFonts w:hint="default" w:ascii="仿宋" w:hAnsi="仿宋" w:eastAsia="仿宋" w:cs="仿宋"/>
          <w:sz w:val="32"/>
          <w:szCs w:val="32"/>
          <w:lang w:val="en-US"/>
        </w:rPr>
        <w:t>0</w:t>
      </w:r>
      <w:r>
        <w:rPr>
          <w:rFonts w:hint="eastAsia" w:ascii="仿宋" w:hAnsi="仿宋" w:eastAsia="仿宋" w:cs="仿宋"/>
          <w:sz w:val="32"/>
          <w:szCs w:val="32"/>
        </w:rPr>
        <w:t>万元，占授予中小企业合同金额的</w:t>
      </w:r>
      <w:r>
        <w:rPr>
          <w:rFonts w:hint="default" w:ascii="仿宋" w:hAnsi="仿宋" w:eastAsia="仿宋" w:cs="仿宋"/>
          <w:sz w:val="32"/>
          <w:szCs w:val="32"/>
          <w:lang w:val="en-US"/>
        </w:rPr>
        <w:t>0</w:t>
      </w:r>
      <w:r>
        <w:rPr>
          <w:rFonts w:hint="eastAsia" w:ascii="仿宋" w:hAnsi="仿宋" w:eastAsia="仿宋" w:cs="仿宋"/>
          <w:sz w:val="32"/>
          <w:szCs w:val="32"/>
        </w:rPr>
        <w:t>%；货物采购授予中小企业合同金额占货物支出金额的</w:t>
      </w:r>
      <w:r>
        <w:rPr>
          <w:rFonts w:hint="default" w:ascii="仿宋" w:hAnsi="仿宋" w:eastAsia="仿宋" w:cs="仿宋"/>
          <w:sz w:val="32"/>
          <w:szCs w:val="32"/>
          <w:lang w:val="en-US"/>
        </w:rPr>
        <w:t>0</w:t>
      </w:r>
      <w:r>
        <w:rPr>
          <w:rFonts w:hint="eastAsia" w:ascii="仿宋" w:hAnsi="仿宋" w:eastAsia="仿宋" w:cs="仿宋"/>
          <w:sz w:val="32"/>
          <w:szCs w:val="32"/>
        </w:rPr>
        <w:t>%，工程采购授予中小企业合同金额占工程支出金额的</w:t>
      </w:r>
      <w:r>
        <w:rPr>
          <w:rFonts w:hint="default" w:ascii="仿宋" w:hAnsi="仿宋" w:eastAsia="仿宋" w:cs="仿宋"/>
          <w:sz w:val="32"/>
          <w:szCs w:val="32"/>
          <w:lang w:val="en-US"/>
        </w:rPr>
        <w:t>0</w:t>
      </w:r>
      <w:r>
        <w:rPr>
          <w:rFonts w:hint="eastAsia" w:ascii="仿宋" w:hAnsi="仿宋" w:eastAsia="仿宋" w:cs="仿宋"/>
          <w:sz w:val="32"/>
          <w:szCs w:val="32"/>
        </w:rPr>
        <w:t>%，服务采购授予中小企业合同金额占服务支出金额的</w:t>
      </w:r>
      <w:r>
        <w:rPr>
          <w:rFonts w:hint="default" w:ascii="仿宋" w:hAnsi="仿宋" w:eastAsia="仿宋" w:cs="仿宋"/>
          <w:sz w:val="32"/>
          <w:szCs w:val="32"/>
          <w:lang w:val="en-US"/>
        </w:rPr>
        <w:t>0</w:t>
      </w:r>
      <w:r>
        <w:rPr>
          <w:rFonts w:hint="eastAsia" w:ascii="仿宋" w:hAnsi="仿宋" w:eastAsia="仿宋" w:cs="仿宋"/>
          <w:sz w:val="32"/>
          <w:szCs w:val="32"/>
        </w:rPr>
        <w:t>%。</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十二、国有资产占用情况说明</w:t>
      </w:r>
    </w:p>
    <w:p>
      <w:pPr>
        <w:pStyle w:val="11"/>
        <w:ind w:firstLine="640" w:firstLineChars="200"/>
        <w:rPr>
          <w:rFonts w:hint="eastAsia" w:ascii="仿宋" w:hAnsi="仿宋" w:eastAsia="仿宋" w:cs="仿宋"/>
          <w:sz w:val="32"/>
          <w:szCs w:val="32"/>
        </w:rPr>
      </w:pPr>
      <w:r>
        <w:rPr>
          <w:rFonts w:hint="eastAsia" w:ascii="仿宋" w:hAnsi="仿宋" w:eastAsia="仿宋" w:cs="仿宋"/>
          <w:sz w:val="32"/>
          <w:szCs w:val="32"/>
        </w:rPr>
        <w:t>截至2021年12月31日，部门（单位）共有车辆</w:t>
      </w:r>
      <w:r>
        <w:rPr>
          <w:rFonts w:hint="default" w:ascii="仿宋" w:hAnsi="仿宋" w:eastAsia="仿宋" w:cs="仿宋"/>
          <w:sz w:val="32"/>
          <w:szCs w:val="32"/>
          <w:lang w:val="en-US"/>
        </w:rPr>
        <w:t>0</w:t>
      </w:r>
      <w:r>
        <w:rPr>
          <w:rFonts w:hint="eastAsia" w:ascii="仿宋" w:hAnsi="仿宋" w:eastAsia="仿宋" w:cs="仿宋"/>
          <w:sz w:val="32"/>
          <w:szCs w:val="32"/>
        </w:rPr>
        <w:t>辆，其中，主要领导干部用车</w:t>
      </w:r>
      <w:r>
        <w:rPr>
          <w:rFonts w:hint="default" w:ascii="仿宋" w:hAnsi="仿宋" w:eastAsia="仿宋" w:cs="仿宋"/>
          <w:sz w:val="32"/>
          <w:szCs w:val="32"/>
          <w:lang w:val="en-US"/>
        </w:rPr>
        <w:t>0</w:t>
      </w:r>
      <w:r>
        <w:rPr>
          <w:rFonts w:hint="eastAsia" w:ascii="仿宋" w:hAnsi="仿宋" w:eastAsia="仿宋" w:cs="仿宋"/>
          <w:sz w:val="32"/>
          <w:szCs w:val="32"/>
        </w:rPr>
        <w:t>辆，机要通信用车</w:t>
      </w:r>
      <w:r>
        <w:rPr>
          <w:rFonts w:hint="default" w:ascii="仿宋" w:hAnsi="仿宋" w:eastAsia="仿宋" w:cs="仿宋"/>
          <w:sz w:val="32"/>
          <w:szCs w:val="32"/>
          <w:lang w:val="en-US"/>
        </w:rPr>
        <w:t>0</w:t>
      </w:r>
      <w:r>
        <w:rPr>
          <w:rFonts w:hint="eastAsia" w:ascii="仿宋" w:hAnsi="仿宋" w:eastAsia="仿宋" w:cs="仿宋"/>
          <w:sz w:val="32"/>
          <w:szCs w:val="32"/>
        </w:rPr>
        <w:t>辆、应急保障用车</w:t>
      </w:r>
      <w:r>
        <w:rPr>
          <w:rFonts w:hint="default" w:ascii="仿宋" w:hAnsi="仿宋" w:eastAsia="仿宋" w:cs="仿宋"/>
          <w:sz w:val="32"/>
          <w:szCs w:val="32"/>
          <w:lang w:val="en-US"/>
        </w:rPr>
        <w:t>0</w:t>
      </w:r>
      <w:r>
        <w:rPr>
          <w:rFonts w:hint="eastAsia" w:ascii="仿宋" w:hAnsi="仿宋" w:eastAsia="仿宋" w:cs="仿宋"/>
          <w:sz w:val="32"/>
          <w:szCs w:val="32"/>
        </w:rPr>
        <w:t>辆、执法执勤用车</w:t>
      </w:r>
      <w:r>
        <w:rPr>
          <w:rFonts w:hint="default" w:ascii="仿宋" w:hAnsi="仿宋" w:eastAsia="仿宋" w:cs="仿宋"/>
          <w:sz w:val="32"/>
          <w:szCs w:val="32"/>
          <w:lang w:val="en-US"/>
        </w:rPr>
        <w:t>0</w:t>
      </w:r>
      <w:r>
        <w:rPr>
          <w:rFonts w:hint="eastAsia" w:ascii="仿宋" w:hAnsi="仿宋" w:eastAsia="仿宋" w:cs="仿宋"/>
          <w:sz w:val="32"/>
          <w:szCs w:val="32"/>
        </w:rPr>
        <w:t>辆、特种专业技术用车</w:t>
      </w:r>
      <w:r>
        <w:rPr>
          <w:rFonts w:hint="default" w:ascii="仿宋" w:hAnsi="仿宋" w:eastAsia="仿宋" w:cs="仿宋"/>
          <w:sz w:val="32"/>
          <w:szCs w:val="32"/>
          <w:lang w:val="en-US"/>
        </w:rPr>
        <w:t>0</w:t>
      </w:r>
      <w:r>
        <w:rPr>
          <w:rFonts w:hint="eastAsia" w:ascii="仿宋" w:hAnsi="仿宋" w:eastAsia="仿宋" w:cs="仿宋"/>
          <w:sz w:val="32"/>
          <w:szCs w:val="32"/>
        </w:rPr>
        <w:t>辆、其他用车</w:t>
      </w:r>
      <w:r>
        <w:rPr>
          <w:rFonts w:hint="default" w:ascii="仿宋" w:hAnsi="仿宋" w:eastAsia="仿宋" w:cs="仿宋"/>
          <w:sz w:val="32"/>
          <w:szCs w:val="32"/>
          <w:lang w:val="en-US"/>
        </w:rPr>
        <w:t>0</w:t>
      </w:r>
      <w:r>
        <w:rPr>
          <w:rFonts w:hint="eastAsia" w:ascii="仿宋" w:hAnsi="仿宋" w:eastAsia="仿宋" w:cs="仿宋"/>
          <w:sz w:val="32"/>
          <w:szCs w:val="32"/>
        </w:rPr>
        <w:t>辆，其他用车</w:t>
      </w:r>
      <w:r>
        <w:rPr>
          <w:rFonts w:hint="eastAsia" w:ascii="仿宋" w:hAnsi="仿宋" w:eastAsia="仿宋" w:cs="仿宋"/>
          <w:sz w:val="32"/>
          <w:szCs w:val="32"/>
          <w:lang w:eastAsia="zh-CN"/>
        </w:rPr>
        <w:t>无</w:t>
      </w:r>
      <w:r>
        <w:rPr>
          <w:rFonts w:hint="eastAsia" w:ascii="仿宋" w:hAnsi="仿宋" w:eastAsia="仿宋" w:cs="仿宋"/>
          <w:sz w:val="32"/>
          <w:szCs w:val="32"/>
        </w:rPr>
        <w:t>；单位价值50万元以上通用设备</w:t>
      </w:r>
      <w:r>
        <w:rPr>
          <w:rFonts w:hint="default" w:ascii="仿宋" w:hAnsi="仿宋" w:eastAsia="仿宋" w:cs="仿宋"/>
          <w:sz w:val="32"/>
          <w:szCs w:val="32"/>
          <w:lang w:val="en-US"/>
        </w:rPr>
        <w:t>0</w:t>
      </w:r>
      <w:r>
        <w:rPr>
          <w:rFonts w:hint="eastAsia" w:ascii="仿宋" w:hAnsi="仿宋" w:eastAsia="仿宋" w:cs="仿宋"/>
          <w:sz w:val="32"/>
          <w:szCs w:val="32"/>
        </w:rPr>
        <w:t>台（套）；单位价值100万元以上专用设备</w:t>
      </w:r>
      <w:r>
        <w:rPr>
          <w:rFonts w:hint="default" w:ascii="仿宋" w:hAnsi="仿宋" w:eastAsia="仿宋" w:cs="仿宋"/>
          <w:sz w:val="32"/>
          <w:szCs w:val="32"/>
          <w:lang w:val="en-US"/>
        </w:rPr>
        <w:t>0</w:t>
      </w:r>
      <w:r>
        <w:rPr>
          <w:rFonts w:hint="eastAsia" w:ascii="仿宋" w:hAnsi="仿宋" w:eastAsia="仿宋" w:cs="仿宋"/>
          <w:sz w:val="32"/>
          <w:szCs w:val="32"/>
        </w:rPr>
        <w:t>台（套）。</w:t>
      </w:r>
    </w:p>
    <w:p>
      <w:pPr>
        <w:pStyle w:val="11"/>
        <w:keepNext w:val="0"/>
        <w:keepLines w:val="0"/>
        <w:pageBreakBefore w:val="0"/>
        <w:kinsoku/>
        <w:wordWrap/>
        <w:overflowPunct/>
        <w:bidi w:val="0"/>
        <w:spacing w:line="580" w:lineRule="exact"/>
        <w:ind w:right="0" w:firstLine="640" w:firstLineChars="200"/>
        <w:textAlignment w:val="auto"/>
        <w:rPr>
          <w:rFonts w:hint="eastAsia" w:ascii="仿宋" w:hAnsi="仿宋" w:eastAsia="仿宋" w:cs="仿宋"/>
          <w:b/>
          <w:sz w:val="32"/>
          <w:szCs w:val="32"/>
        </w:rPr>
      </w:pPr>
      <w:r>
        <w:rPr>
          <w:rFonts w:hint="eastAsia" w:ascii="仿宋" w:hAnsi="仿宋" w:eastAsia="仿宋" w:cs="仿宋"/>
          <w:b/>
          <w:sz w:val="32"/>
          <w:szCs w:val="32"/>
        </w:rPr>
        <w:t>十三、2021年度预算绩效情况说明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根据预算绩效管理要求，我部门组织对2021年度一般公共预算项目支出全面开展绩效自评，其中，一级项目</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个，二级项目</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个，共涉及资金</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万元，占一般公共预算项目支出总额的</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%。无2021年度政府性基金预算项目支出开展绩效自评，共涉及资金</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万元，无占政府性基金预算项目支出总额。无2021年度国有资本经营预算项目支出开展绩效自评，共涉及资金</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万元，无占国有资本经营预算项目支出总额。</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组织对</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个项目开展了部门评价，涉及一般公共预算支出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万元，政府性基金预算支出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万元，国有资本经营预算支出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万元。我单位无项目经费。</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组织对道县妇联等</w:t>
      </w:r>
      <w:r>
        <w:rPr>
          <w:rFonts w:hint="default" w:ascii="仿宋" w:hAnsi="仿宋" w:eastAsia="仿宋" w:cs="仿宋"/>
          <w:color w:val="000000"/>
          <w:kern w:val="0"/>
          <w:sz w:val="32"/>
          <w:szCs w:val="32"/>
          <w:lang w:val="en-US" w:eastAsia="zh-CN" w:bidi="ar-SA"/>
        </w:rPr>
        <w:t>1</w:t>
      </w:r>
      <w:r>
        <w:rPr>
          <w:rFonts w:hint="eastAsia" w:ascii="仿宋" w:hAnsi="仿宋" w:eastAsia="仿宋" w:cs="仿宋"/>
          <w:color w:val="000000"/>
          <w:kern w:val="0"/>
          <w:sz w:val="32"/>
          <w:szCs w:val="32"/>
          <w:lang w:val="en-US" w:eastAsia="zh-CN" w:bidi="ar-SA"/>
        </w:rPr>
        <w:t>个单位开展整体支出绩效评价，涉及一般公共预算支出114.93万元，政府性基金预算支出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从评价情况来看，我会较好地完成了2021年工作任务，2021年实际支出总额未超出年初预算，专项经费实际支出也未超出年初预算，在实现任务目标的同时，保证了各项工作经费及时到位。从支出结构来看，基本支出保证了工作的正常运转，即工资的按时发放，办公经费支出合理安排，按年初设定的目标任务积极完成各项工作。我会厉行节约，坚持把有限的专项经费用在刀刃上，进一步完善财务管理制度，坚持财务开支公开透明，接受全会监督，经得起上级各项审计检查，这些措施较好地保证了财务开支和资金使用的合法合规、安全有效，较好地保证了妇联工作的可持续性发展。</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color w:val="000000"/>
          <w:kern w:val="0"/>
          <w:sz w:val="32"/>
          <w:szCs w:val="32"/>
        </w:rPr>
      </w:pPr>
      <w:r>
        <w:rPr>
          <w:rFonts w:hint="eastAsia" w:ascii="仿宋" w:hAnsi="仿宋" w:eastAsia="仿宋" w:cs="仿宋"/>
          <w:color w:val="000000"/>
          <w:kern w:val="0"/>
          <w:sz w:val="32"/>
          <w:szCs w:val="32"/>
          <w:lang w:val="en-US" w:eastAsia="zh-CN" w:bidi="ar-SA"/>
        </w:rPr>
        <w:t>项目绩效自评综述：根据年初设定的绩效目标，项目绩效自评得分为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分。项目全年预算数为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万元，执行数为</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万元，完成预算的</w:t>
      </w:r>
      <w:r>
        <w:rPr>
          <w:rFonts w:hint="default" w:ascii="仿宋" w:hAnsi="仿宋" w:eastAsia="仿宋" w:cs="仿宋"/>
          <w:color w:val="000000"/>
          <w:kern w:val="0"/>
          <w:sz w:val="32"/>
          <w:szCs w:val="32"/>
          <w:lang w:val="en-US" w:eastAsia="zh-CN" w:bidi="ar-SA"/>
        </w:rPr>
        <w:t>0</w:t>
      </w:r>
      <w:r>
        <w:rPr>
          <w:rFonts w:hint="eastAsia" w:ascii="仿宋" w:hAnsi="仿宋" w:eastAsia="仿宋" w:cs="仿宋"/>
          <w:color w:val="000000"/>
          <w:kern w:val="0"/>
          <w:sz w:val="32"/>
          <w:szCs w:val="32"/>
          <w:lang w:val="en-US" w:eastAsia="zh-CN" w:bidi="ar-SA"/>
        </w:rPr>
        <w:t>%。无项目绩效。</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无。</w:t>
      </w:r>
    </w:p>
    <w:p>
      <w:pPr>
        <w:pStyle w:val="11"/>
        <w:jc w:val="center"/>
        <w:rPr>
          <w:rFonts w:hint="eastAsia" w:ascii="宋体" w:hAnsi="宋体" w:eastAsia="宋体" w:cs="宋体"/>
          <w:sz w:val="32"/>
          <w:szCs w:val="32"/>
        </w:rPr>
      </w:pPr>
    </w:p>
    <w:p>
      <w:pPr>
        <w:pStyle w:val="11"/>
        <w:jc w:val="center"/>
        <w:rPr>
          <w:rFonts w:hint="eastAsia" w:ascii="宋体" w:hAnsi="宋体" w:eastAsia="宋体" w:cs="宋体"/>
          <w:sz w:val="32"/>
          <w:szCs w:val="32"/>
        </w:rPr>
      </w:pPr>
    </w:p>
    <w:p>
      <w:pPr>
        <w:pStyle w:val="11"/>
        <w:jc w:val="center"/>
        <w:rPr>
          <w:rFonts w:hint="eastAsia" w:ascii="宋体" w:hAnsi="宋体" w:eastAsia="宋体" w:cs="宋体"/>
          <w:sz w:val="32"/>
          <w:szCs w:val="32"/>
        </w:rPr>
      </w:pPr>
    </w:p>
    <w:p>
      <w:pPr>
        <w:pStyle w:val="11"/>
        <w:jc w:val="center"/>
        <w:rPr>
          <w:rFonts w:hint="eastAsia" w:ascii="宋体" w:hAnsi="宋体" w:eastAsia="宋体" w:cs="宋体"/>
          <w:sz w:val="32"/>
          <w:szCs w:val="32"/>
        </w:rPr>
      </w:pPr>
    </w:p>
    <w:p>
      <w:pPr>
        <w:pStyle w:val="11"/>
        <w:jc w:val="center"/>
        <w:rPr>
          <w:rFonts w:hint="eastAsia" w:ascii="宋体" w:hAnsi="宋体" w:eastAsia="宋体" w:cs="宋体"/>
          <w:sz w:val="32"/>
          <w:szCs w:val="32"/>
        </w:rPr>
      </w:pPr>
    </w:p>
    <w:p>
      <w:pPr>
        <w:pStyle w:val="11"/>
        <w:rPr>
          <w:rFonts w:hint="eastAsia" w:ascii="宋体" w:hAnsi="宋体" w:eastAsia="宋体" w:cs="宋体"/>
          <w:sz w:val="32"/>
          <w:szCs w:val="32"/>
        </w:rPr>
      </w:pPr>
    </w:p>
    <w:p>
      <w:pPr>
        <w:pStyle w:val="11"/>
        <w:rPr>
          <w:rFonts w:hint="eastAsia" w:ascii="宋体" w:hAnsi="宋体" w:eastAsia="宋体" w:cs="宋体"/>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hint="eastAsia" w:ascii="仿宋" w:hAnsi="仿宋" w:eastAsia="仿宋" w:cs="仿宋"/>
          <w:color w:val="0C0C0C"/>
          <w:sz w:val="32"/>
          <w:szCs w:val="32"/>
          <w:shd w:val="clear" w:color="auto" w:fill="FFFFFF"/>
        </w:rPr>
      </w:pPr>
      <w:r>
        <w:rPr>
          <w:rFonts w:ascii="黑体" w:eastAsia="黑体" w:cs="黑体"/>
          <w:color w:val="000000"/>
          <w:kern w:val="0"/>
          <w:sz w:val="70"/>
          <w:szCs w:val="70"/>
        </w:rPr>
        <w:br w:type="page"/>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val="en-US" w:eastAsia="zh-CN"/>
        </w:rPr>
        <w:t>一、</w:t>
      </w:r>
      <w:r>
        <w:rPr>
          <w:rFonts w:hint="eastAsia" w:ascii="仿宋" w:hAnsi="仿宋" w:eastAsia="仿宋" w:cs="仿宋"/>
          <w:b/>
          <w:bCs/>
          <w:color w:val="0C0C0C"/>
          <w:sz w:val="32"/>
          <w:szCs w:val="32"/>
          <w:shd w:val="clear" w:color="auto" w:fill="FFFFFF"/>
          <w:lang w:eastAsia="zh-CN"/>
        </w:rPr>
        <w:t>财政拨款收入：</w:t>
      </w:r>
      <w:r>
        <w:rPr>
          <w:rFonts w:hint="eastAsia" w:ascii="仿宋" w:hAnsi="仿宋" w:eastAsia="仿宋" w:cs="仿宋"/>
          <w:color w:val="0C0C0C"/>
          <w:sz w:val="32"/>
          <w:szCs w:val="32"/>
          <w:shd w:val="clear" w:color="auto" w:fill="FFFFFF"/>
          <w:lang w:eastAsia="zh-CN"/>
        </w:rPr>
        <w:t>指单位本年度从同级财政部门取得的各类财政拨款。</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val="en-US" w:eastAsia="zh-CN"/>
        </w:rPr>
        <w:t>二、</w:t>
      </w:r>
      <w:r>
        <w:rPr>
          <w:rFonts w:hint="eastAsia" w:ascii="仿宋" w:hAnsi="仿宋" w:eastAsia="仿宋" w:cs="仿宋"/>
          <w:b/>
          <w:bCs/>
          <w:color w:val="0C0C0C"/>
          <w:sz w:val="32"/>
          <w:szCs w:val="32"/>
          <w:shd w:val="clear" w:color="auto" w:fill="FFFFFF"/>
          <w:lang w:eastAsia="zh-CN"/>
        </w:rPr>
        <w:t>上级补助收入：</w:t>
      </w:r>
      <w:r>
        <w:rPr>
          <w:rFonts w:hint="eastAsia" w:ascii="仿宋" w:hAnsi="仿宋" w:eastAsia="仿宋" w:cs="仿宋"/>
          <w:color w:val="0C0C0C"/>
          <w:sz w:val="32"/>
          <w:szCs w:val="32"/>
          <w:shd w:val="clear" w:color="auto" w:fill="FFFFFF"/>
          <w:lang w:eastAsia="zh-CN"/>
        </w:rPr>
        <w:t>指事业单位从主管部门和上级单位取得的非财政补助收入。</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三、机关运行经费：</w:t>
      </w:r>
      <w:r>
        <w:rPr>
          <w:rFonts w:hint="eastAsia" w:ascii="仿宋" w:hAnsi="仿宋" w:eastAsia="仿宋" w:cs="仿宋"/>
          <w:color w:val="0C0C0C"/>
          <w:sz w:val="32"/>
          <w:szCs w:val="32"/>
          <w:shd w:val="clear" w:color="auto" w:fill="FFFFFF"/>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四、“三公”经费：</w:t>
      </w:r>
      <w:r>
        <w:rPr>
          <w:rFonts w:hint="eastAsia" w:ascii="仿宋" w:hAnsi="仿宋" w:eastAsia="仿宋" w:cs="仿宋"/>
          <w:color w:val="0C0C0C"/>
          <w:sz w:val="32"/>
          <w:szCs w:val="32"/>
          <w:shd w:val="clear" w:color="auto" w:fill="FFFFFF"/>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五、对附属单位补助支出：</w:t>
      </w:r>
      <w:r>
        <w:rPr>
          <w:rFonts w:hint="eastAsia" w:ascii="仿宋" w:hAnsi="仿宋" w:eastAsia="仿宋" w:cs="仿宋"/>
          <w:color w:val="0C0C0C"/>
          <w:sz w:val="32"/>
          <w:szCs w:val="32"/>
          <w:shd w:val="clear" w:color="auto" w:fill="FFFFFF"/>
          <w:lang w:eastAsia="zh-CN"/>
        </w:rPr>
        <w:t>指事业单位用财政拨款收入之外的收入对附属单位补助发生的支出。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六、事业收入：</w:t>
      </w:r>
      <w:r>
        <w:rPr>
          <w:rFonts w:hint="eastAsia" w:ascii="仿宋" w:hAnsi="仿宋" w:eastAsia="仿宋" w:cs="仿宋"/>
          <w:color w:val="0C0C0C"/>
          <w:sz w:val="32"/>
          <w:szCs w:val="32"/>
          <w:shd w:val="clear" w:color="auto" w:fill="FFFFFF"/>
          <w:lang w:eastAsia="zh-CN"/>
        </w:rPr>
        <w:t>指事业单位开展专业业务活动及其辅助活动取得的收入，事业单位收到的财政专户实际核拨的教育收费等资金在此反映。七、经营收入：指事业单位在专业业务活动及其辅助活动之外开展- 17 -非独立核算经营活动取得的收入。</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八、附属单位上缴收入：</w:t>
      </w:r>
      <w:r>
        <w:rPr>
          <w:rFonts w:hint="eastAsia" w:ascii="仿宋" w:hAnsi="仿宋" w:eastAsia="仿宋" w:cs="仿宋"/>
          <w:color w:val="0C0C0C"/>
          <w:sz w:val="32"/>
          <w:szCs w:val="32"/>
          <w:shd w:val="clear" w:color="auto" w:fill="FFFFFF"/>
          <w:lang w:eastAsia="zh-CN"/>
        </w:rPr>
        <w:t>指事业单位附属独立核算单位按照有关规定上缴的收入。</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九、其他收入：</w:t>
      </w:r>
      <w:r>
        <w:rPr>
          <w:rFonts w:hint="eastAsia" w:ascii="仿宋" w:hAnsi="仿宋" w:eastAsia="仿宋" w:cs="仿宋"/>
          <w:color w:val="0C0C0C"/>
          <w:sz w:val="32"/>
          <w:szCs w:val="32"/>
          <w:shd w:val="clear" w:color="auto" w:fill="FFFFFF"/>
          <w:lang w:eastAsia="zh-CN"/>
        </w:rPr>
        <w:t>指单位取得的除上述“财政拨款收入”、“事业收入”、“经营收入”等以外的各项收入。</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十、使用非财政拨款结余：</w:t>
      </w:r>
      <w:r>
        <w:rPr>
          <w:rFonts w:hint="eastAsia" w:ascii="仿宋" w:hAnsi="仿宋" w:eastAsia="仿宋" w:cs="仿宋"/>
          <w:color w:val="0C0C0C"/>
          <w:sz w:val="32"/>
          <w:szCs w:val="32"/>
          <w:shd w:val="clear" w:color="auto" w:fill="FFFFFF"/>
          <w:lang w:eastAsia="zh-CN"/>
        </w:rPr>
        <w:t>指事业单位使用非财政拨款结余（原事业基金）弥补当年收支差额的数额。</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十一、年初结转和结余：</w:t>
      </w:r>
      <w:r>
        <w:rPr>
          <w:rFonts w:hint="eastAsia" w:ascii="仿宋" w:hAnsi="仿宋" w:eastAsia="仿宋" w:cs="仿宋"/>
          <w:color w:val="0C0C0C"/>
          <w:sz w:val="32"/>
          <w:szCs w:val="32"/>
          <w:shd w:val="clear" w:color="auto" w:fill="FFFFFF"/>
          <w:lang w:eastAsia="zh-CN"/>
        </w:rPr>
        <w:t>指单位上年结转本年使用的基本支出结转、项目支出结转和结余和经营结余。</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十二、结余分配：</w:t>
      </w:r>
      <w:r>
        <w:rPr>
          <w:rFonts w:hint="eastAsia" w:ascii="仿宋" w:hAnsi="仿宋" w:eastAsia="仿宋" w:cs="仿宋"/>
          <w:color w:val="0C0C0C"/>
          <w:sz w:val="32"/>
          <w:szCs w:val="32"/>
          <w:shd w:val="clear" w:color="auto" w:fill="FFFFFF"/>
          <w:lang w:eastAsia="zh-CN"/>
        </w:rPr>
        <w:t>指事业单位按规定对非财政拨款结余资金提取的专用基金、缴纳的所得税和转入非财政拨款结余等。</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十三、年末结转和结余资金：</w:t>
      </w:r>
      <w:r>
        <w:rPr>
          <w:rFonts w:hint="eastAsia" w:ascii="仿宋" w:hAnsi="仿宋" w:eastAsia="仿宋" w:cs="仿宋"/>
          <w:color w:val="0C0C0C"/>
          <w:sz w:val="32"/>
          <w:szCs w:val="32"/>
          <w:shd w:val="clear" w:color="auto" w:fill="FFFFFF"/>
          <w:lang w:eastAsia="zh-CN"/>
        </w:rPr>
        <w:t>指本年度或以前年度预算安排、因客观条件发生变化无法按原计划实施，需要延迟到以后年度按有关规定继续使用的资金。</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十四、基本支出：</w:t>
      </w:r>
      <w:r>
        <w:rPr>
          <w:rFonts w:hint="eastAsia" w:ascii="仿宋" w:hAnsi="仿宋" w:eastAsia="仿宋" w:cs="仿宋"/>
          <w:color w:val="0C0C0C"/>
          <w:sz w:val="32"/>
          <w:szCs w:val="32"/>
          <w:shd w:val="clear" w:color="auto" w:fill="FFFFFF"/>
          <w:lang w:eastAsia="zh-CN"/>
        </w:rPr>
        <w:t>指为保障机构正常运转、完成日常工作任务而发生的支出，包括人员经费和公用经费。</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十五、项目支出：</w:t>
      </w:r>
      <w:r>
        <w:rPr>
          <w:rFonts w:hint="eastAsia" w:ascii="仿宋" w:hAnsi="仿宋" w:eastAsia="仿宋" w:cs="仿宋"/>
          <w:color w:val="0C0C0C"/>
          <w:sz w:val="32"/>
          <w:szCs w:val="32"/>
          <w:shd w:val="clear" w:color="auto" w:fill="FFFFFF"/>
          <w:lang w:eastAsia="zh-CN"/>
        </w:rPr>
        <w:t>指在为完成特定的工作任务和事业发展目标所发生的支出。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十六、上缴上级支出：</w:t>
      </w:r>
      <w:r>
        <w:rPr>
          <w:rFonts w:hint="eastAsia" w:ascii="仿宋" w:hAnsi="仿宋" w:eastAsia="仿宋" w:cs="仿宋"/>
          <w:color w:val="0C0C0C"/>
          <w:sz w:val="32"/>
          <w:szCs w:val="32"/>
          <w:shd w:val="clear" w:color="auto" w:fill="FFFFFF"/>
          <w:lang w:eastAsia="zh-CN"/>
        </w:rPr>
        <w:t>指事业单位按照财政部门和主管部门的规定上缴上级单位的支出。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十七、经营支出：</w:t>
      </w:r>
      <w:r>
        <w:rPr>
          <w:rFonts w:hint="eastAsia" w:ascii="仿宋" w:hAnsi="仿宋" w:eastAsia="仿宋" w:cs="仿宋"/>
          <w:color w:val="0C0C0C"/>
          <w:sz w:val="32"/>
          <w:szCs w:val="32"/>
          <w:shd w:val="clear" w:color="auto" w:fill="FFFFFF"/>
          <w:lang w:eastAsia="zh-CN"/>
        </w:rPr>
        <w:t>指事业单位在专业业务活动及其辅助活动之外开展非独立核算经营活动发生的支出。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val="en-US" w:eastAsia="zh-CN"/>
        </w:rPr>
        <w:t>十八、</w:t>
      </w:r>
      <w:r>
        <w:rPr>
          <w:rFonts w:hint="eastAsia" w:ascii="仿宋" w:hAnsi="仿宋" w:eastAsia="仿宋" w:cs="仿宋"/>
          <w:b/>
          <w:bCs/>
          <w:color w:val="0C0C0C"/>
          <w:sz w:val="32"/>
          <w:szCs w:val="32"/>
          <w:shd w:val="clear" w:color="auto" w:fill="FFFFFF"/>
          <w:lang w:eastAsia="zh-CN"/>
        </w:rPr>
        <w:t>一般公共服务支出（类）群众团体事务（款）行政运行（项）：</w:t>
      </w:r>
      <w:r>
        <w:rPr>
          <w:rFonts w:hint="eastAsia" w:ascii="仿宋" w:hAnsi="仿宋" w:eastAsia="仿宋" w:cs="仿宋"/>
          <w:color w:val="0C0C0C"/>
          <w:sz w:val="32"/>
          <w:szCs w:val="32"/>
          <w:shd w:val="clear" w:color="auto" w:fill="FFFFFF"/>
          <w:lang w:eastAsia="zh-CN"/>
        </w:rPr>
        <w:t>反映行政单位（包括实行公务员管理的事业单位）的基本 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eastAsia="zh-CN"/>
        </w:rPr>
      </w:pPr>
      <w:r>
        <w:rPr>
          <w:rFonts w:hint="eastAsia" w:ascii="仿宋" w:hAnsi="仿宋" w:eastAsia="仿宋" w:cs="仿宋"/>
          <w:b/>
          <w:bCs/>
          <w:color w:val="0C0C0C"/>
          <w:sz w:val="32"/>
          <w:szCs w:val="32"/>
          <w:shd w:val="clear" w:color="auto" w:fill="FFFFFF"/>
          <w:lang w:eastAsia="zh-CN"/>
        </w:rPr>
        <w:t>十九、社会保障和就业支出（类）行政事业单位养老支出（款）机关事业单位基本养老保险缴费支出（项）：</w:t>
      </w:r>
      <w:r>
        <w:rPr>
          <w:rFonts w:hint="eastAsia" w:ascii="仿宋" w:hAnsi="仿宋" w:eastAsia="仿宋" w:cs="仿宋"/>
          <w:color w:val="0C0C0C"/>
          <w:sz w:val="32"/>
          <w:szCs w:val="32"/>
          <w:shd w:val="clear" w:color="auto" w:fill="FFFFFF"/>
          <w:lang w:eastAsia="zh-CN"/>
        </w:rPr>
        <w:t>反映机关事业单位实施养老保险制度由单位缴纳的基本养老保险费支出。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lang w:val="en-US" w:eastAsia="zh-CN"/>
        </w:rPr>
      </w:pPr>
      <w:r>
        <w:rPr>
          <w:rFonts w:hint="eastAsia" w:ascii="仿宋" w:hAnsi="仿宋" w:eastAsia="仿宋" w:cs="仿宋"/>
          <w:b/>
          <w:bCs/>
          <w:color w:val="0C0C0C"/>
          <w:sz w:val="32"/>
          <w:szCs w:val="32"/>
          <w:shd w:val="clear" w:color="auto" w:fill="FFFFFF"/>
          <w:lang w:eastAsia="zh-CN"/>
        </w:rPr>
        <w:t>二十、卫生健康支出（类）行政事业单位医疗（款）行政单位医疗（项）：</w:t>
      </w:r>
      <w:r>
        <w:rPr>
          <w:rFonts w:hint="eastAsia" w:ascii="仿宋" w:hAnsi="仿宋" w:eastAsia="仿宋" w:cs="仿宋"/>
          <w:color w:val="0C0C0C"/>
          <w:sz w:val="32"/>
          <w:szCs w:val="32"/>
          <w:shd w:val="clear" w:color="auto" w:fill="FFFFFF"/>
          <w:lang w:eastAsia="zh-CN"/>
        </w:rPr>
        <w:t>反映财政部门安排的行政单位（包括实行公务员管理的事业 单位，下同）基本医疗保险缴费经费，未参加医疗保险的行政 单位的公费医疗经费，按国家规定享受离休人员、红军老战士 待遇人员的医疗经费。二十一、商业服务业等支出（类）商业流通事务（款）其他商业流通事务支出（项）：反映除上述项目以外其他用于商业流通事务方面的支出。</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rPr>
      </w:pPr>
      <w:r>
        <w:rPr>
          <w:rFonts w:hint="eastAsia" w:ascii="仿宋" w:hAnsi="仿宋" w:eastAsia="仿宋" w:cs="仿宋"/>
          <w:color w:val="0C0C0C"/>
          <w:sz w:val="32"/>
          <w:szCs w:val="32"/>
          <w:shd w:val="clear" w:color="auto" w:fill="FFFFFF"/>
        </w:rPr>
        <w:t>（名词解释应包含本部门专有名词，如省财政厅应有对“财政事务”科目的解释）</w:t>
      </w: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rPr>
      </w:pP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rPr>
      </w:pP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rPr>
      </w:pP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rPr>
      </w:pPr>
    </w:p>
    <w:p>
      <w:pPr>
        <w:keepNext w:val="0"/>
        <w:keepLines w:val="0"/>
        <w:pageBreakBefore w:val="0"/>
        <w:widowControl/>
        <w:kinsoku/>
        <w:wordWrap/>
        <w:overflowPunct/>
        <w:bidi w:val="0"/>
        <w:spacing w:line="580" w:lineRule="exact"/>
        <w:ind w:right="0" w:firstLine="640" w:firstLineChars="200"/>
        <w:jc w:val="left"/>
        <w:textAlignment w:val="auto"/>
        <w:rPr>
          <w:rFonts w:hint="eastAsia" w:ascii="仿宋" w:hAnsi="仿宋" w:eastAsia="仿宋" w:cs="仿宋"/>
          <w:color w:val="0C0C0C"/>
          <w:sz w:val="32"/>
          <w:szCs w:val="32"/>
          <w:shd w:val="clear" w:color="auto" w:fill="FFFFFF"/>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kinsoku/>
        <w:wordWrap/>
        <w:overflowPunct/>
        <w:bidi w:val="0"/>
        <w:spacing w:line="580" w:lineRule="exact"/>
        <w:ind w:left="0" w:right="0" w:firstLine="640" w:firstLineChars="200"/>
        <w:textAlignment w:val="auto"/>
        <w:rPr>
          <w:rFonts w:hint="eastAsia" w:ascii="仿宋" w:hAnsi="仿宋" w:eastAsia="仿宋" w:cs="仿宋"/>
          <w:color w:val="000000"/>
          <w:sz w:val="32"/>
          <w:szCs w:val="32"/>
        </w:rPr>
      </w:pPr>
    </w:p>
    <w:p>
      <w:pPr>
        <w:ind w:firstLine="640" w:firstLineChars="200"/>
        <w:jc w:val="left"/>
        <w:rPr>
          <w:rFonts w:hint="eastAsia" w:ascii="宋体" w:hAnsi="宋体" w:eastAsia="宋体" w:cs="宋体"/>
          <w:color w:val="000000"/>
          <w:kern w:val="0"/>
          <w:sz w:val="32"/>
          <w:szCs w:val="32"/>
        </w:rPr>
      </w:pPr>
      <w:r>
        <w:rPr>
          <w:rFonts w:hint="eastAsia" w:ascii="仿宋" w:hAnsi="仿宋" w:eastAsia="仿宋" w:cs="仿宋"/>
          <w:sz w:val="32"/>
          <w:szCs w:val="32"/>
        </w:rPr>
        <w:t xml:space="preserve">                                  </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47EBB"/>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5830B37"/>
    <w:rsid w:val="181C0856"/>
    <w:rsid w:val="18E566C3"/>
    <w:rsid w:val="1BF92D97"/>
    <w:rsid w:val="1C063A19"/>
    <w:rsid w:val="2217240B"/>
    <w:rsid w:val="240D10DB"/>
    <w:rsid w:val="2455194A"/>
    <w:rsid w:val="26AA7898"/>
    <w:rsid w:val="2D522535"/>
    <w:rsid w:val="321626E0"/>
    <w:rsid w:val="336A14A1"/>
    <w:rsid w:val="38EB3F05"/>
    <w:rsid w:val="3D7668CC"/>
    <w:rsid w:val="46F52195"/>
    <w:rsid w:val="49A7657E"/>
    <w:rsid w:val="4A8003D8"/>
    <w:rsid w:val="4BB52095"/>
    <w:rsid w:val="4D7A26B0"/>
    <w:rsid w:val="4F9626E4"/>
    <w:rsid w:val="50640363"/>
    <w:rsid w:val="57AA72A2"/>
    <w:rsid w:val="5A34505B"/>
    <w:rsid w:val="5B0543E1"/>
    <w:rsid w:val="5D21573C"/>
    <w:rsid w:val="624D4A02"/>
    <w:rsid w:val="64A31301"/>
    <w:rsid w:val="69AC1575"/>
    <w:rsid w:val="6C6F319D"/>
    <w:rsid w:val="6C9D1E70"/>
    <w:rsid w:val="6CA81F00"/>
    <w:rsid w:val="6FB15C1F"/>
    <w:rsid w:val="71101428"/>
    <w:rsid w:val="7AAB0966"/>
    <w:rsid w:val="7C865AA7"/>
    <w:rsid w:val="7EFE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99"/>
    <w:pPr>
      <w:spacing w:line="360" w:lineRule="auto"/>
      <w:jc w:val="left"/>
    </w:pPr>
    <w:rPr>
      <w:sz w:val="28"/>
      <w:szCs w:val="28"/>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8257</Words>
  <Characters>9672</Characters>
  <Lines>69</Lines>
  <Paragraphs>19</Paragraphs>
  <TotalTime>0</TotalTime>
  <ScaleCrop>false</ScaleCrop>
  <LinksUpToDate>false</LinksUpToDate>
  <CharactersWithSpaces>10699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2023-09-28T04:53:03Z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CDBCED7FE1D1458AAC74704E08304594_13</vt:lpwstr>
  </property>
</Properties>
</file>