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道县月岩—周敦颐故里风景名胜区管理处部门决算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第一部分XX单位概况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道县月岩—周敦颐故里风景名胜区管理处单位概况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 xml:space="preserve"> </w:t>
      </w: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根据《湖南省风景名胜区管理条例》规定，月岩-周敦颐故里风景名胜区管理处主要是保护月岩、周敦颐故里、玉蟾岩国保单位的古迹，开发名胜古迹，供游人参观</w:t>
      </w:r>
      <w:r>
        <w:rPr>
          <w:rFonts w:hint="eastAsia" w:asciiTheme="minorEastAsia" w:hAnsiTheme="minorEastAsia"/>
          <w:bCs/>
          <w:kern w:val="0"/>
          <w:sz w:val="32"/>
          <w:szCs w:val="32"/>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本</w:t>
      </w:r>
      <w:r>
        <w:rPr>
          <w:rFonts w:hint="eastAsia" w:asciiTheme="minorEastAsia" w:hAnsiTheme="minorEastAsia"/>
          <w:bCs/>
          <w:kern w:val="0"/>
          <w:sz w:val="32"/>
          <w:szCs w:val="32"/>
        </w:rPr>
        <w:t>单位内设机构包括：</w:t>
      </w:r>
      <w:r>
        <w:rPr>
          <w:rFonts w:hint="eastAsia" w:asciiTheme="minorEastAsia" w:hAnsiTheme="minorEastAsia"/>
          <w:bCs/>
          <w:kern w:val="0"/>
          <w:sz w:val="32"/>
          <w:szCs w:val="32"/>
          <w:lang w:val="en-US" w:eastAsia="zh-CN"/>
        </w:rPr>
        <w:t>4</w:t>
      </w:r>
      <w:r>
        <w:rPr>
          <w:rFonts w:hint="eastAsia" w:asciiTheme="minorEastAsia" w:hAnsiTheme="minorEastAsia"/>
          <w:bCs/>
          <w:kern w:val="0"/>
          <w:sz w:val="32"/>
          <w:szCs w:val="32"/>
        </w:rPr>
        <w:t>个科室</w:t>
      </w:r>
      <w:r>
        <w:rPr>
          <w:rFonts w:hint="eastAsia" w:asciiTheme="minorEastAsia" w:hAnsiTheme="minorEastAsia"/>
          <w:bCs/>
          <w:kern w:val="0"/>
          <w:sz w:val="32"/>
          <w:szCs w:val="32"/>
          <w:lang w:val="en-US" w:eastAsia="zh-CN"/>
        </w:rPr>
        <w:t>:综合办公室、旅游发展科、工程建设科、文物保护科。</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本</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本</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月岩-周敦颐故里风景名胜区管理处</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208.22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5.50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288.82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288.82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976"/>
        <w:gridCol w:w="217"/>
        <w:gridCol w:w="1608"/>
        <w:gridCol w:w="1432"/>
        <w:gridCol w:w="1432"/>
        <w:gridCol w:w="1432"/>
        <w:gridCol w:w="1432"/>
        <w:gridCol w:w="1432"/>
        <w:gridCol w:w="1432"/>
        <w:gridCol w:w="2035"/>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月岩-周敦颐故里风景名胜区管理处</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288.82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288.82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文化和旅游</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文物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2070299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部门：月岩-周敦颐故里风景名胜区管理处</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288.82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224.72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文化和旅游</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文物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部门：月岩-周敦颐故里风景名胜区管理处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208.22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208.22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288.82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月岩-周敦颐故里风景名胜区管理处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288.82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224.72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64.10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64.10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文化和旅游</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文化活动</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2070199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20702</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文物</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2070205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博物馆</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2070299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其他文物支出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10.10</w:t>
            </w:r>
          </w:p>
        </w:tc>
        <w:tc>
          <w:tcPr>
            <w:tcW w:w="32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92"/>
        <w:gridCol w:w="3192"/>
        <w:gridCol w:w="858"/>
        <w:gridCol w:w="1183"/>
        <w:gridCol w:w="2208"/>
        <w:gridCol w:w="858"/>
        <w:gridCol w:w="1184"/>
        <w:gridCol w:w="3979"/>
        <w:gridCol w:w="860"/>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月岩-周敦颐故里风景名胜区管理处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114.07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110.65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23.51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4.96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47.19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114.07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110.65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月岩-周敦颐故里风景名胜区管理处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rPr>
        <w:t>月岩-周敦颐故里风景名胜区管理处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宋体" w:hAnsi="宋体" w:eastAsia="宋体" w:cs="宋体"/>
          <w:color w:val="000000"/>
          <w:kern w:val="0"/>
          <w:sz w:val="20"/>
          <w:szCs w:val="20"/>
        </w:rPr>
        <w:t>月岩-周敦颐故里风景名胜区管理处</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部门：月岩-周敦颐故里风景名胜区管理处</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w:t>
            </w:r>
            <w:r>
              <w:rPr>
                <w:rFonts w:hint="eastAsia" w:ascii="仿宋_GB2312" w:hAnsi="仿宋_GB2312" w:eastAsia="仿宋_GB2312" w:cs="仿宋_GB2312"/>
                <w:kern w:val="0"/>
                <w:sz w:val="24"/>
                <w:szCs w:val="24"/>
              </w:rPr>
              <w:t>本表反映部门本年度国有资本经营预算财政拨款支出情况。</w:t>
            </w:r>
            <w:r>
              <w:rPr>
                <w:rFonts w:hint="eastAsia" w:ascii="仿宋_GB2312" w:hAnsi="仿宋_GB2312" w:eastAsia="仿宋_GB2312" w:cs="仿宋_GB2312"/>
                <w:color w:val="000000"/>
                <w:kern w:val="0"/>
                <w:sz w:val="20"/>
                <w:szCs w:val="20"/>
              </w:rPr>
              <w:t>月岩-周敦颐故里风景名胜区管理处</w:t>
            </w:r>
            <w:r>
              <w:rPr>
                <w:rFonts w:hint="eastAsia" w:ascii="仿宋_GB2312" w:hAnsi="仿宋_GB2312" w:eastAsia="仿宋_GB2312" w:cs="仿宋_GB2312"/>
                <w:kern w:val="0"/>
                <w:szCs w:val="21"/>
              </w:rPr>
              <w:t>没有</w:t>
            </w:r>
            <w:r>
              <w:rPr>
                <w:rFonts w:hint="eastAsia" w:ascii="仿宋_GB2312" w:hAnsi="仿宋_GB2312" w:eastAsia="仿宋_GB2312" w:cs="仿宋_GB2312"/>
                <w:kern w:val="0"/>
                <w:sz w:val="24"/>
                <w:szCs w:val="24"/>
              </w:rPr>
              <w:t>国有资本经营</w:t>
            </w:r>
            <w:r>
              <w:rPr>
                <w:rFonts w:hint="eastAsia" w:ascii="仿宋_GB2312" w:hAnsi="仿宋_GB2312" w:eastAsia="仿宋_GB2312" w:cs="仿宋_GB2312"/>
                <w:kern w:val="0"/>
                <w:szCs w:val="21"/>
              </w:rPr>
              <w:t>收入，也没有使用</w:t>
            </w:r>
            <w:r>
              <w:rPr>
                <w:rFonts w:hint="eastAsia" w:ascii="仿宋_GB2312" w:hAnsi="仿宋_GB2312" w:eastAsia="仿宋_GB2312" w:cs="仿宋_GB2312"/>
                <w:kern w:val="0"/>
                <w:sz w:val="24"/>
                <w:szCs w:val="24"/>
              </w:rPr>
              <w:t>国有资本经营</w:t>
            </w:r>
            <w:r>
              <w:rPr>
                <w:rFonts w:hint="eastAsia" w:ascii="仿宋_GB2312" w:hAnsi="仿宋_GB2312" w:eastAsia="仿宋_GB2312" w:cs="仿宋_GB2312"/>
                <w:kern w:val="0"/>
                <w:sz w:val="24"/>
                <w:szCs w:val="24"/>
                <w:lang w:eastAsia="zh-CN"/>
              </w:rPr>
              <w:t>资金</w:t>
            </w:r>
            <w:r>
              <w:rPr>
                <w:rFonts w:hint="eastAsia" w:ascii="仿宋_GB2312" w:hAnsi="仿宋_GB2312" w:eastAsia="仿宋_GB2312" w:cs="仿宋_GB2312"/>
                <w:kern w:val="0"/>
                <w:szCs w:val="21"/>
              </w:rPr>
              <w:t>安排的支出，故本表无数据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267.45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48.08</w:t>
      </w:r>
      <w:r>
        <w:rPr>
          <w:rFonts w:hint="eastAsia" w:asciiTheme="minorEastAsia" w:hAnsiTheme="minorEastAsia" w:eastAsiaTheme="minorEastAsia"/>
          <w:sz w:val="32"/>
          <w:szCs w:val="32"/>
        </w:rPr>
        <w:t>%，主要是因为根据上级要求节约开支所以支出减少</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288.85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224.72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77.81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64.1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22.19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267.45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48.08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减少了项目支出。</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267.45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48.08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减少了项目支出。</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万元，主要用于以下方面：一般公共服务支出</w:t>
      </w:r>
      <w:r>
        <w:rPr>
          <w:rFonts w:hint="eastAsia" w:asciiTheme="minorEastAsia" w:hAnsiTheme="minorEastAsia" w:eastAsiaTheme="minorEastAsia"/>
          <w:sz w:val="32"/>
          <w:szCs w:val="32"/>
          <w:lang w:val="en-US" w:eastAsia="zh-CN"/>
        </w:rPr>
        <w:t>208.22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72.09</w:t>
      </w:r>
      <w:r>
        <w:rPr>
          <w:rFonts w:hint="eastAsia" w:asciiTheme="minorEastAsia" w:hAnsiTheme="minorEastAsia" w:eastAsiaTheme="minorEastAsia"/>
          <w:sz w:val="32"/>
          <w:szCs w:val="32"/>
        </w:rPr>
        <w:t>%；文化旅游体育与传媒支出文化旅游体育与传媒支出支出</w:t>
      </w:r>
      <w:r>
        <w:rPr>
          <w:rFonts w:hint="eastAsia" w:asciiTheme="minorEastAsia" w:hAnsiTheme="minorEastAsia" w:eastAsiaTheme="minorEastAsia"/>
          <w:sz w:val="32"/>
          <w:szCs w:val="32"/>
          <w:lang w:val="en-US" w:eastAsia="zh-CN"/>
        </w:rPr>
        <w:t>64.1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22.19</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3.81</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191.2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288.82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1、一般公共服务支出(类)政府办公厅（室）及相关机构事务（款）行政运行（项）     </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208.22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188.26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。决算数大于年初预算数的主要原因是调整预算导致支出增加。</w:t>
      </w:r>
      <w:r>
        <w:rPr>
          <w:rFonts w:hint="eastAsia" w:asciiTheme="minorEastAsia" w:hAnsiTheme="minorEastAsia" w:eastAsiaTheme="minorEastAsia"/>
          <w:sz w:val="32"/>
          <w:szCs w:val="32"/>
          <w:lang w:val="en-US" w:eastAsia="zh-CN"/>
        </w:rPr>
        <w:t xml:space="preserve">          2、文化旅游体育与传媒支出(类)文化和旅游（款）文化活动（项）     </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0"/>
        </w:numPr>
        <w:ind w:leftChars="-94"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3、文化旅游体育与传媒支出(类)文化和旅游（款）其他文化和旅游支出（项）      </w:t>
      </w:r>
    </w:p>
    <w:p>
      <w:pPr>
        <w:pStyle w:val="10"/>
        <w:numPr>
          <w:ilvl w:val="0"/>
          <w:numId w:val="0"/>
        </w:numPr>
        <w:ind w:leftChars="-94"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2"/>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文化旅游体育与传媒支出(类)文物（款）博物馆（项）   </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0"/>
        </w:numPr>
        <w:ind w:leftChars="-94" w:firstLine="960" w:firstLineChars="3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5、文化旅游体育与传媒支出(类)文物（款）其他文物支出（项）      </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6、社会保障和就业支出（类）行政事业单位养老支出（款）  机关事业单位基本养老保险缴费支出（项）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15.73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69.93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。决算数小于年初预算数的主要原因是工资基数调整导致支出减少。</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卫生健康支出（类）行政事业单位医疗（款）行政单位医疗（项）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69.97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。决算数大于年初预算数的主要原因是工资基数调整导致支出减少。</w:t>
      </w:r>
    </w:p>
    <w:p>
      <w:pPr>
        <w:pStyle w:val="10"/>
        <w:ind w:firstLine="800" w:firstLineChars="250"/>
        <w:rPr>
          <w:rFonts w:hint="eastAsia" w:asciiTheme="minorEastAsia" w:hAnsiTheme="minorEastAsia" w:eastAsiaTheme="minorEastAsia"/>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224.72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114.07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50.76</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110.65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49.24</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与预算持平。</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公务用车</w:t>
      </w:r>
      <w:r>
        <w:rPr>
          <w:rFonts w:hint="eastAsia" w:asciiTheme="minorEastAsia" w:hAnsiTheme="minorEastAsia" w:eastAsiaTheme="minorEastAsia"/>
          <w:sz w:val="32"/>
          <w:szCs w:val="32"/>
        </w:rPr>
        <w:t>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val="en-US" w:eastAsia="zh-CN"/>
        </w:rPr>
        <w:t>，本年无公务用车维护费。</w:t>
      </w:r>
    </w:p>
    <w:p>
      <w:pPr>
        <w:pStyle w:val="10"/>
        <w:ind w:firstLine="640" w:firstLineChars="200"/>
        <w:rPr>
          <w:rFonts w:asciiTheme="minorEastAsia" w:hAnsiTheme="minorEastAsia" w:eastAsiaTheme="minorEastAsia"/>
          <w:b/>
          <w:sz w:val="32"/>
          <w:szCs w:val="32"/>
        </w:rPr>
      </w:pPr>
      <w:bookmarkStart w:id="5" w:name="_GoBack"/>
      <w:bookmarkEnd w:id="5"/>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。受疫情影响，2021年度我单位未开展因公出国（出境）活动。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325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发展旅游经验交流</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eastAsiaTheme="minorEastAsia"/>
          <w:color w:val="000000"/>
          <w:kern w:val="0"/>
          <w:sz w:val="32"/>
          <w:szCs w:val="32"/>
          <w:lang w:val="en-US"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0</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sz w:val="32"/>
          <w:szCs w:val="32"/>
          <w:lang w:val="en-US" w:eastAsia="zh-CN"/>
        </w:rPr>
        <w:t>0</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2021年度政府性基金预算财政拨款收入0万元；年初结转和结余0万元；支出0万元，其中基本支出0万元，项目支出0万元；年末结转和结余0万元。具体情况如下：本单位无政府性基金收支。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110.65</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21.15</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3.09</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文化旅游等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169</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提高旅游服务水平等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3.76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讲解员等</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业务培训。</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numPr>
          <w:ilvl w:val="0"/>
          <w:numId w:val="0"/>
        </w:numPr>
        <w:autoSpaceDE w:val="0"/>
        <w:autoSpaceDN w:val="0"/>
        <w:adjustRightInd w:val="0"/>
        <w:ind w:firstLine="960" w:firstLineChars="3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本部门预算绩效管理开展情况、绩效目标和绩效评价报告等见附件。</w:t>
      </w: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bidi w:val="0"/>
        <w:jc w:val="left"/>
        <w:rPr>
          <w:rFonts w:hint="default" w:ascii="sans-serif" w:hAnsi="sans-serif" w:eastAsia="sans-serif" w:cs="sans-serif"/>
          <w:sz w:val="32"/>
          <w:szCs w:val="32"/>
        </w:rPr>
      </w:pPr>
      <w:r>
        <w:rPr>
          <w:rFonts w:hint="eastAsia" w:ascii="sans-serif" w:hAnsi="sans-serif" w:eastAsia="sans-serif" w:cs="sans-serif"/>
          <w:kern w:val="0"/>
          <w:sz w:val="32"/>
          <w:szCs w:val="32"/>
          <w:lang w:val="en-US" w:eastAsia="zh-CN" w:bidi="ar"/>
        </w:rPr>
        <w:t>1</w:t>
      </w:r>
      <w:r>
        <w:rPr>
          <w:rFonts w:hint="eastAsia" w:ascii="sans-serif" w:hAnsi="sans-serif" w:eastAsia="宋体" w:cs="sans-serif"/>
          <w:kern w:val="0"/>
          <w:sz w:val="32"/>
          <w:szCs w:val="32"/>
          <w:lang w:val="en-US" w:eastAsia="zh-CN" w:bidi="ar"/>
        </w:rPr>
        <w:t>、</w:t>
      </w:r>
      <w:r>
        <w:rPr>
          <w:rFonts w:hint="default" w:ascii="sans-serif" w:hAnsi="sans-serif" w:eastAsia="sans-serif" w:cs="sans-serif"/>
          <w:kern w:val="0"/>
          <w:sz w:val="32"/>
          <w:szCs w:val="32"/>
          <w:lang w:val="en-US" w:eastAsia="zh-CN" w:bidi="ar"/>
        </w:rPr>
        <w:t>财政拨款收入：指单位本年度从同级财政部门取得的各类财政</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拨款。</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2．上级补助收入：指事业单位从主管部门和上级单位取得的非财</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政补助收入。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3．机关运行经费：指行政单位（含参照公务员法管理的事业单位）</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使用一般公共预算安排的基本支出中的公用经费支出，包括办公及印刷</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费、邮电费、差旅费、会议费、福利费、日常维修费、专用材料及一般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设备购置费、办公用房水电费、办公用房取暖费、办公用房物业管理费、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公务用车运行维护费及其他费用。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4．“三公”经费：指单位用一般公共预算财政拨款安排的因公出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国（境）费、公务用车购置及运行维护费和公务接待费。其中，因公出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国（境）费反映单位公务出国（境）的国际旅费、国外城市间交通费、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住宿费、伙食费、培训费、公杂费等支出；公务用车购置及运行维护费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反映单位公务用车购置支出（含车辆购置税、牌照费）以及按规定保留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的公务用车燃料费、维修费、过路过桥费、保险费、安全奖励费用等支</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出；公务接待费反映单位按规定开支的各类公务接待（含外宾接待）费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5．对附属单位补助支出：指事业单位用财政拨款收入之外的收入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对附属单位补助发生的支出。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6．经营支出：指事业单位在专业业务活动及其辅助活动之外开展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非独立核算经营活动发生的支出。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7</w:t>
      </w:r>
      <w:r>
        <w:rPr>
          <w:rFonts w:hint="eastAsia" w:ascii="sans-serif" w:hAnsi="sans-serif" w:eastAsia="sans-serif" w:cs="sans-serif"/>
          <w:kern w:val="0"/>
          <w:sz w:val="32"/>
          <w:szCs w:val="32"/>
          <w:lang w:val="en-US" w:eastAsia="zh-CN" w:bidi="ar"/>
        </w:rPr>
        <w:t>.</w:t>
      </w:r>
      <w:r>
        <w:rPr>
          <w:rFonts w:hint="default" w:ascii="sans-serif" w:hAnsi="sans-serif" w:eastAsia="sans-serif" w:cs="sans-serif"/>
          <w:kern w:val="0"/>
          <w:sz w:val="32"/>
          <w:szCs w:val="32"/>
          <w:lang w:val="en-US" w:eastAsia="zh-CN" w:bidi="ar"/>
        </w:rPr>
        <w:t>事业收入：指事业单位开展专业业务活动及其辅助活动取得的</w:t>
      </w:r>
    </w:p>
    <w:p>
      <w:pPr>
        <w:keepNext w:val="0"/>
        <w:keepLines w:val="0"/>
        <w:widowControl/>
        <w:suppressLineNumbers w:val="0"/>
        <w:bidi w:val="0"/>
        <w:jc w:val="left"/>
        <w:rPr>
          <w:rFonts w:ascii="monospace" w:hAnsi="monospace" w:eastAsia="monospace" w:cs="monospace"/>
          <w:sz w:val="18"/>
          <w:szCs w:val="18"/>
        </w:rPr>
      </w:pPr>
      <w:bookmarkStart w:id="3" w:name="28"/>
      <w:bookmarkEnd w:id="3"/>
      <w:r>
        <w:rPr>
          <w:rFonts w:hint="default" w:ascii="monospace" w:hAnsi="monospace" w:eastAsia="monospace" w:cs="monospace"/>
          <w:kern w:val="0"/>
          <w:sz w:val="18"/>
          <w:szCs w:val="18"/>
          <w:lang w:val="en-US" w:eastAsia="zh-CN" w:bidi="ar"/>
        </w:rPr>
        <w:t>- 16 -</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收入，事业单位收到的财政专户实际核拨的教育收费等资金在此反映。</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8．经营收入：指事业单位在专业业务活动及其辅助活动之外开展</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非独立核算经营活动取得的收入。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9．附属单位上缴收入：指事业单位附属独立核算单位按照有关规</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定上缴的收入。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10．其他收入：指单位取得的除上述“财政拨款收入”、“事业收</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入”、“经营收入”等以外的各项收入。</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11．使用非财政拨款结余：指事业单位使用非财政拨款结余（原事</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业基金）弥补当年收支差额的数额。</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12．年初结转和结余：指单位上年结转本年使用的基本支出结转、</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项目支出结转和结余和经营结余。</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13．结余分配：指事业单位按规定对非财政拨款结余资金提取的专</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用基金、缴纳的所得税和转入非财政拨款结余等。</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14．年末结转和结余资金：指本年度或以前年度预算安排、因客观</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条件发生变化无法按原计划实施，需要延迟到以后年度按有关规定继续</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使用的资金。</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15．基本支出：指为保障机构正常运转、完成日常工作任务而发生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的支出，包括人员经费和公用经费。</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16．项目支出：指在为完成特定的工作任务和事业发展目标所发生</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的支出。</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17．上缴上级支出：指事业单位按照财政部门和主管部门的规定上</w:t>
      </w:r>
    </w:p>
    <w:p>
      <w:pPr>
        <w:keepNext w:val="0"/>
        <w:keepLines w:val="0"/>
        <w:widowControl/>
        <w:suppressLineNumbers w:val="0"/>
        <w:bidi w:val="0"/>
        <w:jc w:val="left"/>
        <w:rPr>
          <w:rFonts w:hint="default" w:ascii="sans-serif" w:hAnsi="sans-serif" w:eastAsia="sans-serif" w:cs="sans-serif"/>
          <w:sz w:val="32"/>
          <w:szCs w:val="32"/>
        </w:rPr>
      </w:pPr>
      <w:r>
        <w:rPr>
          <w:rFonts w:hint="default" w:ascii="sans-serif" w:hAnsi="sans-serif" w:eastAsia="sans-serif" w:cs="sans-serif"/>
          <w:kern w:val="0"/>
          <w:sz w:val="32"/>
          <w:szCs w:val="32"/>
          <w:lang w:val="en-US" w:eastAsia="zh-CN" w:bidi="ar"/>
        </w:rPr>
        <w:t>缴上级单位的支出。</w:t>
      </w:r>
    </w:p>
    <w:p>
      <w:pPr>
        <w:widowControl/>
        <w:jc w:val="left"/>
        <w:rPr>
          <w:rFonts w:ascii="黑体" w:eastAsia="黑体" w:cs="黑体"/>
          <w:color w:val="000000"/>
          <w:kern w:val="0"/>
          <w:sz w:val="70"/>
          <w:szCs w:val="70"/>
        </w:rPr>
      </w:pPr>
      <w:bookmarkStart w:id="4" w:name="29"/>
      <w:bookmarkEnd w:id="4"/>
    </w:p>
    <w:p>
      <w:pPr>
        <w:pStyle w:val="10"/>
        <w:jc w:val="both"/>
        <w:rPr>
          <w:sz w:val="72"/>
          <w:szCs w:val="72"/>
        </w:rPr>
      </w:pPr>
    </w:p>
    <w:p>
      <w:pPr>
        <w:ind w:firstLine="640" w:firstLineChars="200"/>
        <w:jc w:val="left"/>
        <w:rPr>
          <w:rFonts w:cs="黑体" w:asciiTheme="minorEastAsia" w:hAnsiTheme="minorEastAsia"/>
          <w:color w:val="000000"/>
          <w:kern w:val="0"/>
          <w:sz w:val="32"/>
          <w:szCs w:val="32"/>
        </w:rPr>
      </w:pPr>
    </w:p>
    <w:p>
      <w:pPr>
        <w:pStyle w:val="10"/>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8037AD"/>
    <w:multiLevelType w:val="singleLevel"/>
    <w:tmpl w:val="A28037AD"/>
    <w:lvl w:ilvl="0" w:tentative="0">
      <w:start w:val="4"/>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C67445B"/>
    <w:rsid w:val="0FC029CA"/>
    <w:rsid w:val="100A4A52"/>
    <w:rsid w:val="10E670E5"/>
    <w:rsid w:val="136917E4"/>
    <w:rsid w:val="18FF0845"/>
    <w:rsid w:val="1A7F103A"/>
    <w:rsid w:val="20C61E6E"/>
    <w:rsid w:val="23411A14"/>
    <w:rsid w:val="278422F1"/>
    <w:rsid w:val="31DF58A2"/>
    <w:rsid w:val="35324516"/>
    <w:rsid w:val="372C52CB"/>
    <w:rsid w:val="49A308A5"/>
    <w:rsid w:val="4F120F9C"/>
    <w:rsid w:val="573B60FF"/>
    <w:rsid w:val="59987F3E"/>
    <w:rsid w:val="5FC77B22"/>
    <w:rsid w:val="60F65DC2"/>
    <w:rsid w:val="6FA570E3"/>
    <w:rsid w:val="70245EA2"/>
    <w:rsid w:val="710F7F59"/>
    <w:rsid w:val="782B5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customStyle="1" w:styleId="13">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7339</Words>
  <Characters>8973</Characters>
  <Lines>69</Lines>
  <Paragraphs>19</Paragraphs>
  <TotalTime>0</TotalTime>
  <ScaleCrop>false</ScaleCrop>
  <LinksUpToDate>false</LinksUpToDate>
  <CharactersWithSpaces>10031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2023-09-28T04:45:39Z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8F02F5548E4A44D992484FF8529725A8_13</vt:lpwstr>
  </property>
</Properties>
</file>