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道县财政局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道县财政局</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道县财政局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(一)贯彻执行国家和省财政税收方针、政策和财政预算决算、财务、会计方面的法规、条例及基本建设财务管理制度，指导全县财政工作。</w:t>
      </w:r>
      <w:r>
        <w:rPr>
          <w:rFonts w:hint="eastAsia" w:ascii="仿宋_GB2312" w:hAnsi="宋体" w:eastAsia="仿宋_GB2312"/>
          <w:sz w:val="30"/>
          <w:szCs w:val="30"/>
        </w:rPr>
        <w:br w:type="textWrapping"/>
      </w:r>
      <w:r>
        <w:rPr>
          <w:rFonts w:hint="eastAsia" w:ascii="仿宋_GB2312" w:hAnsi="宋体" w:eastAsia="仿宋_GB2312"/>
          <w:sz w:val="30"/>
          <w:szCs w:val="30"/>
        </w:rPr>
        <w:t xml:space="preserve">    (二)编制年度县本级预算草案并组织预算执行；编制县本级财政总决算；代编全县财政收支预算，汇总全县财政总决算；受县政府委托，向县人大报告县本级预算、预算执行情况和财政总决算。</w:t>
      </w:r>
      <w:r>
        <w:rPr>
          <w:rFonts w:hint="eastAsia" w:ascii="仿宋_GB2312" w:hAnsi="宋体" w:eastAsia="仿宋_GB2312"/>
          <w:sz w:val="30"/>
          <w:szCs w:val="30"/>
        </w:rPr>
        <w:br w:type="textWrapping"/>
      </w:r>
      <w:r>
        <w:rPr>
          <w:rFonts w:hint="eastAsia" w:ascii="仿宋_GB2312" w:hAnsi="宋体" w:eastAsia="仿宋_GB2312"/>
          <w:sz w:val="30"/>
          <w:szCs w:val="30"/>
        </w:rPr>
        <w:t xml:space="preserve">    (三)管理各项财政收入、预算外资金和财政专户；管理有关政策性基金；审核报批收费项目，参与制订、调整收费标准；负责指导农税局的农业税征收管理工作。</w:t>
      </w:r>
      <w:r>
        <w:rPr>
          <w:rFonts w:hint="eastAsia" w:ascii="仿宋_GB2312" w:hAnsi="宋体" w:eastAsia="仿宋_GB2312"/>
          <w:sz w:val="30"/>
          <w:szCs w:val="30"/>
        </w:rPr>
        <w:br w:type="textWrapping"/>
      </w:r>
      <w:r>
        <w:rPr>
          <w:rFonts w:hint="eastAsia" w:ascii="仿宋_GB2312" w:hAnsi="宋体" w:eastAsia="仿宋_GB2312"/>
          <w:sz w:val="30"/>
          <w:szCs w:val="30"/>
        </w:rPr>
        <w:t xml:space="preserve">    (四)管理财政行政法和教科文支出；执行政府采购政策，负责控制社会集团购买力工作；管理财政预算内行政机构、事业单位和社会团体的非贸易外汇。根据国家、省、市统一规定的开支标准和支出政策，结合我县实际，制订具体实施办法，执行《行政单位财务规则》、《事业单位财务规则》。</w:t>
      </w:r>
      <w:r>
        <w:rPr>
          <w:rFonts w:hint="eastAsia" w:ascii="仿宋_GB2312" w:hAnsi="宋体" w:eastAsia="仿宋_GB2312"/>
          <w:sz w:val="30"/>
          <w:szCs w:val="30"/>
        </w:rPr>
        <w:br w:type="textWrapping"/>
      </w:r>
      <w:r>
        <w:rPr>
          <w:rFonts w:hint="eastAsia" w:ascii="仿宋_GB2312" w:hAnsi="宋体" w:eastAsia="仿宋_GB2312"/>
          <w:sz w:val="30"/>
          <w:szCs w:val="30"/>
        </w:rPr>
        <w:t xml:space="preserve">    (五)管理国有资产；组织实施国有资产的清产核资、产权界定和登记；负责国有资产管理的统计、分析、转让和处置以及产权纠纷调处与行政仲裁。</w:t>
      </w:r>
      <w:r>
        <w:rPr>
          <w:rFonts w:hint="eastAsia" w:ascii="仿宋_GB2312" w:hAnsi="宋体" w:eastAsia="仿宋_GB2312"/>
          <w:sz w:val="30"/>
          <w:szCs w:val="30"/>
        </w:rPr>
        <w:br w:type="textWrapping"/>
      </w:r>
      <w:r>
        <w:rPr>
          <w:rFonts w:hint="eastAsia" w:ascii="仿宋_GB2312" w:hAnsi="宋体" w:eastAsia="仿宋_GB2312"/>
          <w:sz w:val="30"/>
          <w:szCs w:val="30"/>
        </w:rPr>
        <w:t xml:space="preserve">    (六)管理财政经济发展支出；负责财政性资金投资项目工程预、决算审查；执行《企业财务通则》；负责财政支农、农业财务管理。</w:t>
      </w:r>
      <w:r>
        <w:rPr>
          <w:rFonts w:hint="eastAsia" w:ascii="仿宋_GB2312" w:hAnsi="宋体" w:eastAsia="仿宋_GB2312"/>
          <w:sz w:val="30"/>
          <w:szCs w:val="30"/>
        </w:rPr>
        <w:br w:type="textWrapping"/>
      </w:r>
      <w:r>
        <w:rPr>
          <w:rFonts w:hint="eastAsia" w:ascii="仿宋_GB2312" w:hAnsi="宋体" w:eastAsia="仿宋_GB2312"/>
          <w:sz w:val="30"/>
          <w:szCs w:val="30"/>
        </w:rPr>
        <w:t xml:space="preserve">    (七)管理财政社会保障支出；执行社会保障资金的财务管理制度。</w:t>
      </w:r>
      <w:r>
        <w:rPr>
          <w:rFonts w:hint="eastAsia" w:ascii="仿宋_GB2312" w:hAnsi="宋体" w:eastAsia="仿宋_GB2312"/>
          <w:sz w:val="30"/>
          <w:szCs w:val="30"/>
        </w:rPr>
        <w:br w:type="textWrapping"/>
      </w:r>
      <w:r>
        <w:rPr>
          <w:rFonts w:hint="eastAsia" w:ascii="仿宋_GB2312" w:hAnsi="宋体" w:eastAsia="仿宋_GB2312"/>
          <w:sz w:val="30"/>
          <w:szCs w:val="30"/>
        </w:rPr>
        <w:t xml:space="preserve">    (八)执行政府国内债务管理的方针政策、规章制度和管理办法，执行国债发行计划；执行政府外债管理的规章制度；承担世界银行、亚洲开发银行、外国政府贷款的管理职能。</w:t>
      </w:r>
      <w:r>
        <w:rPr>
          <w:rFonts w:hint="eastAsia" w:ascii="仿宋_GB2312" w:hAnsi="宋体" w:eastAsia="仿宋_GB2312"/>
          <w:sz w:val="30"/>
          <w:szCs w:val="30"/>
        </w:rPr>
        <w:br w:type="textWrapping"/>
      </w:r>
      <w:r>
        <w:rPr>
          <w:rFonts w:hint="eastAsia" w:ascii="仿宋_GB2312" w:hAnsi="宋体" w:eastAsia="仿宋_GB2312"/>
          <w:sz w:val="30"/>
          <w:szCs w:val="30"/>
        </w:rPr>
        <w:t xml:space="preserve">    (九)监督执行会计规章制度，执行《企业会计准则》；监督执行政府预算、行政和事业单位及分行业的会计制度；指导和管理社会审计；负责会计委派和集中会计核算工作。</w:t>
      </w:r>
      <w:r>
        <w:rPr>
          <w:rFonts w:hint="eastAsia" w:ascii="仿宋_GB2312" w:hAnsi="宋体" w:eastAsia="仿宋_GB2312"/>
          <w:sz w:val="30"/>
          <w:szCs w:val="30"/>
        </w:rPr>
        <w:br w:type="textWrapping"/>
      </w:r>
      <w:r>
        <w:rPr>
          <w:rFonts w:hint="eastAsia" w:ascii="仿宋_GB2312" w:hAnsi="宋体" w:eastAsia="仿宋_GB2312"/>
          <w:sz w:val="30"/>
          <w:szCs w:val="30"/>
        </w:rPr>
        <w:t xml:space="preserve">    (十)监督财税方针政策、法律法规的执行情况；检查反映财政收支管理中的重大问题；提出加强财政管理的政策建议。</w:t>
      </w:r>
      <w:r>
        <w:rPr>
          <w:rFonts w:hint="eastAsia" w:ascii="仿宋_GB2312" w:hAnsi="宋体" w:eastAsia="仿宋_GB2312"/>
          <w:sz w:val="30"/>
          <w:szCs w:val="30"/>
        </w:rPr>
        <w:br w:type="textWrapping"/>
      </w:r>
      <w:r>
        <w:rPr>
          <w:rFonts w:hint="eastAsia" w:ascii="仿宋_GB2312" w:hAnsi="宋体" w:eastAsia="仿宋_GB2312"/>
          <w:sz w:val="30"/>
          <w:szCs w:val="30"/>
        </w:rPr>
        <w:t xml:space="preserve">    (十一)制订财政科学研究和教育规划；组织财政人员培训；负责财政信息和财政宣传工作。</w:t>
      </w:r>
    </w:p>
    <w:p>
      <w:pPr>
        <w:snapToGrid w:val="0"/>
        <w:spacing w:line="600" w:lineRule="exact"/>
        <w:ind w:firstLine="600" w:firstLineChars="200"/>
        <w:rPr>
          <w:rFonts w:ascii="仿宋_GB2312" w:hAnsi="仿宋" w:eastAsia="仿宋_GB2312"/>
          <w:sz w:val="32"/>
          <w:szCs w:val="32"/>
        </w:rPr>
      </w:pPr>
      <w:r>
        <w:rPr>
          <w:rFonts w:hint="eastAsia" w:ascii="仿宋_GB2312" w:hAnsi="宋体" w:eastAsia="仿宋_GB2312"/>
          <w:sz w:val="30"/>
          <w:szCs w:val="30"/>
        </w:rPr>
        <w:t>(十二)承办县委、县人民政府交办的其他事项。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spacing w:line="600" w:lineRule="exact"/>
        <w:ind w:firstLine="640" w:firstLineChars="200"/>
        <w:rPr>
          <w:rFonts w:ascii="仿宋_GB2312" w:hAnsi="宋体" w:eastAsia="仿宋_GB2312"/>
          <w:sz w:val="30"/>
          <w:szCs w:val="30"/>
        </w:rPr>
      </w:pPr>
      <w:r>
        <w:rPr>
          <w:rFonts w:hint="eastAsia" w:ascii="仿宋_GB2312" w:hAnsi="黑体" w:eastAsia="仿宋_GB2312"/>
          <w:sz w:val="32"/>
          <w:szCs w:val="32"/>
        </w:rPr>
        <w:t>2021年部门决算编制范围包括局机关及所属事业单位。道县财政局内设办公室(党建室)、乡镇财政管理股、税政法规股、预算股、国库股、行财股、政法股、科教股、文化股、农业农村股、企业股、金融与债务管理股、会计股、财政监督股、人事教育股、行政审批股16个内设机构，下设国库集中支付中心、国有资产中心、综合中心等12个直属事业单位。道县财政局机关公务员及参照公务员管理人员编制为104人，工资全部纳入财政统发。车辆编制为1台。</w:t>
      </w:r>
    </w:p>
    <w:p>
      <w:pPr>
        <w:widowControl/>
        <w:spacing w:line="600" w:lineRule="exact"/>
        <w:rPr>
          <w:rFonts w:asciiTheme="minorEastAsia" w:hAnsiTheme="minorEastAsia"/>
          <w:bCs/>
          <w:kern w:val="0"/>
          <w:sz w:val="32"/>
          <w:szCs w:val="32"/>
        </w:rPr>
      </w:pPr>
    </w:p>
    <w:p>
      <w:pPr>
        <w:widowControl/>
        <w:numPr>
          <w:ilvl w:val="0"/>
          <w:numId w:val="0"/>
        </w:numPr>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eastAsia="zh-CN"/>
        </w:rPr>
        <w:t>（二）</w:t>
      </w: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lang w:eastAsia="zh-CN"/>
        </w:rPr>
        <w:t>道县财政局</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道县财政局</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道县财政局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1,792.68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1,523.87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613.23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215.71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613.23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2,405.91</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2,405.91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2,405.91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2,405.91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72" w:type="dxa"/>
        <w:tblInd w:w="0" w:type="dxa"/>
        <w:tblLayout w:type="autofit"/>
        <w:tblCellMar>
          <w:top w:w="0" w:type="dxa"/>
          <w:left w:w="0" w:type="dxa"/>
          <w:bottom w:w="0" w:type="dxa"/>
          <w:right w:w="0" w:type="dxa"/>
        </w:tblCellMar>
      </w:tblPr>
      <w:tblGrid>
        <w:gridCol w:w="1030"/>
        <w:gridCol w:w="73"/>
        <w:gridCol w:w="1866"/>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color w:val="000000"/>
                <w:kern w:val="0"/>
                <w:sz w:val="20"/>
                <w:szCs w:val="20"/>
                <w:lang w:eastAsia="zh-CN"/>
              </w:rPr>
              <w:t>道县财政局</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2,405.91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2,405.91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1,523.87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1,523.87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1,523.87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1,523.87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1,009.77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1,009.77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2010602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80.32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80.32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2010607</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2010650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381.07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381.07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215.71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215.71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109.51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109.51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109.51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109.51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613.23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613.23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613.23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613.23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613.23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613.23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道县财政局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2,405.91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1,720.15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685.76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1,523.87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1,142.80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381.07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1,523.87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1,142.80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381.07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1,009.77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1,009.77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2010607</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15.31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2010650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381.07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381.07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215.71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215.71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613.23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308.54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304.69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613.23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308.54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304.69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613.23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308.54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304.69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道县财政局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1,792.68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1,523.87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1,523.87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613.23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215.71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215.71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53.10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613.23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613.23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2,405.91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2,405.91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1,792.68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613.23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2,405.91</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2,405.91</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1,792.68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613.23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道县财政局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72"/>
        <w:gridCol w:w="3280"/>
        <w:gridCol w:w="2849"/>
        <w:gridCol w:w="3301"/>
        <w:gridCol w:w="2831"/>
      </w:tblGrid>
      <w:tr>
        <w:tblPrEx>
          <w:tblCellMar>
            <w:top w:w="0" w:type="dxa"/>
            <w:left w:w="108" w:type="dxa"/>
            <w:bottom w:w="0" w:type="dxa"/>
            <w:right w:w="108" w:type="dxa"/>
          </w:tblCellMar>
        </w:tblPrEx>
        <w:trPr>
          <w:trHeight w:val="405" w:hRule="atLeast"/>
          <w:jc w:val="center"/>
        </w:trPr>
        <w:tc>
          <w:tcPr>
            <w:tcW w:w="5238"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81"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5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5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5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3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3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3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3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1,792.68</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1,411.61</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381.07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1,523.87</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1,142.80</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381.07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1,523.87</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1,142.80</w:t>
            </w: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381.07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1,009.77</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1,009.77</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2010602</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80.32</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80.32</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2010607</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15.31</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15.31</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2010650</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37.40</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37.40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2010699</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381.07</w:t>
            </w:r>
          </w:p>
        </w:tc>
        <w:tc>
          <w:tcPr>
            <w:tcW w:w="330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381.07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215.71</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215.71</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106.20</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106.20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106.20</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106.20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109.51</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109.51</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109.51</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109.51</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53.10</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53.10</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53.10</w:t>
            </w:r>
          </w:p>
        </w:tc>
        <w:tc>
          <w:tcPr>
            <w:tcW w:w="33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83"/>
        <w:gridCol w:w="3215"/>
        <w:gridCol w:w="845"/>
        <w:gridCol w:w="1174"/>
        <w:gridCol w:w="2216"/>
        <w:gridCol w:w="845"/>
        <w:gridCol w:w="1175"/>
        <w:gridCol w:w="4016"/>
        <w:gridCol w:w="845"/>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lang w:eastAsia="zh-CN"/>
              </w:rPr>
              <w:t>道县财政局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847.29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443.56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361.65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33.17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207.79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26.68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48.95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12.45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106.20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5.91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6.69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11.62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120.76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11.84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23.41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109.51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5.21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68.00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90.64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11.25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8.34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968.05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443.56</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道县财政局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49.93</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8.43</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13.39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4.96</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道县财政局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46"/>
        <w:gridCol w:w="1235"/>
        <w:gridCol w:w="1850"/>
        <w:gridCol w:w="1893"/>
        <w:gridCol w:w="1893"/>
        <w:gridCol w:w="1893"/>
        <w:gridCol w:w="1893"/>
        <w:gridCol w:w="1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7"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7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2"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0" w:type="dxa"/>
            <w:vMerge w:val="continue"/>
            <w:vAlign w:val="center"/>
          </w:tcPr>
          <w:p>
            <w:pPr>
              <w:widowControl/>
              <w:jc w:val="left"/>
              <w:rPr>
                <w:rFonts w:ascii="Times New Roman" w:hAnsi="Times New Roman" w:eastAsia="仿宋_GB2312" w:cs="Times New Roman"/>
                <w:b/>
                <w:kern w:val="0"/>
                <w:szCs w:val="21"/>
              </w:rPr>
            </w:pPr>
          </w:p>
        </w:tc>
        <w:tc>
          <w:tcPr>
            <w:tcW w:w="1893" w:type="dxa"/>
            <w:vMerge w:val="continue"/>
            <w:vAlign w:val="center"/>
          </w:tcPr>
          <w:p>
            <w:pPr>
              <w:widowControl/>
              <w:jc w:val="left"/>
              <w:rPr>
                <w:rFonts w:ascii="Times New Roman" w:hAnsi="Times New Roman" w:eastAsia="仿宋_GB2312" w:cs="Times New Roman"/>
                <w:b/>
                <w:kern w:val="0"/>
                <w:szCs w:val="21"/>
              </w:rPr>
            </w:pP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1"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2" w:type="dxa"/>
            <w:gridSpan w:val="2"/>
            <w:vMerge w:val="continue"/>
            <w:vAlign w:val="center"/>
          </w:tcPr>
          <w:p>
            <w:pPr>
              <w:widowControl/>
              <w:jc w:val="left"/>
              <w:rPr>
                <w:rFonts w:ascii="Times New Roman" w:hAnsi="Times New Roman" w:eastAsia="仿宋_GB2312" w:cs="Times New Roman"/>
                <w:kern w:val="0"/>
                <w:szCs w:val="21"/>
              </w:rPr>
            </w:pPr>
          </w:p>
        </w:tc>
        <w:tc>
          <w:tcPr>
            <w:tcW w:w="1235" w:type="dxa"/>
            <w:vMerge w:val="continue"/>
            <w:vAlign w:val="center"/>
          </w:tcPr>
          <w:p>
            <w:pPr>
              <w:widowControl/>
              <w:jc w:val="left"/>
              <w:rPr>
                <w:rFonts w:ascii="Times New Roman" w:hAnsi="Times New Roman" w:eastAsia="仿宋_GB2312" w:cs="Times New Roman"/>
                <w:kern w:val="0"/>
                <w:szCs w:val="21"/>
              </w:rPr>
            </w:pPr>
          </w:p>
        </w:tc>
        <w:tc>
          <w:tcPr>
            <w:tcW w:w="1850"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51"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2" w:type="dxa"/>
            <w:gridSpan w:val="2"/>
            <w:vMerge w:val="continue"/>
            <w:vAlign w:val="center"/>
          </w:tcPr>
          <w:p>
            <w:pPr>
              <w:widowControl/>
              <w:jc w:val="left"/>
              <w:rPr>
                <w:rFonts w:ascii="Times New Roman" w:hAnsi="Times New Roman" w:eastAsia="仿宋_GB2312" w:cs="Times New Roman"/>
                <w:kern w:val="0"/>
                <w:szCs w:val="21"/>
              </w:rPr>
            </w:pPr>
          </w:p>
        </w:tc>
        <w:tc>
          <w:tcPr>
            <w:tcW w:w="1235" w:type="dxa"/>
            <w:vMerge w:val="continue"/>
            <w:vAlign w:val="center"/>
          </w:tcPr>
          <w:p>
            <w:pPr>
              <w:widowControl/>
              <w:jc w:val="left"/>
              <w:rPr>
                <w:rFonts w:ascii="Times New Roman" w:hAnsi="Times New Roman" w:eastAsia="仿宋_GB2312" w:cs="Times New Roman"/>
                <w:kern w:val="0"/>
                <w:szCs w:val="21"/>
              </w:rPr>
            </w:pPr>
          </w:p>
        </w:tc>
        <w:tc>
          <w:tcPr>
            <w:tcW w:w="1850"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51"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7" w:type="dxa"/>
            <w:gridSpan w:val="3"/>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85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93"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93"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93"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93"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5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7"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613.23</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613.23</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308.54</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304.69</w:t>
            </w:r>
          </w:p>
        </w:tc>
        <w:tc>
          <w:tcPr>
            <w:tcW w:w="185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81"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613.23</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613.23</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308.54</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304.69</w:t>
            </w:r>
          </w:p>
        </w:tc>
        <w:tc>
          <w:tcPr>
            <w:tcW w:w="185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181"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613.23</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613.23</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308.54</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304.69</w:t>
            </w:r>
          </w:p>
        </w:tc>
        <w:tc>
          <w:tcPr>
            <w:tcW w:w="185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181"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613.23</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613.23</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308.54</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304.69</w:t>
            </w:r>
          </w:p>
        </w:tc>
        <w:tc>
          <w:tcPr>
            <w:tcW w:w="1851"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eastAsia="zh-CN"/>
              </w:rPr>
              <w:t>道县财政局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w:t>
            </w:r>
            <w:r>
              <w:rPr>
                <w:rFonts w:hint="eastAsia" w:ascii="宋体" w:hAnsi="宋体" w:eastAsia="宋体" w:cs="宋体"/>
                <w:kern w:val="0"/>
                <w:sz w:val="24"/>
                <w:szCs w:val="24"/>
                <w:lang w:eastAsia="zh-CN"/>
              </w:rPr>
              <w:t>道县财政局无国有资本经营预算财政拨款收入，也没有安排国有资本经营预算财政拨款支出，故本表格无数据。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2405.91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294.91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2405.91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2405.91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2405.91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1720.15</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685.76</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四、财政拨款收入支出决算总体情况说明</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2405.91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294.91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1792.68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74.5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1792.68</w:t>
      </w:r>
      <w:r>
        <w:rPr>
          <w:rFonts w:hint="eastAsia" w:asciiTheme="minorEastAsia" w:hAnsiTheme="minorEastAsia" w:eastAsiaTheme="minorEastAsia"/>
          <w:sz w:val="32"/>
          <w:szCs w:val="32"/>
        </w:rPr>
        <w:t>万元，主要用于以下方面：一般公共服务支出</w:t>
      </w:r>
      <w:r>
        <w:rPr>
          <w:rFonts w:hint="eastAsia" w:asciiTheme="minorEastAsia" w:hAnsiTheme="minorEastAsia" w:eastAsiaTheme="minorEastAsia"/>
          <w:sz w:val="32"/>
          <w:szCs w:val="32"/>
          <w:lang w:val="en-US" w:eastAsia="zh-CN"/>
        </w:rPr>
        <w:t>1523.87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215.71万元；卫生健康支出53.10万元；城乡社区支出613.23万元。</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1765.51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1792.68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101.53</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eastAsia="zh-CN"/>
        </w:rPr>
        <w:t>财政事务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1009.77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2、一般公共服务支出（类）</w:t>
      </w:r>
      <w:r>
        <w:rPr>
          <w:rFonts w:hint="eastAsia" w:asciiTheme="minorEastAsia" w:hAnsiTheme="minorEastAsia" w:eastAsiaTheme="minorEastAsia"/>
          <w:sz w:val="32"/>
          <w:szCs w:val="32"/>
          <w:lang w:eastAsia="zh-CN"/>
        </w:rPr>
        <w:t>财政事务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一般行政管理事务</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80.32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numPr>
          <w:ilvl w:val="0"/>
          <w:numId w:val="2"/>
        </w:numPr>
        <w:ind w:left="-330" w:leftChars="0" w:firstLine="960" w:firstLineChars="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财政事务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信息化建设</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15.31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numPr>
          <w:ilvl w:val="0"/>
          <w:numId w:val="2"/>
        </w:numPr>
        <w:ind w:left="-330" w:leftChars="0" w:firstLine="96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财政事务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事业运行</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37.4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numPr>
          <w:ilvl w:val="0"/>
          <w:numId w:val="2"/>
        </w:numPr>
        <w:ind w:left="-330" w:leftChars="0" w:firstLine="96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财政事务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其他财政事务支出</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381.07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1411.5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968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68.58</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443.5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31.42</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w:t>
      </w:r>
      <w:r>
        <w:rPr>
          <w:rFonts w:hint="eastAsia" w:asciiTheme="minorEastAsia" w:hAnsiTheme="minorEastAsia" w:eastAsiaTheme="minorEastAsia"/>
          <w:sz w:val="32"/>
          <w:szCs w:val="32"/>
          <w:lang w:eastAsia="zh-CN"/>
        </w:rPr>
        <w:t>预算为</w:t>
      </w:r>
      <w:r>
        <w:rPr>
          <w:rFonts w:hint="eastAsia" w:asciiTheme="minorEastAsia" w:hAnsiTheme="minorEastAsia" w:eastAsiaTheme="minorEastAsia"/>
          <w:sz w:val="32"/>
          <w:szCs w:val="32"/>
          <w:lang w:val="en-US" w:eastAsia="zh-CN"/>
        </w:rPr>
        <w:t>91.5万元，支出</w:t>
      </w:r>
      <w:r>
        <w:rPr>
          <w:rFonts w:hint="eastAsia" w:asciiTheme="minorEastAsia" w:hAnsiTheme="minorEastAsia" w:eastAsiaTheme="minorEastAsia"/>
          <w:sz w:val="32"/>
          <w:szCs w:val="32"/>
        </w:rPr>
        <w:t>决算为</w:t>
      </w:r>
      <w:r>
        <w:rPr>
          <w:rFonts w:hint="eastAsia" w:asciiTheme="minorEastAsia" w:hAnsiTheme="minorEastAsia" w:eastAsiaTheme="minorEastAsia"/>
          <w:sz w:val="32"/>
          <w:szCs w:val="32"/>
          <w:lang w:val="en-US" w:eastAsia="zh-CN"/>
        </w:rPr>
        <w:t>6.53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完成预算的</w:t>
      </w:r>
      <w:r>
        <w:rPr>
          <w:rFonts w:hint="eastAsia" w:asciiTheme="minorEastAsia" w:hAnsiTheme="minorEastAsia" w:eastAsiaTheme="minorEastAsia"/>
          <w:sz w:val="32"/>
          <w:szCs w:val="32"/>
          <w:lang w:val="en-US" w:eastAsia="zh-CN"/>
        </w:rPr>
        <w:t>7.14%，</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w:t>
      </w:r>
      <w:r>
        <w:rPr>
          <w:rFonts w:hint="eastAsia" w:asciiTheme="minorEastAsia" w:hAnsiTheme="minorEastAsia" w:eastAsiaTheme="minorEastAsia"/>
          <w:sz w:val="32"/>
          <w:szCs w:val="32"/>
          <w:lang w:eastAsia="zh-CN"/>
        </w:rPr>
        <w:t>预算为</w:t>
      </w:r>
      <w:r>
        <w:rPr>
          <w:rFonts w:hint="eastAsia" w:asciiTheme="minorEastAsia" w:hAnsiTheme="minorEastAsia" w:eastAsiaTheme="minorEastAsia"/>
          <w:sz w:val="32"/>
          <w:szCs w:val="32"/>
          <w:lang w:val="en-US" w:eastAsia="zh-CN"/>
        </w:rPr>
        <w:t>0万元，支出</w:t>
      </w:r>
      <w:r>
        <w:rPr>
          <w:rFonts w:hint="eastAsia" w:asciiTheme="minorEastAsia" w:hAnsiTheme="minorEastAsia" w:eastAsiaTheme="minorEastAsia"/>
          <w:sz w:val="32"/>
          <w:szCs w:val="32"/>
        </w:rPr>
        <w:t>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50万元，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2.77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，完成预算的</w:t>
      </w:r>
      <w:r>
        <w:rPr>
          <w:rFonts w:hint="eastAsia" w:asciiTheme="minorEastAsia" w:hAnsiTheme="minorEastAsia" w:eastAsiaTheme="minorEastAsia"/>
          <w:sz w:val="32"/>
          <w:szCs w:val="32"/>
          <w:lang w:val="en-US" w:eastAsia="zh-CN"/>
        </w:rPr>
        <w:t>5.54%，与去年相比减少13.39万元</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公务用车运行维护费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41.5万元，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3.76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，完成预算的</w:t>
      </w:r>
      <w:r>
        <w:rPr>
          <w:rFonts w:hint="eastAsia" w:asciiTheme="minorEastAsia" w:hAnsiTheme="minorEastAsia" w:eastAsiaTheme="minorEastAsia"/>
          <w:sz w:val="32"/>
          <w:szCs w:val="32"/>
          <w:lang w:val="en-US" w:eastAsia="zh-CN"/>
        </w:rPr>
        <w:t>9.06%，与上年相比减少5.22万元</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2.77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42.42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3.76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57.58</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2.77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235</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财政事务</w:t>
      </w:r>
      <w:r>
        <w:rPr>
          <w:rFonts w:hint="eastAsia" w:asciiTheme="minorEastAsia" w:hAnsiTheme="minorEastAsia" w:eastAsiaTheme="minorEastAsia"/>
          <w:sz w:val="32"/>
          <w:szCs w:val="32"/>
        </w:rPr>
        <w:t>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3.76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3.76</w:t>
      </w:r>
      <w:r>
        <w:rPr>
          <w:rFonts w:hint="eastAsia" w:asciiTheme="minorEastAsia" w:hAnsiTheme="minorEastAsia"/>
          <w:sz w:val="32"/>
          <w:szCs w:val="32"/>
        </w:rPr>
        <w:t>万元，主要是</w:t>
      </w:r>
      <w:r>
        <w:rPr>
          <w:rFonts w:hint="eastAsia" w:asciiTheme="minorEastAsia" w:hAnsiTheme="minorEastAsia"/>
          <w:sz w:val="32"/>
          <w:szCs w:val="32"/>
          <w:lang w:eastAsia="zh-CN"/>
        </w:rPr>
        <w:t>公务车辆消耗、保险、维护等</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613.23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752.1</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11.84</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财政事务等工作</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1800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预决算编制、国有资产、预算绩效等工作</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23.41</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会计业务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1400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新政府会计制度培训、会计基础知识及实际操作培训等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69</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财政紧急事务用车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按照财政部门预算绩效管理工作部署,20</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年我单位推行部门整体和20万以上项目绩效目标全覆盖。</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numPr>
          <w:ilvl w:val="0"/>
          <w:numId w:val="0"/>
        </w:numPr>
        <w:ind w:firstLine="640" w:firstLineChars="200"/>
        <w:rPr>
          <w:rFonts w:hint="eastAsia" w:asciiTheme="minorEastAsia" w:hAnsiTheme="minorEastAsia" w:eastAsiaTheme="minorEastAsia" w:cstheme="minorEastAsia"/>
          <w:sz w:val="32"/>
          <w:szCs w:val="32"/>
        </w:rPr>
      </w:pPr>
      <w:r>
        <w:rPr>
          <w:rFonts w:hint="eastAsia" w:cs="黑体" w:asciiTheme="minorEastAsia" w:hAnsiTheme="minorEastAsia"/>
          <w:color w:val="000000"/>
          <w:kern w:val="0"/>
          <w:sz w:val="32"/>
          <w:szCs w:val="32"/>
        </w:rPr>
        <w:t>一、</w:t>
      </w:r>
      <w:r>
        <w:rPr>
          <w:rFonts w:hint="eastAsia" w:asciiTheme="minorEastAsia" w:hAnsiTheme="minorEastAsia" w:eastAsiaTheme="minorEastAsia" w:cstheme="minorEastAsia"/>
          <w:sz w:val="32"/>
          <w:szCs w:val="32"/>
        </w:rPr>
        <w:t>“三公经费”是指因公出国（境）费用、公务用车购置及运行使用维护费、公务接待费等三项具体经费。</w:t>
      </w:r>
    </w:p>
    <w:p>
      <w:pPr>
        <w:widowControl/>
        <w:numPr>
          <w:ilvl w:val="0"/>
          <w:numId w:val="0"/>
        </w:num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二、“机关运行经费”是指办公费、印刷费、水电费、维修费、会议费、培训费、及三公经费等具体经费。</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708CB3"/>
    <w:multiLevelType w:val="singleLevel"/>
    <w:tmpl w:val="4A708CB3"/>
    <w:lvl w:ilvl="0" w:tentative="0">
      <w:start w:val="3"/>
      <w:numFmt w:val="decimal"/>
      <w:suff w:val="nothing"/>
      <w:lvlText w:val="%1、"/>
      <w:lvlJc w:val="left"/>
      <w:pPr>
        <w:ind w:left="-33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BF92D97"/>
    <w:rsid w:val="1C063A19"/>
    <w:rsid w:val="240D10DB"/>
    <w:rsid w:val="2455194A"/>
    <w:rsid w:val="2E8C33E0"/>
    <w:rsid w:val="2EEC563D"/>
    <w:rsid w:val="49467A53"/>
    <w:rsid w:val="4ECB7A62"/>
    <w:rsid w:val="69AC1575"/>
    <w:rsid w:val="71D443A6"/>
    <w:rsid w:val="789A5A76"/>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ascii="Calibri" w:hAnsi="Calibri"/>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9566</Words>
  <Characters>11781</Characters>
  <Lines>69</Lines>
  <Paragraphs>19</Paragraphs>
  <TotalTime>0</TotalTime>
  <ScaleCrop>false</ScaleCrop>
  <LinksUpToDate>false</LinksUpToDate>
  <CharactersWithSpaces>12792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2023-09-07T01:02:00Z</cp:lastPrinted>
  <dcterms:modified xsi:type="dcterms:W3CDTF">2023-09-28T03:39:35Z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