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仿宋" w:hAnsi="仿宋" w:eastAsia="仿宋" w:cs="仿宋"/>
          <w:b/>
          <w:color w:val="000000" w:themeColor="text1"/>
          <w:sz w:val="36"/>
          <w:szCs w:val="36"/>
          <w:shd w:val="clear" w:color="auto" w:fill="FFFFFF"/>
        </w:rPr>
      </w:pPr>
      <w:r>
        <w:rPr>
          <w:rFonts w:ascii="仿宋" w:hAnsi="仿宋" w:eastAsia="仿宋" w:cs="仿宋"/>
          <w:b/>
          <w:color w:val="000000" w:themeColor="text1"/>
          <w:sz w:val="36"/>
          <w:szCs w:val="36"/>
          <w:shd w:val="clear" w:color="auto" w:fill="FFFFFF"/>
        </w:rPr>
        <w:t>20</w:t>
      </w:r>
      <w:r>
        <w:rPr>
          <w:rFonts w:hint="eastAsia" w:ascii="仿宋" w:hAnsi="仿宋" w:eastAsia="仿宋" w:cs="仿宋"/>
          <w:b/>
          <w:color w:val="000000" w:themeColor="text1"/>
          <w:sz w:val="36"/>
          <w:szCs w:val="36"/>
          <w:shd w:val="clear" w:color="auto" w:fill="FFFFFF"/>
          <w:lang w:val="en-US" w:eastAsia="zh-CN"/>
        </w:rPr>
        <w:t>21</w:t>
      </w:r>
      <w:r>
        <w:rPr>
          <w:rFonts w:hint="eastAsia" w:ascii="仿宋" w:hAnsi="仿宋" w:eastAsia="仿宋" w:cs="仿宋"/>
          <w:b/>
          <w:color w:val="000000" w:themeColor="text1"/>
          <w:sz w:val="36"/>
          <w:szCs w:val="36"/>
          <w:shd w:val="clear" w:color="auto" w:fill="FFFFFF"/>
        </w:rPr>
        <w:t>年度道县教育系统（除工贸学校一中二中</w:t>
      </w:r>
      <w:r>
        <w:rPr>
          <w:rFonts w:hint="eastAsia" w:ascii="仿宋" w:hAnsi="仿宋" w:eastAsia="仿宋" w:cs="仿宋"/>
          <w:b/>
          <w:color w:val="000000" w:themeColor="text1"/>
          <w:sz w:val="36"/>
          <w:szCs w:val="36"/>
          <w:shd w:val="clear" w:color="auto" w:fill="FFFFFF"/>
          <w:lang w:eastAsia="zh-CN"/>
        </w:rPr>
        <w:t>五中</w:t>
      </w:r>
    </w:p>
    <w:p>
      <w:pPr>
        <w:adjustRightInd w:val="0"/>
        <w:snapToGrid w:val="0"/>
        <w:spacing w:line="600" w:lineRule="exact"/>
        <w:jc w:val="center"/>
        <w:rPr>
          <w:rFonts w:ascii="仿宋" w:hAnsi="仿宋" w:eastAsia="仿宋" w:cs="仿宋"/>
          <w:b/>
          <w:color w:val="000000" w:themeColor="text1"/>
          <w:sz w:val="36"/>
          <w:szCs w:val="36"/>
          <w:shd w:val="clear" w:color="auto" w:fill="FFFFFF"/>
        </w:rPr>
      </w:pPr>
      <w:r>
        <w:rPr>
          <w:rFonts w:hint="eastAsia" w:ascii="仿宋" w:hAnsi="仿宋" w:eastAsia="仿宋" w:cs="仿宋"/>
          <w:b/>
          <w:color w:val="000000" w:themeColor="text1"/>
          <w:sz w:val="36"/>
          <w:szCs w:val="36"/>
          <w:shd w:val="clear" w:color="auto" w:fill="FFFFFF"/>
          <w:lang w:eastAsia="zh-CN"/>
        </w:rPr>
        <w:t>进修学校</w:t>
      </w:r>
      <w:r>
        <w:rPr>
          <w:rFonts w:hint="eastAsia" w:ascii="仿宋" w:hAnsi="仿宋" w:eastAsia="仿宋" w:cs="仿宋"/>
          <w:b/>
          <w:color w:val="000000" w:themeColor="text1"/>
          <w:sz w:val="36"/>
          <w:szCs w:val="36"/>
          <w:shd w:val="clear" w:color="auto" w:fill="FFFFFF"/>
        </w:rPr>
        <w:t>）部门整体支出绩效自评报告</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b/>
          <w:color w:val="auto"/>
          <w:sz w:val="36"/>
          <w:szCs w:val="36"/>
          <w:shd w:val="clear" w:color="auto" w:fill="FFFFFF"/>
        </w:rPr>
      </w:pPr>
    </w:p>
    <w:p>
      <w:pPr>
        <w:keepNext w:val="0"/>
        <w:keepLines w:val="0"/>
        <w:pageBreakBefore w:val="0"/>
        <w:kinsoku/>
        <w:wordWrap/>
        <w:overflowPunct/>
        <w:topLinePunct w:val="0"/>
        <w:autoSpaceDE/>
        <w:autoSpaceDN/>
        <w:bidi w:val="0"/>
        <w:adjustRightInd w:val="0"/>
        <w:snapToGrid w:val="0"/>
        <w:spacing w:line="500" w:lineRule="exact"/>
        <w:ind w:firstLine="602" w:firstLineChars="200"/>
        <w:textAlignment w:val="auto"/>
        <w:rPr>
          <w:rFonts w:hint="eastAsia" w:ascii="仿宋_GB2312" w:hAnsi="仿宋_GB2312" w:eastAsia="仿宋_GB2312" w:cs="仿宋_GB2312"/>
          <w:b/>
          <w:bCs/>
          <w:color w:val="auto"/>
          <w:sz w:val="30"/>
          <w:szCs w:val="30"/>
          <w:shd w:val="clear" w:color="auto" w:fill="FFFFFF"/>
          <w:lang w:eastAsia="zh-CN"/>
        </w:rPr>
      </w:pPr>
      <w:r>
        <w:rPr>
          <w:rFonts w:hint="eastAsia" w:ascii="仿宋_GB2312" w:hAnsi="仿宋_GB2312" w:eastAsia="仿宋_GB2312" w:cs="仿宋_GB2312"/>
          <w:b/>
          <w:bCs/>
          <w:color w:val="auto"/>
          <w:sz w:val="30"/>
          <w:szCs w:val="30"/>
          <w:shd w:val="clear" w:color="auto" w:fill="FFFFFF"/>
          <w:lang w:eastAsia="zh-CN"/>
        </w:rPr>
        <w:t>一、基本情况</w:t>
      </w:r>
    </w:p>
    <w:p>
      <w:pPr>
        <w:keepNext w:val="0"/>
        <w:keepLines w:val="0"/>
        <w:pageBreakBefore w:val="0"/>
        <w:kinsoku/>
        <w:wordWrap/>
        <w:overflowPunct/>
        <w:topLinePunct w:val="0"/>
        <w:autoSpaceDE/>
        <w:autoSpaceDN/>
        <w:bidi w:val="0"/>
        <w:adjustRightInd w:val="0"/>
        <w:snapToGrid w:val="0"/>
        <w:spacing w:line="460" w:lineRule="exact"/>
        <w:ind w:firstLine="600" w:firstLineChars="200"/>
        <w:textAlignment w:val="auto"/>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（一）部门基本情况</w:t>
      </w:r>
    </w:p>
    <w:p>
      <w:pPr>
        <w:keepNext w:val="0"/>
        <w:keepLines w:val="0"/>
        <w:pageBreakBefore w:val="0"/>
        <w:kinsoku/>
        <w:wordWrap/>
        <w:overflowPunct/>
        <w:topLinePunct w:val="0"/>
        <w:autoSpaceDE/>
        <w:autoSpaceDN/>
        <w:bidi w:val="0"/>
        <w:adjustRightInd w:val="0"/>
        <w:snapToGrid w:val="0"/>
        <w:spacing w:line="4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shd w:val="clear" w:color="auto" w:fill="FFFFFF"/>
          <w:lang w:val="en-US" w:eastAsia="zh-CN"/>
        </w:rPr>
        <w:t>1、职责职能</w:t>
      </w:r>
    </w:p>
    <w:p>
      <w:pPr>
        <w:keepNext w:val="0"/>
        <w:keepLines w:val="0"/>
        <w:pageBreakBefore w:val="0"/>
        <w:kinsoku/>
        <w:wordWrap/>
        <w:overflowPunct/>
        <w:topLinePunct w:val="0"/>
        <w:autoSpaceDE/>
        <w:autoSpaceDN/>
        <w:bidi w:val="0"/>
        <w:spacing w:line="46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（1）贯彻落实国家、省、市关于教育工作的法律、法规和政策，拟订全县教育改革和发展战略规划，并组织实施。</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（2）负责各级各类教育的统筹规划和协调管理，组织实施各级各类学校设置标准，指导各级各类学校教育教学改革，负责教育基本信息的统计、分析和发布。</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3）负责推进义务教育均衡发展和促进教育公平，负责义务教育、高中教育、幼儿教育和特殊教育的管理、指导与协调。落实基础教育教学基本要求，制定全县中小学和职业学校招生计划，组织招生考试和录取工作，全面实施素质教育。</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（4）指导以就业为导向的职业教育的发展与改革，执行教学指导文件和教学评估标准。</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（5）负责组织大中专招生考试、成人高校招生考试、高等教育自学考试和自学考试学籍管理工作；负责大中专院校毕业生就业指导、服务和管理工作。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6）统筹管理本部门教育经费；参与拟订全县教育经费筹措、教育拨款、教育基建投资办法与措施；负责统计和监测全县教育经费的投入和使用情况；指导、管理全县资助经济困难学生工作；负责组织实施教育系统内部审计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（7）统筹指导少数民族教育工作。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（8）负责全县中、小学校的思想政治工作、德育工作、体育卫生与艺术教育以及国防教育工作，指导和协调教育系统的稳定工作。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9）依据《教师法》规定，在职责范围内，主管全县教师工作；贯彻实施各级各类教师资格标准，配合有关部门组织实施各级各类学校编制标准；负责普通中小学（含职业学校）、中等专业学校、幼儿园教师招聘录用、资格认定、培养培训、专业技术职务评聘、调动交流、工资福利、考核奖惩和新教师的转正定级工作；按照干部管理权限和程序，考核、呈报、任免全县各级各类学校的领导干部；；指导有关教育学会、基金会、关工委、退（教）协、团委、妇联等社会组织的工作；负责教育系统人才队伍建设。</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（10）负责组织全县教育督导工作。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（11）统筹管理全县语言文字工作，拟定全县语言文字规划并组织实施，负责指导推广普通话和规范字及普通话师资培训工作。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（13）负责建立和完善全县教育系统学校安全工作监督管理体系，对全县各级各类学校法制安全管理工作实施监督管理；综合协调、指导、督促校（园）建立和完善安全工作责任管理制度。</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（14）承办县人民政府交办的其他事项。</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auto"/>
          <w:kern w:val="0"/>
          <w:sz w:val="30"/>
          <w:szCs w:val="30"/>
        </w:rPr>
        <w:t>机构情况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县教育局设内设机构及直属事业单位</w:t>
      </w:r>
      <w:r>
        <w:rPr>
          <w:rFonts w:hint="eastAsia" w:ascii="仿宋_GB2312" w:hAnsi="仿宋_GB2312" w:eastAsia="仿宋_GB2312" w:cs="仿宋_GB2312"/>
          <w:sz w:val="30"/>
          <w:szCs w:val="30"/>
          <w:lang w:eastAsia="zh-CN"/>
        </w:rPr>
        <w:t>包括</w:t>
      </w:r>
      <w:r>
        <w:rPr>
          <w:rFonts w:hint="eastAsia" w:ascii="仿宋_GB2312" w:hAnsi="仿宋_GB2312" w:eastAsia="仿宋_GB2312" w:cs="仿宋_GB2312"/>
          <w:sz w:val="30"/>
          <w:szCs w:val="30"/>
        </w:rPr>
        <w:t>：县委教育工作领导小组秘书组秘书股、综合股、人事股、行政审批股、计划财务股、基础教育股、职业教育和成人教育股、教育督导股、政策法规与学校安全管理股、体育卫生与艺术教育股、党建办公室、审计股、县委教育工委纪检（监察）办公室、道县教师发展中心、道县教育联合工会、道县教育科学研究中心、道县招生考试中心、道县电化教学站、道县民办教育事务中心、道县学生资助中心、道县教育事务协调服务中心、学校基础建设服务中心。</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全县有各级各类学校和幼儿园</w:t>
      </w:r>
      <w:r>
        <w:rPr>
          <w:rFonts w:hint="eastAsia" w:ascii="仿宋_GB2312" w:hAnsi="仿宋_GB2312" w:eastAsia="仿宋_GB2312" w:cs="仿宋_GB2312"/>
          <w:sz w:val="30"/>
          <w:szCs w:val="30"/>
          <w:lang w:val="en-US" w:eastAsia="zh-CN"/>
        </w:rPr>
        <w:t>306</w:t>
      </w:r>
      <w:r>
        <w:rPr>
          <w:rFonts w:hint="eastAsia" w:ascii="仿宋_GB2312" w:hAnsi="仿宋_GB2312" w:eastAsia="仿宋_GB2312" w:cs="仿宋_GB2312"/>
          <w:sz w:val="30"/>
          <w:szCs w:val="30"/>
        </w:rPr>
        <w:t>所,其中:幼儿园2</w:t>
      </w:r>
      <w:r>
        <w:rPr>
          <w:rFonts w:hint="eastAsia" w:ascii="仿宋_GB2312" w:hAnsi="仿宋_GB2312" w:eastAsia="仿宋_GB2312" w:cs="仿宋_GB2312"/>
          <w:sz w:val="30"/>
          <w:szCs w:val="30"/>
          <w:lang w:val="en-US" w:eastAsia="zh-CN"/>
        </w:rPr>
        <w:t>18</w:t>
      </w:r>
      <w:r>
        <w:rPr>
          <w:rFonts w:hint="eastAsia" w:ascii="仿宋_GB2312" w:hAnsi="仿宋_GB2312" w:eastAsia="仿宋_GB2312" w:cs="仿宋_GB2312"/>
          <w:sz w:val="30"/>
          <w:szCs w:val="30"/>
        </w:rPr>
        <w:t>所，普通高中</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所，完全中学1所，九年一贯制学校</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所，普通小学</w:t>
      </w:r>
      <w:r>
        <w:rPr>
          <w:rFonts w:hint="eastAsia" w:ascii="仿宋_GB2312" w:hAnsi="仿宋_GB2312" w:eastAsia="仿宋_GB2312" w:cs="仿宋_GB2312"/>
          <w:sz w:val="30"/>
          <w:szCs w:val="30"/>
          <w:lang w:val="en-US" w:eastAsia="zh-CN"/>
        </w:rPr>
        <w:t>45</w:t>
      </w:r>
      <w:r>
        <w:rPr>
          <w:rFonts w:hint="eastAsia" w:ascii="仿宋_GB2312" w:hAnsi="仿宋_GB2312" w:eastAsia="仿宋_GB2312" w:cs="仿宋_GB2312"/>
          <w:sz w:val="30"/>
          <w:szCs w:val="30"/>
        </w:rPr>
        <w:t>所，普通初中25所，中等职业学校、教师进修学校、特殊教育学校各1所。</w:t>
      </w:r>
      <w:r>
        <w:rPr>
          <w:rFonts w:hint="eastAsia" w:ascii="仿宋_GB2312" w:hAnsi="仿宋_GB2312" w:eastAsia="仿宋_GB2312" w:cs="仿宋_GB2312"/>
          <w:sz w:val="30"/>
          <w:szCs w:val="30"/>
          <w:lang w:eastAsia="zh-CN"/>
        </w:rPr>
        <w:t>全县在校学生</w:t>
      </w:r>
      <w:r>
        <w:rPr>
          <w:rFonts w:hint="eastAsia" w:ascii="仿宋_GB2312" w:hAnsi="仿宋_GB2312" w:eastAsia="仿宋_GB2312" w:cs="仿宋_GB2312"/>
          <w:sz w:val="30"/>
          <w:szCs w:val="30"/>
          <w:lang w:val="en-US" w:eastAsia="zh-CN"/>
        </w:rPr>
        <w:t>143780人，</w:t>
      </w:r>
      <w:r>
        <w:rPr>
          <w:rFonts w:hint="eastAsia" w:ascii="仿宋_GB2312" w:hAnsi="仿宋_GB2312" w:eastAsia="仿宋_GB2312" w:cs="仿宋_GB2312"/>
          <w:sz w:val="30"/>
          <w:szCs w:val="30"/>
        </w:rPr>
        <w:t>全县在职在编</w:t>
      </w:r>
      <w:r>
        <w:rPr>
          <w:rFonts w:hint="eastAsia" w:ascii="仿宋_GB2312" w:hAnsi="仿宋_GB2312" w:eastAsia="仿宋_GB2312" w:cs="仿宋_GB2312"/>
          <w:sz w:val="30"/>
          <w:szCs w:val="30"/>
          <w:lang w:eastAsia="zh-CN"/>
        </w:rPr>
        <w:t>教职员工</w:t>
      </w:r>
      <w:r>
        <w:rPr>
          <w:rFonts w:hint="eastAsia" w:ascii="仿宋_GB2312" w:hAnsi="仿宋_GB2312" w:eastAsia="仿宋_GB2312" w:cs="仿宋_GB2312"/>
          <w:sz w:val="30"/>
          <w:szCs w:val="30"/>
          <w:lang w:val="en-US" w:eastAsia="zh-CN"/>
        </w:rPr>
        <w:t>6009</w:t>
      </w:r>
      <w:r>
        <w:rPr>
          <w:rFonts w:hint="eastAsia" w:ascii="仿宋_GB2312" w:hAnsi="仿宋_GB2312" w:eastAsia="仿宋_GB2312" w:cs="仿宋_GB2312"/>
          <w:sz w:val="30"/>
          <w:szCs w:val="30"/>
        </w:rPr>
        <w:t>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color w:val="auto"/>
          <w:kern w:val="0"/>
          <w:sz w:val="30"/>
          <w:szCs w:val="30"/>
        </w:rPr>
        <w:t>合同制、返聘、特岗教师</w:t>
      </w:r>
      <w:r>
        <w:rPr>
          <w:rFonts w:hint="eastAsia" w:ascii="仿宋_GB2312" w:hAnsi="仿宋_GB2312" w:eastAsia="仿宋_GB2312" w:cs="仿宋_GB2312"/>
          <w:color w:val="auto"/>
          <w:kern w:val="0"/>
          <w:sz w:val="30"/>
          <w:szCs w:val="30"/>
          <w:lang w:val="en-US" w:eastAsia="zh-CN"/>
        </w:rPr>
        <w:t>1030</w:t>
      </w:r>
      <w:r>
        <w:rPr>
          <w:rFonts w:hint="eastAsia" w:ascii="仿宋_GB2312" w:hAnsi="仿宋_GB2312" w:eastAsia="仿宋_GB2312" w:cs="仿宋_GB2312"/>
          <w:color w:val="auto"/>
          <w:kern w:val="0"/>
          <w:sz w:val="30"/>
          <w:szCs w:val="30"/>
        </w:rPr>
        <w:t>人。</w:t>
      </w:r>
    </w:p>
    <w:p>
      <w:pPr>
        <w:keepNext w:val="0"/>
        <w:keepLines w:val="0"/>
        <w:pageBreakBefore w:val="0"/>
        <w:kinsoku/>
        <w:wordWrap/>
        <w:overflowPunct/>
        <w:topLinePunct w:val="0"/>
        <w:autoSpaceDE/>
        <w:autoSpaceDN/>
        <w:bidi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rPr>
        <w:t>20</w:t>
      </w:r>
      <w:r>
        <w:rPr>
          <w:rFonts w:hint="eastAsia" w:ascii="仿宋_GB2312" w:hAnsi="仿宋_GB2312" w:eastAsia="仿宋_GB2312" w:cs="仿宋_GB2312"/>
          <w:color w:val="auto"/>
          <w:kern w:val="0"/>
          <w:sz w:val="30"/>
          <w:szCs w:val="30"/>
          <w:lang w:val="en-US" w:eastAsia="zh-CN"/>
        </w:rPr>
        <w:t>21</w:t>
      </w:r>
      <w:r>
        <w:rPr>
          <w:rFonts w:hint="eastAsia" w:ascii="仿宋_GB2312" w:hAnsi="仿宋_GB2312" w:eastAsia="仿宋_GB2312" w:cs="仿宋_GB2312"/>
          <w:color w:val="auto"/>
          <w:kern w:val="0"/>
          <w:sz w:val="30"/>
          <w:szCs w:val="30"/>
        </w:rPr>
        <w:t>年</w:t>
      </w:r>
      <w:r>
        <w:rPr>
          <w:rFonts w:hint="eastAsia" w:ascii="仿宋_GB2312" w:hAnsi="仿宋_GB2312" w:eastAsia="仿宋_GB2312" w:cs="仿宋_GB2312"/>
          <w:color w:val="auto"/>
          <w:kern w:val="0"/>
          <w:sz w:val="30"/>
          <w:szCs w:val="30"/>
          <w:lang w:eastAsia="zh-CN"/>
        </w:rPr>
        <w:t>工贸学校、</w:t>
      </w:r>
      <w:r>
        <w:rPr>
          <w:rFonts w:hint="eastAsia" w:ascii="仿宋_GB2312" w:hAnsi="仿宋_GB2312" w:eastAsia="仿宋_GB2312" w:cs="仿宋_GB2312"/>
          <w:color w:val="auto"/>
          <w:kern w:val="0"/>
          <w:sz w:val="30"/>
          <w:szCs w:val="30"/>
        </w:rPr>
        <w:t>一中、二中、五中</w:t>
      </w:r>
      <w:r>
        <w:rPr>
          <w:rFonts w:hint="eastAsia" w:ascii="仿宋_GB2312" w:hAnsi="仿宋_GB2312" w:eastAsia="仿宋_GB2312" w:cs="仿宋_GB2312"/>
          <w:color w:val="auto"/>
          <w:kern w:val="0"/>
          <w:sz w:val="30"/>
          <w:szCs w:val="30"/>
          <w:lang w:eastAsia="zh-CN"/>
        </w:rPr>
        <w:t>、进修学校</w:t>
      </w:r>
      <w:r>
        <w:rPr>
          <w:rFonts w:hint="eastAsia" w:ascii="仿宋_GB2312" w:hAnsi="仿宋_GB2312" w:eastAsia="仿宋_GB2312" w:cs="仿宋_GB2312"/>
          <w:color w:val="auto"/>
          <w:kern w:val="0"/>
          <w:sz w:val="30"/>
          <w:szCs w:val="30"/>
        </w:rPr>
        <w:t>为一级预算单位，计财股预算编制范围为除上述五个单位外的其他道县教育部门办的各级各类学校。退休教师</w:t>
      </w:r>
      <w:r>
        <w:rPr>
          <w:rFonts w:hint="eastAsia" w:ascii="仿宋_GB2312" w:hAnsi="仿宋_GB2312" w:eastAsia="仿宋_GB2312" w:cs="仿宋_GB2312"/>
          <w:color w:val="auto"/>
          <w:kern w:val="0"/>
          <w:sz w:val="30"/>
          <w:szCs w:val="30"/>
          <w:lang w:eastAsia="zh-CN"/>
        </w:rPr>
        <w:t>退休金</w:t>
      </w:r>
      <w:r>
        <w:rPr>
          <w:rFonts w:hint="eastAsia" w:ascii="仿宋_GB2312" w:hAnsi="仿宋_GB2312" w:eastAsia="仿宋_GB2312" w:cs="仿宋_GB2312"/>
          <w:color w:val="auto"/>
          <w:kern w:val="0"/>
          <w:sz w:val="30"/>
          <w:szCs w:val="30"/>
        </w:rPr>
        <w:t>已由人社局发放，</w:t>
      </w:r>
      <w:r>
        <w:rPr>
          <w:rFonts w:hint="eastAsia" w:ascii="仿宋_GB2312" w:hAnsi="仿宋_GB2312" w:eastAsia="仿宋_GB2312" w:cs="仿宋_GB2312"/>
          <w:color w:val="auto"/>
          <w:kern w:val="0"/>
          <w:sz w:val="30"/>
          <w:szCs w:val="30"/>
          <w:highlight w:val="none"/>
        </w:rPr>
        <w:t>经费不在教育的决算中填报。</w:t>
      </w:r>
    </w:p>
    <w:p>
      <w:pPr>
        <w:numPr>
          <w:ilvl w:val="0"/>
          <w:numId w:val="0"/>
        </w:numPr>
        <w:adjustRightInd w:val="0"/>
        <w:snapToGrid w:val="0"/>
        <w:spacing w:line="600" w:lineRule="exact"/>
        <w:ind w:firstLine="600" w:firstLineChars="200"/>
        <w:rPr>
          <w:rFonts w:hint="eastAsia"/>
          <w:lang w:eastAsia="zh-CN"/>
        </w:rPr>
      </w:pPr>
      <w:r>
        <w:rPr>
          <w:rFonts w:hint="eastAsia" w:ascii="仿宋_GB2312" w:hAnsi="仿宋_GB2312" w:eastAsia="仿宋_GB2312" w:cs="仿宋_GB2312"/>
          <w:color w:val="auto"/>
          <w:sz w:val="30"/>
          <w:szCs w:val="30"/>
          <w:lang w:eastAsia="zh-CN"/>
        </w:rPr>
        <w:t>（二）部门年度整体支出绩效目标</w:t>
      </w:r>
    </w:p>
    <w:p>
      <w:pPr>
        <w:numPr>
          <w:ilvl w:val="0"/>
          <w:numId w:val="1"/>
        </w:numPr>
        <w:adjustRightInd w:val="0"/>
        <w:snapToGrid w:val="0"/>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年度总体目标</w:t>
      </w:r>
    </w:p>
    <w:p>
      <w:pPr>
        <w:numPr>
          <w:ilvl w:val="0"/>
          <w:numId w:val="0"/>
        </w:numPr>
        <w:adjustRightInd w:val="0"/>
        <w:snapToGrid w:val="0"/>
        <w:spacing w:line="600" w:lineRule="exact"/>
        <w:ind w:left="596" w:leftChars="284" w:firstLine="0" w:firstLineChars="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目标1：保障本单位和学校人员工资及经费正常运转。                                                    目标2：进一步规范财务管理，严格执行财务制度。                                                                                              目标3：改善和优化学校的办学条件，加快学校信息化建设，优化教育布局。                                    </w:t>
      </w:r>
    </w:p>
    <w:p>
      <w:pPr>
        <w:numPr>
          <w:ilvl w:val="0"/>
          <w:numId w:val="0"/>
        </w:numPr>
        <w:adjustRightInd w:val="0"/>
        <w:snapToGrid w:val="0"/>
        <w:spacing w:line="600" w:lineRule="exact"/>
        <w:ind w:left="596" w:leftChars="284" w:firstLine="0" w:firstLineChars="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目标</w:t>
      </w:r>
      <w:r>
        <w:rPr>
          <w:rFonts w:hint="eastAsia" w:ascii="仿宋_GB2312" w:hAnsi="仿宋_GB2312" w:eastAsia="仿宋_GB2312" w:cs="仿宋_GB2312"/>
          <w:color w:val="auto"/>
          <w:sz w:val="30"/>
          <w:szCs w:val="30"/>
        </w:rPr>
        <w:t>4</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强化质量攻坚主观能动性，提升教育质量。</w:t>
      </w:r>
    </w:p>
    <w:p>
      <w:pPr>
        <w:adjustRightInd w:val="0"/>
        <w:snapToGrid w:val="0"/>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部门整体支出规模、使用方向和主要内容、涉及范围</w:t>
      </w: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shd w:val="clear" w:color="auto" w:fill="FFFFFF"/>
        </w:rPr>
        <w:t>20</w:t>
      </w:r>
      <w:r>
        <w:rPr>
          <w:rFonts w:hint="eastAsia" w:ascii="仿宋_GB2312" w:hAnsi="仿宋_GB2312" w:eastAsia="仿宋_GB2312" w:cs="仿宋_GB2312"/>
          <w:color w:val="auto"/>
          <w:sz w:val="30"/>
          <w:szCs w:val="30"/>
          <w:shd w:val="clear" w:color="auto" w:fill="FFFFFF"/>
          <w:lang w:val="en-US" w:eastAsia="zh-CN"/>
        </w:rPr>
        <w:t>21</w:t>
      </w:r>
      <w:r>
        <w:rPr>
          <w:rFonts w:hint="eastAsia" w:ascii="仿宋_GB2312" w:hAnsi="仿宋_GB2312" w:eastAsia="仿宋_GB2312" w:cs="仿宋_GB2312"/>
          <w:color w:val="auto"/>
          <w:sz w:val="30"/>
          <w:szCs w:val="30"/>
          <w:shd w:val="clear" w:color="auto" w:fill="FFFFFF"/>
        </w:rPr>
        <w:t>年教育系统（除工贸学校一中二中</w:t>
      </w:r>
      <w:r>
        <w:rPr>
          <w:rFonts w:hint="eastAsia" w:ascii="仿宋_GB2312" w:hAnsi="仿宋_GB2312" w:eastAsia="仿宋_GB2312" w:cs="仿宋_GB2312"/>
          <w:color w:val="auto"/>
          <w:sz w:val="30"/>
          <w:szCs w:val="30"/>
          <w:shd w:val="clear" w:color="auto" w:fill="FFFFFF"/>
          <w:lang w:eastAsia="zh-CN"/>
        </w:rPr>
        <w:t>五中进修学校</w:t>
      </w:r>
      <w:r>
        <w:rPr>
          <w:rFonts w:hint="eastAsia" w:ascii="仿宋_GB2312" w:hAnsi="仿宋_GB2312" w:eastAsia="仿宋_GB2312" w:cs="仿宋_GB2312"/>
          <w:color w:val="auto"/>
          <w:sz w:val="30"/>
          <w:szCs w:val="30"/>
          <w:shd w:val="clear" w:color="auto" w:fill="FFFFFF"/>
        </w:rPr>
        <w:t>）</w:t>
      </w:r>
      <w:r>
        <w:rPr>
          <w:rFonts w:hint="eastAsia" w:ascii="仿宋_GB2312" w:hAnsi="仿宋_GB2312" w:eastAsia="仿宋_GB2312" w:cs="仿宋_GB2312"/>
          <w:color w:val="auto"/>
          <w:sz w:val="30"/>
          <w:szCs w:val="30"/>
          <w:shd w:val="clear" w:color="auto" w:fill="FFFFFF"/>
          <w:lang w:eastAsia="zh-CN"/>
        </w:rPr>
        <w:t>整体</w:t>
      </w:r>
      <w:r>
        <w:rPr>
          <w:rFonts w:hint="eastAsia" w:ascii="仿宋_GB2312" w:hAnsi="仿宋_GB2312" w:eastAsia="仿宋_GB2312" w:cs="仿宋_GB2312"/>
          <w:color w:val="auto"/>
          <w:sz w:val="30"/>
          <w:szCs w:val="30"/>
          <w:shd w:val="clear" w:color="auto" w:fill="FFFFFF"/>
        </w:rPr>
        <w:t>支出资金构成：</w:t>
      </w:r>
    </w:p>
    <w:p>
      <w:pPr>
        <w:snapToGrid w:val="0"/>
        <w:spacing w:line="520" w:lineRule="exact"/>
        <w:ind w:firstLine="6900" w:firstLineChars="23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单位：万元</w:t>
      </w:r>
    </w:p>
    <w:tbl>
      <w:tblPr>
        <w:tblStyle w:val="8"/>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62"/>
        <w:gridCol w:w="1311"/>
        <w:gridCol w:w="1228"/>
        <w:gridCol w:w="1206"/>
        <w:gridCol w:w="986"/>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    标</w:t>
            </w:r>
          </w:p>
        </w:tc>
        <w:tc>
          <w:tcPr>
            <w:tcW w:w="131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2021</w:t>
            </w:r>
            <w:r>
              <w:rPr>
                <w:rFonts w:hint="eastAsia" w:ascii="宋体" w:hAnsi="宋体" w:eastAsia="宋体" w:cs="宋体"/>
                <w:i w:val="0"/>
                <w:iCs w:val="0"/>
                <w:color w:val="000000"/>
                <w:kern w:val="0"/>
                <w:sz w:val="22"/>
                <w:szCs w:val="22"/>
                <w:u w:val="none"/>
                <w:lang w:val="en-US" w:eastAsia="zh-CN" w:bidi="ar"/>
              </w:rPr>
              <w:t>年度</w:t>
            </w:r>
          </w:p>
        </w:tc>
        <w:tc>
          <w:tcPr>
            <w:tcW w:w="12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2020</w:t>
            </w:r>
            <w:r>
              <w:rPr>
                <w:rFonts w:hint="eastAsia" w:ascii="宋体" w:hAnsi="宋体" w:eastAsia="宋体" w:cs="宋体"/>
                <w:i w:val="0"/>
                <w:iCs w:val="0"/>
                <w:color w:val="000000"/>
                <w:kern w:val="0"/>
                <w:sz w:val="22"/>
                <w:szCs w:val="22"/>
                <w:u w:val="none"/>
                <w:lang w:val="en-US" w:eastAsia="zh-CN" w:bidi="ar"/>
              </w:rPr>
              <w:t>年度</w:t>
            </w:r>
          </w:p>
        </w:tc>
        <w:tc>
          <w:tcPr>
            <w:tcW w:w="12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比上年增减</w:t>
            </w:r>
          </w:p>
        </w:tc>
        <w:tc>
          <w:tcPr>
            <w:tcW w:w="98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增减％</w:t>
            </w:r>
          </w:p>
        </w:tc>
        <w:tc>
          <w:tcPr>
            <w:tcW w:w="1682" w:type="dxa"/>
            <w:vMerge w:val="restart"/>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2"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栏    次 </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一、年度收支情况（单位：元）</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1.本年收入</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821911631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4.6</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人员经费、生平均公用经费增长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其中：一般公共预算财政拨款</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819511631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783981348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33780283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4.3</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人员经费、生平均公用经费增长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-150000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2021年无政府性基金预算财政拨款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*事业收入</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2400000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1600000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学前教育保育费收入增加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2.本年支出</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819511631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33780283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其中：基本支出</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718619431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686734048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31885383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4.64</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（1）人员经费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546581618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545165468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1416150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0.03</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（2）公用经费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172037813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141568580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30469233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生平均公用经费增长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项目支出</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103292200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98997300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4294900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其中：基本建设类项目</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103292200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141568580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-38276380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-27.04</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化解大班额工作已经完成，上级及本级用于化解大班额的资金减少，新建的西洲芙蓉学校、谷源学校已经投入使用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二、年末资产负债信息（单位：元）</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1.货币资金</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2.财政应返还额度</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3.房屋</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567016899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494381287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72635612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学校新建校舍等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4.车辆</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5.在建工程</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6.借款</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7.应缴财政款</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8.应付职工薪酬</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三、年末机构人员情况（单位：个、人）</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1.独立编制机构数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学校数增加（增加4个公办幼儿园，2个小学,减少1个独立预决算学校）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2.独立核算机构数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学校数增加（增加4个公办幼儿园，2个小学,减少1个独立预决算学校）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3.年末实有人数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5322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5301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0.004</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新招聘教师增加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在职人员</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5322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5301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0.004</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新招聘教师增加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其中：行政人员</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-46.15</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调出人员大于新调入人员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非参公事业人员</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5315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5288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0.005</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新招聘教师增加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离休人员</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退休人员</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4.年末其他人员数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945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621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324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合同制教师增加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5.年末学生人数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123756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126111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-2355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学生人数减少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四、补充资料（单位：元）</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1.固定资产情况</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房屋面积（平方米）</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973338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951097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22241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车辆数量（辆）</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2.“三公”经费支出</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1932700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1951575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-18875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其中：因公出国（境）费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公务用车购置及运行维护费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65700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69000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-3300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其中：公务用车购置费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65700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69000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-3300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1867000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1882575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-15575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3.培训费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11478620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10912694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565926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4.会议费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789500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808837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-19337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5.机关运行经费</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6.年初预算数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本年收入合计</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821911631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4.6</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本年支出合计</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821911631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7.调整预算数</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本年收入合计</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821911631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本年支出合计</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821911631 </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785731348 </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36180283 </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82" w:type="dxa"/>
            <w:tcBorders>
              <w:top w:val="nil"/>
              <w:left w:val="nil"/>
              <w:bottom w:val="single" w:color="000000" w:sz="4"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2" w:type="dxa"/>
            <w:tcBorders>
              <w:top w:val="nil"/>
              <w:left w:val="single" w:color="000000" w:sz="4"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w:t>
            </w:r>
          </w:p>
        </w:tc>
        <w:tc>
          <w:tcPr>
            <w:tcW w:w="1311"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2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6"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86"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2" w:type="dxa"/>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bl>
    <w:p>
      <w:pPr>
        <w:adjustRightInd w:val="0"/>
        <w:snapToGrid w:val="0"/>
        <w:spacing w:line="600" w:lineRule="exact"/>
        <w:rPr>
          <w:rFonts w:hint="eastAsia" w:ascii="仿宋_GB2312" w:hAnsi="仿宋_GB2312" w:eastAsia="仿宋_GB2312" w:cs="仿宋_GB2312"/>
          <w:color w:val="000000" w:themeColor="text1"/>
          <w:sz w:val="10"/>
          <w:szCs w:val="10"/>
          <w:shd w:val="clear" w:color="auto" w:fill="FFFFFF"/>
        </w:rPr>
      </w:pPr>
    </w:p>
    <w:p>
      <w:pPr>
        <w:adjustRightInd w:val="0"/>
        <w:snapToGrid w:val="0"/>
        <w:spacing w:line="600" w:lineRule="exact"/>
        <w:ind w:firstLine="602" w:firstLineChars="200"/>
        <w:rPr>
          <w:rFonts w:hint="eastAsia" w:ascii="仿宋_GB2312" w:hAnsi="仿宋_GB2312" w:eastAsia="仿宋_GB2312" w:cs="仿宋_GB2312"/>
          <w:b/>
          <w:bCs/>
          <w:color w:val="000000" w:themeColor="text1"/>
          <w:sz w:val="30"/>
          <w:szCs w:val="30"/>
          <w:shd w:val="clear" w:color="auto" w:fill="FFFFFF"/>
        </w:rPr>
      </w:pPr>
      <w:r>
        <w:rPr>
          <w:rFonts w:hint="eastAsia" w:ascii="仿宋_GB2312" w:hAnsi="仿宋_GB2312" w:eastAsia="仿宋_GB2312" w:cs="仿宋_GB2312"/>
          <w:b/>
          <w:bCs/>
          <w:color w:val="000000" w:themeColor="text1"/>
          <w:sz w:val="30"/>
          <w:szCs w:val="30"/>
          <w:shd w:val="clear" w:color="auto" w:fill="FFFFFF"/>
        </w:rPr>
        <w:t>二、一般公共预算支出情况</w:t>
      </w:r>
    </w:p>
    <w:p>
      <w:pPr>
        <w:snapToGrid w:val="0"/>
        <w:spacing w:line="520" w:lineRule="exact"/>
        <w:ind w:firstLine="600" w:firstLineChars="200"/>
        <w:rPr>
          <w:rFonts w:hint="eastAsia" w:ascii="仿宋_GB2312" w:hAnsi="仿宋_GB2312" w:eastAsia="仿宋_GB2312" w:cs="仿宋_GB2312"/>
          <w:color w:val="000000" w:themeColor="text1"/>
          <w:sz w:val="30"/>
          <w:szCs w:val="30"/>
          <w:shd w:val="clear" w:color="auto" w:fill="FFFFFF"/>
          <w:lang w:eastAsia="zh-CN"/>
        </w:rPr>
      </w:pPr>
      <w:r>
        <w:rPr>
          <w:rFonts w:hint="eastAsia" w:ascii="仿宋_GB2312" w:hAnsi="仿宋_GB2312" w:eastAsia="仿宋_GB2312" w:cs="仿宋_GB2312"/>
          <w:color w:val="000000" w:themeColor="text1"/>
          <w:sz w:val="30"/>
          <w:szCs w:val="30"/>
          <w:shd w:val="clear" w:color="auto" w:fill="FFFFFF"/>
          <w:lang w:eastAsia="zh-CN"/>
        </w:rPr>
        <w:t>（一）基本支出和项目支出情况</w:t>
      </w:r>
    </w:p>
    <w:p>
      <w:pPr>
        <w:snapToGrid w:val="0"/>
        <w:spacing w:line="520" w:lineRule="exact"/>
        <w:ind w:firstLine="6300" w:firstLineChars="21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单位：万元</w:t>
      </w:r>
    </w:p>
    <w:tbl>
      <w:tblPr>
        <w:tblStyle w:val="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7"/>
        <w:gridCol w:w="1974"/>
        <w:gridCol w:w="1755"/>
        <w:gridCol w:w="1755"/>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055" w:type="dxa"/>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项目 </w:t>
            </w:r>
          </w:p>
        </w:tc>
        <w:tc>
          <w:tcPr>
            <w:tcW w:w="5257" w:type="dxa"/>
            <w:gridSpan w:val="3"/>
            <w:tcBorders>
              <w:top w:val="single" w:color="666666" w:sz="6" w:space="0"/>
              <w:left w:val="nil"/>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cs="宋体"/>
                <w:kern w:val="0"/>
                <w:sz w:val="22"/>
                <w:szCs w:val="22"/>
                <w:lang w:val="en-US" w:eastAsia="zh-CN"/>
              </w:rPr>
              <w:t>2021</w:t>
            </w:r>
            <w:r>
              <w:rPr>
                <w:rFonts w:hint="eastAsia" w:ascii="宋体" w:hAnsi="宋体" w:eastAsia="宋体" w:cs="宋体"/>
                <w:kern w:val="0"/>
                <w:sz w:val="22"/>
                <w:szCs w:val="22"/>
              </w:rPr>
              <w:t xml:space="preserve">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jc w:val="center"/>
        </w:trPr>
        <w:tc>
          <w:tcPr>
            <w:tcW w:w="1085" w:type="dxa"/>
            <w:vMerge w:val="restart"/>
            <w:tcBorders>
              <w:top w:val="nil"/>
              <w:left w:val="single" w:color="666666" w:sz="6" w:space="0"/>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功能分类科目编码 </w:t>
            </w:r>
          </w:p>
        </w:tc>
        <w:tc>
          <w:tcPr>
            <w:tcW w:w="1970" w:type="dxa"/>
            <w:vMerge w:val="restart"/>
            <w:tcBorders>
              <w:top w:val="nil"/>
              <w:left w:val="nil"/>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科目名称 </w:t>
            </w:r>
          </w:p>
        </w:tc>
        <w:tc>
          <w:tcPr>
            <w:tcW w:w="1752" w:type="dxa"/>
            <w:vMerge w:val="restart"/>
            <w:tcBorders>
              <w:top w:val="single" w:color="666666" w:sz="6" w:space="0"/>
              <w:left w:val="nil"/>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小计 </w:t>
            </w:r>
          </w:p>
        </w:tc>
        <w:tc>
          <w:tcPr>
            <w:tcW w:w="1752" w:type="dxa"/>
            <w:vMerge w:val="restart"/>
            <w:tcBorders>
              <w:top w:val="single" w:color="666666" w:sz="6" w:space="0"/>
              <w:left w:val="nil"/>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基本支出 </w:t>
            </w:r>
          </w:p>
        </w:tc>
        <w:tc>
          <w:tcPr>
            <w:tcW w:w="1753" w:type="dxa"/>
            <w:vMerge w:val="restart"/>
            <w:tcBorders>
              <w:top w:val="single" w:color="666666" w:sz="6" w:space="0"/>
              <w:left w:val="nil"/>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jc w:val="center"/>
        </w:trPr>
        <w:tc>
          <w:tcPr>
            <w:tcW w:w="1085" w:type="dxa"/>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970"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3"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jc w:val="center"/>
        </w:trPr>
        <w:tc>
          <w:tcPr>
            <w:tcW w:w="1085" w:type="dxa"/>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970"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53"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055" w:type="dxa"/>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栏次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1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2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055" w:type="dxa"/>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jc w:val="center"/>
              <w:rPr>
                <w:rFonts w:hint="eastAsia" w:ascii="宋体" w:hAnsi="宋体" w:eastAsia="宋体" w:cs="宋体"/>
                <w:kern w:val="0"/>
                <w:sz w:val="22"/>
                <w:szCs w:val="22"/>
              </w:rPr>
            </w:pPr>
            <w:r>
              <w:rPr>
                <w:rFonts w:hint="eastAsia" w:ascii="宋体" w:hAnsi="宋体" w:eastAsia="宋体" w:cs="宋体"/>
                <w:kern w:val="0"/>
                <w:sz w:val="22"/>
                <w:szCs w:val="22"/>
              </w:rPr>
              <w:t xml:space="preserve">合计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b/>
                <w:bCs/>
                <w:kern w:val="0"/>
                <w:sz w:val="22"/>
                <w:szCs w:val="22"/>
              </w:rPr>
            </w:pPr>
            <w:r>
              <w:rPr>
                <w:rFonts w:hint="eastAsia" w:ascii="宋体" w:hAnsi="宋体" w:eastAsia="宋体" w:cs="宋体"/>
                <w:b/>
                <w:bCs/>
                <w:kern w:val="0"/>
                <w:sz w:val="22"/>
                <w:szCs w:val="22"/>
              </w:rPr>
              <w:t xml:space="preserve">81951.16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b/>
                <w:bCs/>
                <w:kern w:val="0"/>
                <w:sz w:val="22"/>
                <w:szCs w:val="22"/>
              </w:rPr>
            </w:pPr>
            <w:r>
              <w:rPr>
                <w:rFonts w:hint="eastAsia" w:ascii="宋体" w:hAnsi="宋体" w:eastAsia="宋体" w:cs="宋体"/>
                <w:b/>
                <w:bCs/>
                <w:kern w:val="0"/>
                <w:sz w:val="22"/>
                <w:szCs w:val="22"/>
              </w:rPr>
              <w:t xml:space="preserve">71621.94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b/>
                <w:bCs/>
                <w:kern w:val="0"/>
                <w:sz w:val="22"/>
                <w:szCs w:val="22"/>
              </w:rPr>
            </w:pPr>
            <w:r>
              <w:rPr>
                <w:rFonts w:hint="eastAsia" w:ascii="宋体" w:hAnsi="宋体" w:eastAsia="宋体" w:cs="宋体"/>
                <w:b/>
                <w:bCs/>
                <w:kern w:val="0"/>
                <w:sz w:val="22"/>
                <w:szCs w:val="22"/>
              </w:rPr>
              <w:t xml:space="preserve">10329.22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教育支出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77111.02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66781.80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b/>
                <w:bCs/>
                <w:kern w:val="0"/>
                <w:sz w:val="22"/>
                <w:szCs w:val="22"/>
              </w:rPr>
              <w:t>10329.2</w:t>
            </w:r>
            <w:r>
              <w:rPr>
                <w:rFonts w:hint="eastAsia" w:ascii="宋体" w:hAnsi="宋体" w:eastAsia="宋体" w:cs="宋体"/>
                <w:kern w:val="0"/>
                <w:sz w:val="22"/>
                <w:szCs w:val="22"/>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教育管理事务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1719.00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1719.000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2050101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行政运行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1369.00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1369.00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2050199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其他教育管理事务支出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350.00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350.00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20502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普通教育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72365.40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63854.29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8511.11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2050201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学前教育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2006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1582.00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424.00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2050202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小学教育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38748.00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34275.04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4472.96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2050203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初中教育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26180.38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22566.23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3614.15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2050204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高中教育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177.02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177.02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2050299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其他普通教育支出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5254.00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5254.00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20507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特殊教育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117.00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117.00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2050701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特殊学校教育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117.00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117.00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20508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进修及培训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1091.52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1091.52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2050801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教师进修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841.52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841.52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2050803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培训支出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250.00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250.00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20509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教育费附加安排的支出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1818.10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1818.10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2050901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农村中小学校舍建设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630.00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630.00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2050903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城市中小学校舍建设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11881.10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11881.10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208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社会保障和就业支出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1148.17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1148.17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20808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抚恤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1148.17</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1148.17</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2080801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死亡抚恤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1148.17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1148.17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221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住房保障支出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22102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住房改革支出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2210201 </w:t>
            </w:r>
          </w:p>
        </w:tc>
        <w:tc>
          <w:tcPr>
            <w:tcW w:w="1970" w:type="dxa"/>
            <w:tcBorders>
              <w:top w:val="single" w:color="666666" w:sz="6" w:space="0"/>
              <w:left w:val="nil"/>
              <w:bottom w:val="single" w:color="666666" w:sz="6" w:space="0"/>
              <w:right w:val="single" w:color="666666" w:sz="6" w:space="0"/>
            </w:tcBorders>
            <w:shd w:val="clear" w:color="auto" w:fill="auto"/>
            <w:vAlign w:val="center"/>
          </w:tcPr>
          <w:p>
            <w:pPr>
              <w:pStyle w:val="24"/>
              <w:rPr>
                <w:rFonts w:hint="eastAsia" w:ascii="宋体" w:hAnsi="宋体" w:eastAsia="宋体" w:cs="宋体"/>
                <w:kern w:val="0"/>
                <w:sz w:val="22"/>
                <w:szCs w:val="22"/>
              </w:rPr>
            </w:pPr>
            <w:r>
              <w:rPr>
                <w:rFonts w:hint="eastAsia" w:ascii="宋体" w:hAnsi="宋体" w:eastAsia="宋体" w:cs="宋体"/>
                <w:kern w:val="0"/>
                <w:sz w:val="22"/>
                <w:szCs w:val="22"/>
              </w:rPr>
              <w:t xml:space="preserve">住房公积金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2"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3691.97 </w:t>
            </w:r>
          </w:p>
        </w:tc>
        <w:tc>
          <w:tcPr>
            <w:tcW w:w="1753" w:type="dxa"/>
            <w:tcBorders>
              <w:top w:val="single" w:color="666666" w:sz="6" w:space="0"/>
              <w:left w:val="nil"/>
              <w:bottom w:val="single" w:color="666666" w:sz="6" w:space="0"/>
              <w:right w:val="single" w:color="666666" w:sz="6" w:space="0"/>
            </w:tcBorders>
            <w:shd w:val="clear" w:color="auto" w:fill="auto"/>
            <w:vAlign w:val="center"/>
          </w:tcPr>
          <w:p>
            <w:pPr>
              <w:pStyle w:val="24"/>
              <w:ind w:left="0" w:leftChars="0" w:right="0" w:rightChars="0"/>
              <w:jc w:val="right"/>
              <w:rPr>
                <w:rFonts w:hint="eastAsia" w:ascii="宋体" w:hAnsi="宋体" w:eastAsia="宋体" w:cs="宋体"/>
                <w:kern w:val="0"/>
                <w:sz w:val="22"/>
                <w:szCs w:val="22"/>
              </w:rPr>
            </w:pPr>
            <w:r>
              <w:rPr>
                <w:rFonts w:hint="eastAsia" w:ascii="宋体" w:hAnsi="宋体" w:eastAsia="宋体" w:cs="宋体"/>
                <w:kern w:val="0"/>
                <w:sz w:val="22"/>
                <w:szCs w:val="22"/>
              </w:rPr>
              <w:t xml:space="preserve">0.00 </w:t>
            </w:r>
          </w:p>
        </w:tc>
      </w:tr>
    </w:tbl>
    <w:p>
      <w:pPr>
        <w:pStyle w:val="2"/>
        <w:rPr>
          <w:rFonts w:hint="eastAsia"/>
        </w:rPr>
      </w:pPr>
    </w:p>
    <w:p>
      <w:pPr>
        <w:snapToGrid w:val="0"/>
        <w:spacing w:line="520" w:lineRule="exact"/>
        <w:ind w:firstLine="600" w:firstLineChars="200"/>
        <w:rPr>
          <w:rFonts w:hint="eastAsia" w:ascii="仿宋_GB2312" w:hAnsi="仿宋_GB2312" w:eastAsia="仿宋_GB2312" w:cs="仿宋_GB2312"/>
          <w:color w:val="000000" w:themeColor="text1"/>
          <w:sz w:val="30"/>
          <w:szCs w:val="30"/>
          <w:shd w:val="clear" w:color="auto" w:fill="FFFFFF"/>
        </w:rPr>
      </w:pPr>
      <w:r>
        <w:rPr>
          <w:rFonts w:hint="eastAsia" w:ascii="仿宋_GB2312" w:hAnsi="仿宋_GB2312" w:eastAsia="仿宋_GB2312" w:cs="仿宋_GB2312"/>
          <w:color w:val="000000" w:themeColor="text1"/>
          <w:sz w:val="30"/>
          <w:szCs w:val="30"/>
          <w:shd w:val="clear" w:color="auto" w:fill="FFFFFF"/>
          <w:lang w:eastAsia="zh-CN"/>
        </w:rPr>
        <w:t>（二）</w:t>
      </w:r>
      <w:r>
        <w:rPr>
          <w:rFonts w:hint="eastAsia" w:ascii="仿宋_GB2312" w:hAnsi="仿宋_GB2312" w:eastAsia="仿宋_GB2312" w:cs="仿宋_GB2312"/>
          <w:color w:val="000000" w:themeColor="text1"/>
          <w:sz w:val="30"/>
          <w:szCs w:val="30"/>
          <w:shd w:val="clear" w:color="auto" w:fill="FFFFFF"/>
        </w:rPr>
        <w:t>20</w:t>
      </w:r>
      <w:r>
        <w:rPr>
          <w:rFonts w:hint="eastAsia" w:ascii="仿宋_GB2312" w:hAnsi="仿宋_GB2312" w:eastAsia="仿宋_GB2312" w:cs="仿宋_GB2312"/>
          <w:color w:val="000000" w:themeColor="text1"/>
          <w:sz w:val="30"/>
          <w:szCs w:val="30"/>
          <w:shd w:val="clear" w:color="auto" w:fill="FFFFFF"/>
          <w:lang w:val="en-US" w:eastAsia="zh-CN"/>
        </w:rPr>
        <w:t>21</w:t>
      </w:r>
      <w:r>
        <w:rPr>
          <w:rFonts w:hint="eastAsia" w:ascii="仿宋_GB2312" w:hAnsi="仿宋_GB2312" w:eastAsia="仿宋_GB2312" w:cs="仿宋_GB2312"/>
          <w:color w:val="000000" w:themeColor="text1"/>
          <w:sz w:val="30"/>
          <w:szCs w:val="30"/>
          <w:shd w:val="clear" w:color="auto" w:fill="FFFFFF"/>
        </w:rPr>
        <w:t>年“三公”经费、培训费、会议费经费支出情况</w:t>
      </w:r>
    </w:p>
    <w:p>
      <w:pPr>
        <w:snapToGrid w:val="0"/>
        <w:spacing w:line="520" w:lineRule="exact"/>
        <w:ind w:firstLine="6600" w:firstLineChars="2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单位：万元</w:t>
      </w:r>
    </w:p>
    <w:tbl>
      <w:tblPr>
        <w:tblStyle w:val="8"/>
        <w:tblW w:w="7875" w:type="dxa"/>
        <w:tblInd w:w="339" w:type="dxa"/>
        <w:tblLayout w:type="autofit"/>
        <w:tblCellMar>
          <w:top w:w="0" w:type="dxa"/>
          <w:left w:w="0" w:type="dxa"/>
          <w:bottom w:w="0" w:type="dxa"/>
          <w:right w:w="0" w:type="dxa"/>
        </w:tblCellMar>
      </w:tblPr>
      <w:tblGrid>
        <w:gridCol w:w="2046"/>
        <w:gridCol w:w="1080"/>
        <w:gridCol w:w="1080"/>
        <w:gridCol w:w="1080"/>
        <w:gridCol w:w="2589"/>
      </w:tblGrid>
      <w:tr>
        <w:tblPrEx>
          <w:tblCellMar>
            <w:top w:w="0" w:type="dxa"/>
            <w:left w:w="0" w:type="dxa"/>
            <w:bottom w:w="0" w:type="dxa"/>
            <w:right w:w="0" w:type="dxa"/>
          </w:tblCellMar>
        </w:tblPrEx>
        <w:trPr>
          <w:trHeight w:val="560" w:hRule="atLeast"/>
        </w:trPr>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内容</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2020年</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2021年</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增减%</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变动原因</w:t>
            </w:r>
          </w:p>
        </w:tc>
      </w:tr>
      <w:tr>
        <w:tblPrEx>
          <w:tblCellMar>
            <w:top w:w="0" w:type="dxa"/>
            <w:left w:w="0" w:type="dxa"/>
            <w:bottom w:w="0" w:type="dxa"/>
            <w:right w:w="0" w:type="dxa"/>
          </w:tblCellMar>
        </w:tblPrEx>
        <w:trPr>
          <w:trHeight w:val="560" w:hRule="atLeast"/>
        </w:trPr>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公务用车运行维护费</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6.57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单位租车费增多</w:t>
            </w:r>
          </w:p>
        </w:tc>
      </w:tr>
      <w:tr>
        <w:tblPrEx>
          <w:tblCellMar>
            <w:top w:w="0" w:type="dxa"/>
            <w:left w:w="0" w:type="dxa"/>
            <w:bottom w:w="0" w:type="dxa"/>
            <w:right w:w="0" w:type="dxa"/>
          </w:tblCellMar>
        </w:tblPrEx>
        <w:trPr>
          <w:trHeight w:val="560" w:hRule="atLeast"/>
        </w:trPr>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公务接待费</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188.26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186.7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4"/>
                <w:szCs w:val="24"/>
                <w:u w:val="none"/>
                <w:lang w:val="en-US" w:eastAsia="zh-CN" w:bidi="ar"/>
              </w:rPr>
              <w:t>同城不接待，缩减开支</w:t>
            </w:r>
          </w:p>
        </w:tc>
      </w:tr>
      <w:tr>
        <w:tblPrEx>
          <w:tblCellMar>
            <w:top w:w="0" w:type="dxa"/>
            <w:left w:w="0" w:type="dxa"/>
            <w:bottom w:w="0" w:type="dxa"/>
            <w:right w:w="0" w:type="dxa"/>
          </w:tblCellMar>
        </w:tblPrEx>
        <w:trPr>
          <w:trHeight w:val="560" w:hRule="atLeast"/>
        </w:trPr>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培训费</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1091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1147.86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5.2</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4"/>
                <w:szCs w:val="24"/>
                <w:u w:val="none"/>
                <w:lang w:val="en-US" w:eastAsia="zh-CN" w:bidi="ar"/>
              </w:rPr>
              <w:t>公用经费提标，培训费增多</w:t>
            </w:r>
          </w:p>
        </w:tc>
      </w:tr>
      <w:tr>
        <w:tblPrEx>
          <w:tblCellMar>
            <w:top w:w="0" w:type="dxa"/>
            <w:left w:w="0" w:type="dxa"/>
            <w:bottom w:w="0" w:type="dxa"/>
            <w:right w:w="0" w:type="dxa"/>
          </w:tblCellMar>
        </w:tblPrEx>
        <w:trPr>
          <w:trHeight w:val="560" w:hRule="atLeast"/>
        </w:trPr>
        <w:tc>
          <w:tcPr>
            <w:tcW w:w="2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会议费</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80.9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78.95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-0.2</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缩减开支</w:t>
            </w:r>
          </w:p>
        </w:tc>
      </w:tr>
    </w:tbl>
    <w:p>
      <w:pPr>
        <w:adjustRightInd w:val="0"/>
        <w:snapToGrid w:val="0"/>
        <w:spacing w:line="600" w:lineRule="exact"/>
        <w:rPr>
          <w:rFonts w:hint="eastAsia" w:ascii="仿宋_GB2312" w:hAnsi="仿宋_GB2312" w:eastAsia="仿宋_GB2312" w:cs="仿宋_GB2312"/>
          <w:b/>
          <w:color w:val="000000" w:themeColor="text1"/>
          <w:sz w:val="28"/>
          <w:szCs w:val="28"/>
        </w:rPr>
      </w:pPr>
    </w:p>
    <w:p>
      <w:pPr>
        <w:keepNext w:val="0"/>
        <w:keepLines w:val="0"/>
        <w:pageBreakBefore w:val="0"/>
        <w:numPr>
          <w:ilvl w:val="0"/>
          <w:numId w:val="2"/>
        </w:numPr>
        <w:kinsoku/>
        <w:wordWrap/>
        <w:overflowPunct/>
        <w:topLinePunct w:val="0"/>
        <w:autoSpaceDE/>
        <w:autoSpaceDN/>
        <w:bidi w:val="0"/>
        <w:adjustRightInd w:val="0"/>
        <w:snapToGrid w:val="0"/>
        <w:spacing w:line="520" w:lineRule="exact"/>
        <w:ind w:firstLine="602"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color w:val="000000" w:themeColor="text1"/>
          <w:sz w:val="30"/>
          <w:szCs w:val="30"/>
          <w:shd w:val="clear" w:color="auto" w:fill="FFFFFF"/>
          <w:lang w:eastAsia="zh-CN"/>
        </w:rPr>
        <w:t>政府性基金预算支出情况</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道县教育系统2021年无政府性基金预算。</w:t>
      </w:r>
    </w:p>
    <w:p>
      <w:pPr>
        <w:keepNext w:val="0"/>
        <w:keepLines w:val="0"/>
        <w:pageBreakBefore w:val="0"/>
        <w:numPr>
          <w:ilvl w:val="0"/>
          <w:numId w:val="0"/>
        </w:numPr>
        <w:kinsoku/>
        <w:wordWrap/>
        <w:overflowPunct/>
        <w:topLinePunct w:val="0"/>
        <w:autoSpaceDE/>
        <w:autoSpaceDN/>
        <w:bidi w:val="0"/>
        <w:spacing w:line="520" w:lineRule="exact"/>
        <w:ind w:right="11" w:rightChars="0" w:firstLine="602" w:firstLineChars="200"/>
        <w:textAlignment w:val="auto"/>
        <w:rPr>
          <w:rFonts w:hint="eastAsia" w:ascii="仿宋_GB2312" w:hAnsi="仿宋_GB2312" w:eastAsia="仿宋_GB2312" w:cs="仿宋_GB2312"/>
          <w:b/>
          <w:bCs/>
          <w:color w:val="010101"/>
          <w:sz w:val="30"/>
          <w:szCs w:val="30"/>
          <w:lang w:val="en-US" w:eastAsia="zh-CN"/>
        </w:rPr>
      </w:pPr>
      <w:r>
        <w:rPr>
          <w:rFonts w:hint="eastAsia" w:ascii="仿宋_GB2312" w:hAnsi="仿宋_GB2312" w:eastAsia="仿宋_GB2312" w:cs="仿宋_GB2312"/>
          <w:b/>
          <w:bCs/>
          <w:color w:val="010101"/>
          <w:sz w:val="30"/>
          <w:szCs w:val="30"/>
          <w:lang w:val="en-US" w:eastAsia="zh-CN"/>
        </w:rPr>
        <w:t>四、国有资本经营预算支出情况</w:t>
      </w:r>
    </w:p>
    <w:p>
      <w:pPr>
        <w:keepNext w:val="0"/>
        <w:keepLines w:val="0"/>
        <w:pageBreakBefore w:val="0"/>
        <w:numPr>
          <w:ilvl w:val="0"/>
          <w:numId w:val="0"/>
        </w:numPr>
        <w:kinsoku/>
        <w:wordWrap/>
        <w:overflowPunct/>
        <w:topLinePunct w:val="0"/>
        <w:autoSpaceDE/>
        <w:autoSpaceDN/>
        <w:bidi w:val="0"/>
        <w:spacing w:line="520" w:lineRule="exact"/>
        <w:ind w:right="11" w:rightChars="0" w:firstLine="600" w:firstLineChars="200"/>
        <w:textAlignment w:val="auto"/>
        <w:rPr>
          <w:rFonts w:hint="eastAsia" w:ascii="仿宋_GB2312" w:hAnsi="仿宋_GB2312" w:eastAsia="仿宋_GB2312" w:cs="仿宋_GB2312"/>
          <w:b w:val="0"/>
          <w:bCs w:val="0"/>
          <w:color w:val="010101"/>
          <w:sz w:val="30"/>
          <w:szCs w:val="30"/>
          <w:lang w:val="en-US" w:eastAsia="zh-CN"/>
        </w:rPr>
      </w:pPr>
      <w:r>
        <w:rPr>
          <w:rFonts w:hint="eastAsia" w:ascii="仿宋_GB2312" w:hAnsi="仿宋_GB2312" w:eastAsia="仿宋_GB2312" w:cs="仿宋_GB2312"/>
          <w:sz w:val="30"/>
          <w:szCs w:val="30"/>
          <w:lang w:val="en-US" w:eastAsia="zh-CN"/>
        </w:rPr>
        <w:t>道县教育系统</w:t>
      </w:r>
      <w:r>
        <w:rPr>
          <w:rFonts w:hint="eastAsia" w:ascii="仿宋_GB2312" w:hAnsi="仿宋_GB2312" w:eastAsia="仿宋_GB2312" w:cs="仿宋_GB2312"/>
          <w:b w:val="0"/>
          <w:bCs w:val="0"/>
          <w:color w:val="010101"/>
          <w:sz w:val="30"/>
          <w:szCs w:val="30"/>
          <w:lang w:val="en-US" w:eastAsia="zh-CN"/>
        </w:rPr>
        <w:t>2021年无国有资本经营预算支出。</w:t>
      </w:r>
    </w:p>
    <w:p>
      <w:pPr>
        <w:keepNext w:val="0"/>
        <w:keepLines w:val="0"/>
        <w:pageBreakBefore w:val="0"/>
        <w:numPr>
          <w:ilvl w:val="0"/>
          <w:numId w:val="0"/>
        </w:numPr>
        <w:kinsoku/>
        <w:wordWrap/>
        <w:overflowPunct/>
        <w:topLinePunct w:val="0"/>
        <w:autoSpaceDE/>
        <w:autoSpaceDN/>
        <w:bidi w:val="0"/>
        <w:spacing w:line="520" w:lineRule="exact"/>
        <w:ind w:right="11" w:rightChars="0" w:firstLine="602" w:firstLineChars="200"/>
        <w:textAlignment w:val="auto"/>
        <w:rPr>
          <w:rFonts w:hint="eastAsia" w:ascii="仿宋_GB2312" w:hAnsi="仿宋_GB2312" w:eastAsia="仿宋_GB2312" w:cs="仿宋_GB2312"/>
          <w:b/>
          <w:color w:val="010101"/>
          <w:sz w:val="30"/>
          <w:szCs w:val="30"/>
          <w:lang w:val="en-US" w:eastAsia="zh-CN"/>
        </w:rPr>
      </w:pPr>
      <w:r>
        <w:rPr>
          <w:rFonts w:hint="eastAsia" w:ascii="仿宋_GB2312" w:hAnsi="仿宋_GB2312" w:eastAsia="仿宋_GB2312" w:cs="仿宋_GB2312"/>
          <w:b/>
          <w:bCs/>
          <w:color w:val="010101"/>
          <w:sz w:val="30"/>
          <w:szCs w:val="30"/>
          <w:lang w:val="en-US" w:eastAsia="zh-CN"/>
        </w:rPr>
        <w:t>五</w:t>
      </w:r>
      <w:r>
        <w:rPr>
          <w:rFonts w:hint="eastAsia" w:ascii="仿宋_GB2312" w:hAnsi="仿宋_GB2312" w:eastAsia="仿宋_GB2312" w:cs="仿宋_GB2312"/>
          <w:b w:val="0"/>
          <w:bCs/>
          <w:color w:val="010101"/>
          <w:sz w:val="30"/>
          <w:szCs w:val="30"/>
          <w:lang w:val="en-US" w:eastAsia="zh-CN"/>
        </w:rPr>
        <w:t>、</w:t>
      </w:r>
      <w:r>
        <w:rPr>
          <w:rFonts w:hint="eastAsia" w:ascii="仿宋_GB2312" w:hAnsi="仿宋_GB2312" w:eastAsia="仿宋_GB2312" w:cs="仿宋_GB2312"/>
          <w:b/>
          <w:color w:val="010101"/>
          <w:sz w:val="30"/>
          <w:szCs w:val="30"/>
          <w:lang w:val="en-US" w:eastAsia="zh-CN"/>
        </w:rPr>
        <w:t>社会保险基金预算支出情况</w:t>
      </w:r>
    </w:p>
    <w:p>
      <w:pPr>
        <w:keepNext w:val="0"/>
        <w:keepLines w:val="0"/>
        <w:pageBreakBefore w:val="0"/>
        <w:numPr>
          <w:ilvl w:val="0"/>
          <w:numId w:val="0"/>
        </w:numPr>
        <w:kinsoku/>
        <w:wordWrap/>
        <w:overflowPunct/>
        <w:topLinePunct w:val="0"/>
        <w:autoSpaceDE/>
        <w:autoSpaceDN/>
        <w:bidi w:val="0"/>
        <w:spacing w:line="520" w:lineRule="exact"/>
        <w:ind w:right="11" w:rightChars="0" w:firstLine="600" w:firstLineChars="200"/>
        <w:textAlignment w:val="auto"/>
        <w:rPr>
          <w:rFonts w:hint="eastAsia" w:ascii="仿宋_GB2312" w:hAnsi="仿宋_GB2312" w:eastAsia="仿宋_GB2312" w:cs="仿宋_GB2312"/>
          <w:b/>
          <w:color w:val="010101"/>
          <w:sz w:val="30"/>
          <w:szCs w:val="30"/>
          <w:lang w:eastAsia="zh-CN"/>
        </w:rPr>
      </w:pPr>
      <w:r>
        <w:rPr>
          <w:rFonts w:hint="eastAsia" w:ascii="仿宋_GB2312" w:hAnsi="仿宋_GB2312" w:eastAsia="仿宋_GB2312" w:cs="仿宋_GB2312"/>
          <w:sz w:val="30"/>
          <w:szCs w:val="30"/>
          <w:lang w:val="en-US" w:eastAsia="zh-CN"/>
        </w:rPr>
        <w:t>道县教育系统</w:t>
      </w:r>
      <w:r>
        <w:rPr>
          <w:rFonts w:hint="eastAsia" w:ascii="仿宋_GB2312" w:hAnsi="仿宋_GB2312" w:eastAsia="仿宋_GB2312" w:cs="仿宋_GB2312"/>
          <w:b w:val="0"/>
          <w:bCs/>
          <w:color w:val="010101"/>
          <w:sz w:val="30"/>
          <w:szCs w:val="30"/>
          <w:lang w:val="en-US" w:eastAsia="zh-CN"/>
        </w:rPr>
        <w:t>2021年无社会保险基金预算支出。</w:t>
      </w:r>
    </w:p>
    <w:p>
      <w:pPr>
        <w:keepNext w:val="0"/>
        <w:keepLines w:val="0"/>
        <w:pageBreakBefore w:val="0"/>
        <w:kinsoku/>
        <w:wordWrap/>
        <w:overflowPunct/>
        <w:topLinePunct w:val="0"/>
        <w:autoSpaceDE/>
        <w:autoSpaceDN/>
        <w:bidi w:val="0"/>
        <w:spacing w:line="520" w:lineRule="exact"/>
        <w:ind w:right="11" w:firstLine="602" w:firstLineChars="200"/>
        <w:textAlignment w:val="auto"/>
        <w:rPr>
          <w:rFonts w:hint="eastAsia" w:ascii="仿宋_GB2312" w:hAnsi="仿宋_GB2312" w:eastAsia="仿宋_GB2312" w:cs="仿宋_GB2312"/>
          <w:b/>
          <w:color w:val="010101"/>
          <w:sz w:val="30"/>
          <w:szCs w:val="30"/>
        </w:rPr>
      </w:pPr>
      <w:r>
        <w:rPr>
          <w:rFonts w:hint="eastAsia" w:ascii="仿宋_GB2312" w:hAnsi="仿宋_GB2312" w:eastAsia="仿宋_GB2312" w:cs="仿宋_GB2312"/>
          <w:b/>
          <w:color w:val="010101"/>
          <w:sz w:val="30"/>
          <w:szCs w:val="30"/>
          <w:lang w:eastAsia="zh-CN"/>
        </w:rPr>
        <w:t>六</w:t>
      </w:r>
      <w:r>
        <w:rPr>
          <w:rFonts w:hint="eastAsia" w:ascii="仿宋_GB2312" w:hAnsi="仿宋_GB2312" w:eastAsia="仿宋_GB2312" w:cs="仿宋_GB2312"/>
          <w:b/>
          <w:color w:val="010101"/>
          <w:sz w:val="30"/>
          <w:szCs w:val="30"/>
        </w:rPr>
        <w:t>、部门整体支出绩效情况</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000000" w:themeColor="text1"/>
          <w:sz w:val="30"/>
          <w:szCs w:val="30"/>
          <w:shd w:val="clear" w:color="auto" w:fill="FFFFFF"/>
        </w:rPr>
      </w:pPr>
      <w:r>
        <w:rPr>
          <w:rFonts w:hint="eastAsia" w:ascii="仿宋_GB2312" w:hAnsi="仿宋_GB2312" w:eastAsia="仿宋_GB2312" w:cs="仿宋_GB2312"/>
          <w:color w:val="000000" w:themeColor="text1"/>
          <w:sz w:val="30"/>
          <w:szCs w:val="30"/>
          <w:shd w:val="clear" w:color="auto" w:fill="FFFFFF"/>
          <w:lang w:val="en-US" w:eastAsia="zh-CN"/>
        </w:rPr>
        <w:t>1、</w:t>
      </w:r>
      <w:r>
        <w:rPr>
          <w:rFonts w:hint="eastAsia" w:ascii="仿宋_GB2312" w:hAnsi="仿宋_GB2312" w:eastAsia="仿宋_GB2312" w:cs="仿宋_GB2312"/>
          <w:color w:val="000000" w:themeColor="text1"/>
          <w:sz w:val="30"/>
          <w:szCs w:val="30"/>
          <w:shd w:val="clear" w:color="auto" w:fill="FFFFFF"/>
        </w:rPr>
        <w:t>学校实行国库集中支付，各校均严格相关法律法规规定，按照县财政关于公务接待、会议费、差旅费等规定执行，厉行节约， “三公”经费实现了有效压减。</w:t>
      </w:r>
    </w:p>
    <w:p>
      <w:pPr>
        <w:spacing w:line="58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2</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完善质量攻坚机制，落实质量攻坚举措，扎扎实实推进质量攻坚。全县高考本科上线人数突破1726人，二本同口径上线1205人，较去年净增179人，其中一本同口径上线501人，较去年增加151人，实现高考一、二本“五连增”；初三毕业合格率、选优秀率分别为58.7%、30.94%，较上年提高29.5%、25.37%，全科平均合格率、优秀率全市排名较上年均提升1个名次；小学六年级毕业合格率为84.6%，优秀率为63.68%，人均合格率、优秀率均较上年度有较大提高（21.02%、33.55%）。县教育局获评全省在线备课大赛优秀组织单位，县五中获评全国中小学中华优秀传统文化传承校，工贸学校在全省职业院校技能竞赛中获得殊荣。</w:t>
      </w:r>
    </w:p>
    <w:p>
      <w:pPr>
        <w:spacing w:line="58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3</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按照保教保学要求，抓好城区学校扩容提质，启动敦颐学校、东洲学校、道县七小等配套基础设施建设和城南幼儿园迁建，西洲芙蓉学校、谷源学校启动招生办学；实施公办学前教育学位扩容，完成小甲中心幼儿园、六小、八小、岑江渡小学、新车小学附属幼儿园改扩建，新增学位662个；推进两类学校建设，实施洪塘营中心小学、白马渡中心小学等6所寄宿制学校建设，提质改造清溪小学、上李小学等20个教学点，落实了公办附设园独立办学，城乡教育布局持续优化。</w:t>
      </w:r>
    </w:p>
    <w:p>
      <w:pPr>
        <w:spacing w:line="58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4</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通过公开招聘、人才引进、特岗指标、接收公费定向培养示范毕业生、返聘退休教师、接收县外编制教师等途径补充教师1085人；采取校地联合培养方式，协调湖南科技学院等3所高等院校112名师范专业应届毕业生前来顶岗实习，送培公费定向师范生297名。组织开展教师继续教育培训、学科教师培训及新招录教师适岗培训18期，累计培训教师4600人次，组织开展了名师、名课评选，评选县级名师、骨干教师及学科带头人253人，评选县级名课93节。3名教师获得正高级职称，159名乡村教师获评专项副高职称。</w:t>
      </w:r>
    </w:p>
    <w:p>
      <w:pPr>
        <w:spacing w:line="58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5</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落实高考综合改革，圆满完成2021年湖南省3+1+2新高考首考组考任务，全县共有6391名高三阶段考生、9602名高一、高二考生参加新高考。围绕义务教育“双减”政策，推动课后服务和校外培训机构规范化管理，停办校外培训机构办学4所。严格控制民办义务教育学校招生比例，落实在民办义务教育学校教师返回公办学校任教。</w:t>
      </w:r>
    </w:p>
    <w:p>
      <w:pPr>
        <w:spacing w:line="58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6</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落实建档立卡学生和贫困生生活补贴发放及减免，发放各学段助学金及生活补助1802万元，减免学杂费及教科书231万元；发放高校新生交通补助12万元，新增生源地助学贷款2748人次，发放助学贷款2464万元。针对暑期防溺水工作压力大的形势，组织开展了“千师访万家”活动和县级领导带队督查防溺水工作，防学生溺水工作典型经验在全国、全省进行推广。</w:t>
      </w:r>
    </w:p>
    <w:p>
      <w:pPr>
        <w:keepNext w:val="0"/>
        <w:keepLines w:val="0"/>
        <w:pageBreakBefore w:val="0"/>
        <w:kinsoku/>
        <w:wordWrap/>
        <w:overflowPunct/>
        <w:topLinePunct w:val="0"/>
        <w:autoSpaceDE/>
        <w:autoSpaceDN/>
        <w:bidi w:val="0"/>
        <w:adjustRightInd w:val="0"/>
        <w:snapToGrid w:val="0"/>
        <w:spacing w:line="520" w:lineRule="exact"/>
        <w:ind w:firstLine="602" w:firstLineChars="200"/>
        <w:textAlignment w:val="auto"/>
        <w:rPr>
          <w:rFonts w:hint="eastAsia" w:ascii="仿宋_GB2312" w:hAnsi="仿宋_GB2312" w:eastAsia="仿宋_GB2312" w:cs="仿宋_GB2312"/>
          <w:b/>
          <w:bCs/>
          <w:color w:val="auto"/>
          <w:sz w:val="30"/>
          <w:szCs w:val="30"/>
          <w:shd w:val="clear" w:color="auto" w:fill="FFFFFF"/>
          <w:lang w:eastAsia="zh-CN"/>
        </w:rPr>
      </w:pPr>
      <w:r>
        <w:rPr>
          <w:rFonts w:hint="eastAsia" w:ascii="仿宋_GB2312" w:hAnsi="仿宋_GB2312" w:eastAsia="仿宋_GB2312" w:cs="仿宋_GB2312"/>
          <w:b/>
          <w:bCs/>
          <w:color w:val="auto"/>
          <w:sz w:val="30"/>
          <w:szCs w:val="30"/>
          <w:shd w:val="clear" w:color="auto" w:fill="FFFFFF"/>
          <w:lang w:eastAsia="zh-CN"/>
        </w:rPr>
        <w:t>七</w:t>
      </w:r>
      <w:r>
        <w:rPr>
          <w:rFonts w:hint="eastAsia" w:ascii="仿宋_GB2312" w:hAnsi="仿宋_GB2312" w:eastAsia="仿宋_GB2312" w:cs="仿宋_GB2312"/>
          <w:b/>
          <w:bCs/>
          <w:color w:val="auto"/>
          <w:sz w:val="30"/>
          <w:szCs w:val="30"/>
          <w:shd w:val="clear" w:color="auto" w:fill="FFFFFF"/>
        </w:rPr>
        <w:t>、存在的问题</w:t>
      </w:r>
      <w:r>
        <w:rPr>
          <w:rFonts w:hint="eastAsia" w:ascii="仿宋_GB2312" w:hAnsi="仿宋_GB2312" w:eastAsia="仿宋_GB2312" w:cs="仿宋_GB2312"/>
          <w:b/>
          <w:bCs/>
          <w:color w:val="auto"/>
          <w:sz w:val="30"/>
          <w:szCs w:val="30"/>
          <w:shd w:val="clear" w:color="auto" w:fill="FFFFFF"/>
          <w:lang w:eastAsia="zh-CN"/>
        </w:rPr>
        <w:t>及原因分析</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预算编制工作有待细化。预算编制不够明确和细化，预算编制的合理性需要提高，预算执行力度还要进一步加强。</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提高对预算编制重要性的认识，严格按照财政部门要求编制部门预算，认真做好编制前的准备工作，合理确定收入来源，预算收支数字必须依据充分确定的资料，努力提高预算的透明度。</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333333"/>
          <w:sz w:val="30"/>
          <w:szCs w:val="30"/>
          <w:lang w:val="en-US" w:eastAsia="zh-CN"/>
        </w:rPr>
        <w:t>3、</w:t>
      </w:r>
      <w:r>
        <w:rPr>
          <w:rFonts w:hint="eastAsia" w:ascii="仿宋_GB2312" w:hAnsi="仿宋_GB2312" w:eastAsia="仿宋_GB2312" w:cs="仿宋_GB2312"/>
          <w:color w:val="333333"/>
          <w:sz w:val="30"/>
          <w:szCs w:val="30"/>
        </w:rPr>
        <w:t>部分预算资金支付进度稍缓，预算执行率降低。绩效目标设置有待进一步优化。目标不够明确、细化和量化，有待进一步提高可操作性。</w:t>
      </w:r>
      <w:r>
        <w:rPr>
          <w:rFonts w:hint="eastAsia" w:ascii="仿宋_GB2312" w:hAnsi="仿宋_GB2312" w:eastAsia="仿宋_GB2312" w:cs="仿宋_GB2312"/>
          <w:color w:val="auto"/>
          <w:sz w:val="30"/>
          <w:szCs w:val="30"/>
          <w:lang w:val="en-US" w:eastAsia="zh-CN"/>
        </w:rPr>
        <w:t xml:space="preserve">    </w:t>
      </w:r>
    </w:p>
    <w:p>
      <w:pPr>
        <w:pStyle w:val="7"/>
        <w:keepNext w:val="0"/>
        <w:keepLines w:val="0"/>
        <w:pageBreakBefore w:val="0"/>
        <w:widowControl/>
        <w:kinsoku/>
        <w:wordWrap/>
        <w:overflowPunct/>
        <w:topLinePunct w:val="0"/>
        <w:autoSpaceDE/>
        <w:autoSpaceDN/>
        <w:bidi w:val="0"/>
        <w:spacing w:before="0" w:beforeAutospacing="0" w:after="0" w:afterAutospacing="0" w:line="520" w:lineRule="exact"/>
        <w:ind w:right="11" w:firstLine="602" w:firstLineChars="200"/>
        <w:textAlignment w:val="auto"/>
        <w:rPr>
          <w:rFonts w:hint="eastAsia" w:ascii="仿宋_GB2312" w:hAnsi="仿宋_GB2312" w:eastAsia="仿宋_GB2312" w:cs="仿宋_GB2312"/>
          <w:b/>
          <w:bCs w:val="0"/>
          <w:color w:val="000000"/>
          <w:sz w:val="30"/>
          <w:szCs w:val="30"/>
          <w:lang w:eastAsia="zh-CN"/>
        </w:rPr>
      </w:pPr>
      <w:r>
        <w:rPr>
          <w:rFonts w:hint="eastAsia" w:ascii="仿宋_GB2312" w:hAnsi="仿宋_GB2312" w:eastAsia="仿宋_GB2312" w:cs="仿宋_GB2312"/>
          <w:b/>
          <w:bCs w:val="0"/>
          <w:color w:val="000000"/>
          <w:sz w:val="30"/>
          <w:szCs w:val="30"/>
          <w:lang w:eastAsia="zh-CN"/>
        </w:rPr>
        <w:t>八、下一步改进措施</w:t>
      </w:r>
    </w:p>
    <w:p>
      <w:pPr>
        <w:pStyle w:val="7"/>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细化预算编制工作，认真做好预算的编制。进一步加强</w:t>
      </w:r>
      <w:r>
        <w:rPr>
          <w:rFonts w:hint="eastAsia" w:ascii="仿宋_GB2312" w:hAnsi="仿宋_GB2312" w:eastAsia="仿宋_GB2312" w:cs="仿宋_GB2312"/>
          <w:sz w:val="30"/>
          <w:szCs w:val="30"/>
          <w:lang w:eastAsia="zh-CN"/>
        </w:rPr>
        <w:t>单位和学校</w:t>
      </w:r>
      <w:r>
        <w:rPr>
          <w:rFonts w:hint="eastAsia" w:ascii="仿宋_GB2312" w:hAnsi="仿宋_GB2312" w:eastAsia="仿宋_GB2312" w:cs="仿宋_GB2312"/>
          <w:sz w:val="30"/>
          <w:szCs w:val="30"/>
        </w:rPr>
        <w:t>的预算管理意识，严格按照预算编制的相关制度和要求进行预算编制</w:t>
      </w:r>
      <w:r>
        <w:rPr>
          <w:rFonts w:hint="eastAsia" w:ascii="仿宋_GB2312" w:hAnsi="仿宋_GB2312" w:eastAsia="仿宋_GB2312" w:cs="仿宋_GB2312"/>
          <w:sz w:val="30"/>
          <w:szCs w:val="30"/>
          <w:lang w:eastAsia="zh-CN"/>
        </w:rPr>
        <w:t>。</w:t>
      </w:r>
    </w:p>
    <w:p>
      <w:pPr>
        <w:pStyle w:val="7"/>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2、加强财务管理，严格财务审核。健全单位财务管理制度体系，规范单位财务行为。在费用报账支付时，按照预算规定的费用项目和用途进行资金使用审核、列报支付、财务核算，杜绝超支现象的发生。</w:t>
      </w:r>
    </w:p>
    <w:p>
      <w:pPr>
        <w:pStyle w:val="7"/>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、对</w:t>
      </w:r>
      <w:r>
        <w:rPr>
          <w:rFonts w:hint="eastAsia" w:ascii="仿宋_GB2312" w:hAnsi="仿宋_GB2312" w:eastAsia="仿宋_GB2312" w:cs="仿宋_GB2312"/>
          <w:sz w:val="30"/>
          <w:szCs w:val="30"/>
          <w:lang w:eastAsia="zh-CN"/>
        </w:rPr>
        <w:t>财务</w:t>
      </w:r>
      <w:r>
        <w:rPr>
          <w:rFonts w:hint="eastAsia" w:ascii="仿宋_GB2312" w:hAnsi="仿宋_GB2312" w:eastAsia="仿宋_GB2312" w:cs="仿宋_GB2312"/>
          <w:sz w:val="30"/>
          <w:szCs w:val="30"/>
        </w:rPr>
        <w:t>人员加强培训，特别是针对《预算法》《行政事业单位会计制度》等学习培训，规范部门预算收支核算，切实提高部门预算收支管理水平。</w:t>
      </w:r>
      <w:bookmarkStart w:id="0" w:name="_Toc9436397"/>
      <w:bookmarkEnd w:id="0"/>
    </w:p>
    <w:p>
      <w:pPr>
        <w:pStyle w:val="7"/>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lang w:val="en-US" w:eastAsia="zh-CN"/>
        </w:rPr>
        <w:t>4、</w:t>
      </w:r>
      <w:r>
        <w:rPr>
          <w:rFonts w:hint="eastAsia" w:ascii="仿宋_GB2312" w:hAnsi="仿宋_GB2312" w:eastAsia="仿宋_GB2312" w:cs="仿宋_GB2312"/>
          <w:color w:val="333333"/>
          <w:sz w:val="30"/>
          <w:szCs w:val="30"/>
        </w:rPr>
        <w:t>加强资金使用与监管，合理安排资金支付进度，提高资金使用效益</w:t>
      </w:r>
      <w:bookmarkStart w:id="1" w:name="_Toc9436398"/>
      <w:bookmarkEnd w:id="1"/>
      <w:r>
        <w:rPr>
          <w:rFonts w:hint="eastAsia" w:ascii="仿宋_GB2312" w:hAnsi="仿宋_GB2312" w:eastAsia="仿宋_GB2312" w:cs="仿宋_GB2312"/>
          <w:color w:val="333333"/>
          <w:sz w:val="30"/>
          <w:szCs w:val="30"/>
        </w:rPr>
        <w:t>。进一步规范绩效目标编制，在编制项目资金绩效目标时，要求指向明确、细化量化、合理可行、相应匹配。</w:t>
      </w:r>
    </w:p>
    <w:p>
      <w:pPr>
        <w:pStyle w:val="7"/>
        <w:keepNext w:val="0"/>
        <w:keepLines w:val="0"/>
        <w:pageBreakBefore w:val="0"/>
        <w:widowControl/>
        <w:kinsoku/>
        <w:wordWrap/>
        <w:overflowPunct/>
        <w:topLinePunct w:val="0"/>
        <w:autoSpaceDE/>
        <w:autoSpaceDN/>
        <w:bidi w:val="0"/>
        <w:spacing w:before="0" w:beforeAutospacing="0" w:after="0" w:afterAutospacing="0" w:line="520" w:lineRule="exact"/>
        <w:ind w:right="11"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九、绩效自评结果拟应用和公开情况</w:t>
      </w:r>
      <w:bookmarkStart w:id="2" w:name="_Toc9436408"/>
      <w:bookmarkEnd w:id="2"/>
    </w:p>
    <w:p>
      <w:pPr>
        <w:pStyle w:val="7"/>
        <w:keepNext w:val="0"/>
        <w:keepLines w:val="0"/>
        <w:pageBreakBefore w:val="0"/>
        <w:widowControl/>
        <w:kinsoku/>
        <w:wordWrap/>
        <w:overflowPunct/>
        <w:topLinePunct w:val="0"/>
        <w:autoSpaceDE/>
        <w:autoSpaceDN/>
        <w:bidi w:val="0"/>
        <w:spacing w:before="0" w:beforeAutospacing="0" w:after="0" w:afterAutospacing="0" w:line="52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rPr>
        <w:t>通过绩效自评，进一步掌握了资金使用情况和取得的效果，发现了工作中存在的问题和不足，为今后加强资金使用管理、完善资金绩效管理、提高资金使用效益工作提供了重要的参考依据。</w:t>
      </w:r>
      <w:bookmarkStart w:id="4" w:name="_GoBack"/>
      <w:bookmarkEnd w:id="4"/>
      <w:bookmarkStart w:id="3" w:name="_Toc9436409"/>
      <w:bookmarkEnd w:id="3"/>
      <w:r>
        <w:rPr>
          <w:rFonts w:hint="eastAsia" w:ascii="仿宋_GB2312" w:hAnsi="仿宋_GB2312" w:eastAsia="仿宋_GB2312" w:cs="仿宋_GB2312"/>
          <w:color w:val="333333"/>
          <w:sz w:val="30"/>
          <w:szCs w:val="30"/>
        </w:rPr>
        <w:t>按规定时间将此次绩效自评报告在本单位门户网站上予以公布，向社会公开，广泛接受群众监督。</w:t>
      </w:r>
    </w:p>
    <w:p>
      <w:pPr>
        <w:adjustRightInd w:val="0"/>
        <w:snapToGrid w:val="0"/>
        <w:spacing w:line="600" w:lineRule="exact"/>
        <w:ind w:firstLine="6600" w:firstLineChars="2200"/>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道县教育局</w:t>
      </w:r>
    </w:p>
    <w:p>
      <w:pPr>
        <w:adjustRightInd w:val="0"/>
        <w:snapToGrid w:val="0"/>
        <w:spacing w:line="600" w:lineRule="exact"/>
        <w:ind w:firstLine="6150" w:firstLineChars="2050"/>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202</w:t>
      </w:r>
      <w:r>
        <w:rPr>
          <w:rFonts w:hint="eastAsia" w:ascii="仿宋_GB2312" w:hAnsi="仿宋_GB2312" w:eastAsia="仿宋_GB2312" w:cs="仿宋_GB2312"/>
          <w:color w:val="000000"/>
          <w:sz w:val="30"/>
          <w:szCs w:val="30"/>
          <w:shd w:val="clear" w:color="auto" w:fill="FFFFFF"/>
          <w:lang w:val="en-US" w:eastAsia="zh-CN"/>
        </w:rPr>
        <w:t>2</w:t>
      </w:r>
      <w:r>
        <w:rPr>
          <w:rFonts w:hint="eastAsia" w:ascii="仿宋_GB2312" w:hAnsi="仿宋_GB2312" w:eastAsia="仿宋_GB2312" w:cs="仿宋_GB2312"/>
          <w:color w:val="000000"/>
          <w:sz w:val="30"/>
          <w:szCs w:val="30"/>
          <w:shd w:val="clear" w:color="auto" w:fill="FFFFFF"/>
        </w:rPr>
        <w:t>年6月</w:t>
      </w:r>
      <w:r>
        <w:rPr>
          <w:rFonts w:hint="eastAsia" w:ascii="仿宋_GB2312" w:hAnsi="仿宋_GB2312" w:eastAsia="仿宋_GB2312" w:cs="仿宋_GB2312"/>
          <w:color w:val="000000"/>
          <w:sz w:val="30"/>
          <w:szCs w:val="30"/>
          <w:shd w:val="clear" w:color="auto" w:fill="FFFFFF"/>
          <w:lang w:val="en-US" w:eastAsia="zh-CN"/>
        </w:rPr>
        <w:t>2</w:t>
      </w:r>
      <w:r>
        <w:rPr>
          <w:rFonts w:hint="eastAsia" w:ascii="仿宋_GB2312" w:hAnsi="仿宋_GB2312" w:eastAsia="仿宋_GB2312" w:cs="仿宋_GB2312"/>
          <w:color w:val="000000"/>
          <w:sz w:val="30"/>
          <w:szCs w:val="30"/>
          <w:shd w:val="clear" w:color="auto" w:fill="FFFFFF"/>
        </w:rPr>
        <w:t>日</w:t>
      </w: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CE656"/>
    <w:multiLevelType w:val="singleLevel"/>
    <w:tmpl w:val="12FCE656"/>
    <w:lvl w:ilvl="0" w:tentative="0">
      <w:start w:val="3"/>
      <w:numFmt w:val="chineseCounting"/>
      <w:suff w:val="nothing"/>
      <w:lvlText w:val="%1、"/>
      <w:lvlJc w:val="left"/>
      <w:rPr>
        <w:rFonts w:hint="eastAsia"/>
      </w:rPr>
    </w:lvl>
  </w:abstractNum>
  <w:abstractNum w:abstractNumId="1">
    <w:nsid w:val="4F90A65E"/>
    <w:multiLevelType w:val="singleLevel"/>
    <w:tmpl w:val="4F90A65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NkNjMwNGFjNjc2ZmU4N2FmM2VjZDg4ZWJhZDFhYTMifQ=="/>
  </w:docVars>
  <w:rsids>
    <w:rsidRoot w:val="00E023F5"/>
    <w:rsid w:val="00037B95"/>
    <w:rsid w:val="000B6A39"/>
    <w:rsid w:val="000C19FD"/>
    <w:rsid w:val="00151FB2"/>
    <w:rsid w:val="0017128D"/>
    <w:rsid w:val="00184565"/>
    <w:rsid w:val="00244615"/>
    <w:rsid w:val="00273308"/>
    <w:rsid w:val="002A087C"/>
    <w:rsid w:val="003A339E"/>
    <w:rsid w:val="003C5834"/>
    <w:rsid w:val="0040428E"/>
    <w:rsid w:val="0048406D"/>
    <w:rsid w:val="00491393"/>
    <w:rsid w:val="004A139B"/>
    <w:rsid w:val="00552442"/>
    <w:rsid w:val="005945BF"/>
    <w:rsid w:val="005A30F2"/>
    <w:rsid w:val="005B2827"/>
    <w:rsid w:val="006117C5"/>
    <w:rsid w:val="0061728F"/>
    <w:rsid w:val="006D4191"/>
    <w:rsid w:val="0070725D"/>
    <w:rsid w:val="0073431B"/>
    <w:rsid w:val="00762D52"/>
    <w:rsid w:val="00783181"/>
    <w:rsid w:val="007B3720"/>
    <w:rsid w:val="007C4E5B"/>
    <w:rsid w:val="007D4D0D"/>
    <w:rsid w:val="007D6597"/>
    <w:rsid w:val="00836368"/>
    <w:rsid w:val="00861289"/>
    <w:rsid w:val="00877BA1"/>
    <w:rsid w:val="00956121"/>
    <w:rsid w:val="00997662"/>
    <w:rsid w:val="009C0ECA"/>
    <w:rsid w:val="00A15359"/>
    <w:rsid w:val="00A27B86"/>
    <w:rsid w:val="00A316FE"/>
    <w:rsid w:val="00A76448"/>
    <w:rsid w:val="00AC1AB4"/>
    <w:rsid w:val="00B11231"/>
    <w:rsid w:val="00B30C5E"/>
    <w:rsid w:val="00B56EB9"/>
    <w:rsid w:val="00B74A87"/>
    <w:rsid w:val="00BD5186"/>
    <w:rsid w:val="00C25252"/>
    <w:rsid w:val="00C71D54"/>
    <w:rsid w:val="00C95461"/>
    <w:rsid w:val="00CB2B82"/>
    <w:rsid w:val="00CB4362"/>
    <w:rsid w:val="00CC1C6E"/>
    <w:rsid w:val="00CE0BD6"/>
    <w:rsid w:val="00CF446F"/>
    <w:rsid w:val="00D116AF"/>
    <w:rsid w:val="00D1790A"/>
    <w:rsid w:val="00D90AB0"/>
    <w:rsid w:val="00D92001"/>
    <w:rsid w:val="00DF468F"/>
    <w:rsid w:val="00E023F5"/>
    <w:rsid w:val="00E07CB8"/>
    <w:rsid w:val="00E641CA"/>
    <w:rsid w:val="00E96CA1"/>
    <w:rsid w:val="00EA1F7D"/>
    <w:rsid w:val="00EB3269"/>
    <w:rsid w:val="00F0322B"/>
    <w:rsid w:val="00F16E04"/>
    <w:rsid w:val="00F8039F"/>
    <w:rsid w:val="00F87241"/>
    <w:rsid w:val="00F94903"/>
    <w:rsid w:val="00FF47BE"/>
    <w:rsid w:val="03D705E8"/>
    <w:rsid w:val="048B5BE2"/>
    <w:rsid w:val="054524E7"/>
    <w:rsid w:val="05FB0B46"/>
    <w:rsid w:val="07A775EC"/>
    <w:rsid w:val="084802E9"/>
    <w:rsid w:val="08DD60E0"/>
    <w:rsid w:val="09B33235"/>
    <w:rsid w:val="09F90F93"/>
    <w:rsid w:val="0B6F7C04"/>
    <w:rsid w:val="122869A2"/>
    <w:rsid w:val="154A2674"/>
    <w:rsid w:val="15FB142D"/>
    <w:rsid w:val="174A5489"/>
    <w:rsid w:val="17B631F3"/>
    <w:rsid w:val="186B5700"/>
    <w:rsid w:val="1AC74959"/>
    <w:rsid w:val="1B664DE4"/>
    <w:rsid w:val="1E88576B"/>
    <w:rsid w:val="1F3A5DE3"/>
    <w:rsid w:val="20784E15"/>
    <w:rsid w:val="217F30BB"/>
    <w:rsid w:val="25FF637F"/>
    <w:rsid w:val="26E8136C"/>
    <w:rsid w:val="27BD3A55"/>
    <w:rsid w:val="27D5281D"/>
    <w:rsid w:val="2A472170"/>
    <w:rsid w:val="2A731B75"/>
    <w:rsid w:val="2C795659"/>
    <w:rsid w:val="2CC91616"/>
    <w:rsid w:val="2D290B80"/>
    <w:rsid w:val="2F745341"/>
    <w:rsid w:val="30A64D03"/>
    <w:rsid w:val="30AF141D"/>
    <w:rsid w:val="326F1422"/>
    <w:rsid w:val="327959C9"/>
    <w:rsid w:val="344D10D1"/>
    <w:rsid w:val="34790D04"/>
    <w:rsid w:val="348867D1"/>
    <w:rsid w:val="34DE765A"/>
    <w:rsid w:val="35BD58DE"/>
    <w:rsid w:val="36ED652F"/>
    <w:rsid w:val="39CE62D9"/>
    <w:rsid w:val="3A02547A"/>
    <w:rsid w:val="3B183065"/>
    <w:rsid w:val="3D872B79"/>
    <w:rsid w:val="47A83982"/>
    <w:rsid w:val="488C3DC0"/>
    <w:rsid w:val="4A9F6F2A"/>
    <w:rsid w:val="4B0424BE"/>
    <w:rsid w:val="4DCD5B7C"/>
    <w:rsid w:val="4F0E3F85"/>
    <w:rsid w:val="51190D3B"/>
    <w:rsid w:val="54DF648C"/>
    <w:rsid w:val="54FD359B"/>
    <w:rsid w:val="5A7C0EDF"/>
    <w:rsid w:val="5A8D3447"/>
    <w:rsid w:val="5BB56F08"/>
    <w:rsid w:val="5CE77D3C"/>
    <w:rsid w:val="5DC12ECF"/>
    <w:rsid w:val="5E1177FC"/>
    <w:rsid w:val="5E522ABE"/>
    <w:rsid w:val="61447B7B"/>
    <w:rsid w:val="6245732F"/>
    <w:rsid w:val="689F6564"/>
    <w:rsid w:val="6A0F339A"/>
    <w:rsid w:val="6B7D3DF4"/>
    <w:rsid w:val="6E7E69F1"/>
    <w:rsid w:val="71C208E9"/>
    <w:rsid w:val="72AC28A1"/>
    <w:rsid w:val="738A1F49"/>
    <w:rsid w:val="749018A2"/>
    <w:rsid w:val="75F82FC9"/>
    <w:rsid w:val="7B405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2"/>
    <w:semiHidden/>
    <w:unhideWhenUsed/>
    <w:qFormat/>
    <w:uiPriority w:val="0"/>
    <w:pPr>
      <w:spacing w:beforeAutospacing="1" w:afterAutospacing="1"/>
      <w:jc w:val="left"/>
      <w:outlineLvl w:val="1"/>
    </w:pPr>
    <w:rPr>
      <w:rFonts w:hint="eastAsia" w:ascii="宋体" w:hAnsi="宋体" w:cs="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link w:val="20"/>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jc w:val="left"/>
    </w:pPr>
    <w:rPr>
      <w:rFonts w:ascii="Calibri" w:hAnsi="Calibri"/>
      <w:kern w:val="0"/>
      <w:sz w:val="24"/>
      <w:szCs w:val="24"/>
    </w:rPr>
  </w:style>
  <w:style w:type="character" w:styleId="10">
    <w:name w:val="Strong"/>
    <w:basedOn w:val="9"/>
    <w:qFormat/>
    <w:uiPriority w:val="0"/>
    <w:rPr>
      <w:b/>
      <w:bCs/>
    </w:rPr>
  </w:style>
  <w:style w:type="character" w:styleId="11">
    <w:name w:val="FollowedHyperlink"/>
    <w:basedOn w:val="9"/>
    <w:qFormat/>
    <w:uiPriority w:val="0"/>
    <w:rPr>
      <w:color w:val="800080" w:themeColor="followedHyperlink"/>
      <w:u w:val="single"/>
    </w:rPr>
  </w:style>
  <w:style w:type="character" w:styleId="12">
    <w:name w:val="Emphasis"/>
    <w:basedOn w:val="9"/>
    <w:qFormat/>
    <w:uiPriority w:val="0"/>
  </w:style>
  <w:style w:type="character" w:styleId="13">
    <w:name w:val="HTML Definition"/>
    <w:basedOn w:val="9"/>
    <w:uiPriority w:val="0"/>
    <w:rPr>
      <w:i/>
      <w:iCs/>
    </w:rPr>
  </w:style>
  <w:style w:type="character" w:styleId="14">
    <w:name w:val="Hyperlink"/>
    <w:basedOn w:val="9"/>
    <w:qFormat/>
    <w:uiPriority w:val="0"/>
    <w:rPr>
      <w:color w:val="0000FF" w:themeColor="hyperlink"/>
      <w:u w:val="single"/>
    </w:rPr>
  </w:style>
  <w:style w:type="character" w:styleId="15">
    <w:name w:val="HTML Code"/>
    <w:basedOn w:val="9"/>
    <w:qFormat/>
    <w:uiPriority w:val="0"/>
    <w:rPr>
      <w:rFonts w:ascii="Consolas" w:hAnsi="Consolas" w:eastAsia="Consolas" w:cs="Consolas"/>
      <w:color w:val="C7254E"/>
      <w:sz w:val="21"/>
      <w:szCs w:val="21"/>
      <w:shd w:val="clear" w:fill="F9F2F4"/>
    </w:rPr>
  </w:style>
  <w:style w:type="character" w:styleId="16">
    <w:name w:val="HTML Keyboard"/>
    <w:basedOn w:val="9"/>
    <w:qFormat/>
    <w:uiPriority w:val="0"/>
    <w:rPr>
      <w:rFonts w:hint="default" w:ascii="Consolas" w:hAnsi="Consolas" w:eastAsia="Consolas" w:cs="Consolas"/>
      <w:color w:val="FFFFFF"/>
      <w:sz w:val="21"/>
      <w:szCs w:val="21"/>
      <w:shd w:val="clear" w:fill="333333"/>
    </w:rPr>
  </w:style>
  <w:style w:type="character" w:styleId="17">
    <w:name w:val="HTML Sample"/>
    <w:basedOn w:val="9"/>
    <w:qFormat/>
    <w:uiPriority w:val="0"/>
    <w:rPr>
      <w:rFonts w:hint="default" w:ascii="Consolas" w:hAnsi="Consolas" w:eastAsia="Consolas" w:cs="Consolas"/>
      <w:sz w:val="21"/>
      <w:szCs w:val="21"/>
    </w:rPr>
  </w:style>
  <w:style w:type="character" w:customStyle="1" w:styleId="18">
    <w:name w:val="页眉 Char"/>
    <w:basedOn w:val="9"/>
    <w:link w:val="6"/>
    <w:qFormat/>
    <w:uiPriority w:val="0"/>
    <w:rPr>
      <w:kern w:val="2"/>
      <w:sz w:val="18"/>
      <w:szCs w:val="18"/>
    </w:rPr>
  </w:style>
  <w:style w:type="character" w:customStyle="1" w:styleId="19">
    <w:name w:val="页脚 Char"/>
    <w:basedOn w:val="9"/>
    <w:link w:val="5"/>
    <w:uiPriority w:val="0"/>
    <w:rPr>
      <w:kern w:val="2"/>
      <w:sz w:val="18"/>
      <w:szCs w:val="18"/>
    </w:rPr>
  </w:style>
  <w:style w:type="character" w:customStyle="1" w:styleId="20">
    <w:name w:val="批注框文本 Char"/>
    <w:basedOn w:val="9"/>
    <w:link w:val="4"/>
    <w:qFormat/>
    <w:uiPriority w:val="0"/>
    <w:rPr>
      <w:kern w:val="2"/>
      <w:sz w:val="18"/>
      <w:szCs w:val="18"/>
    </w:rPr>
  </w:style>
  <w:style w:type="paragraph" w:styleId="21">
    <w:name w:val="List Paragraph"/>
    <w:basedOn w:val="1"/>
    <w:qFormat/>
    <w:uiPriority w:val="34"/>
    <w:pPr>
      <w:ind w:firstLine="420" w:firstLineChars="200"/>
    </w:pPr>
  </w:style>
  <w:style w:type="character" w:customStyle="1" w:styleId="22">
    <w:name w:val="标题 2 Char"/>
    <w:basedOn w:val="9"/>
    <w:link w:val="3"/>
    <w:semiHidden/>
    <w:uiPriority w:val="0"/>
    <w:rPr>
      <w:rFonts w:ascii="宋体" w:hAnsi="宋体" w:cs="宋体"/>
      <w:b/>
      <w:sz w:val="36"/>
      <w:szCs w:val="36"/>
    </w:rPr>
  </w:style>
  <w:style w:type="character" w:customStyle="1" w:styleId="23">
    <w:name w:val="font31"/>
    <w:basedOn w:val="9"/>
    <w:qFormat/>
    <w:uiPriority w:val="0"/>
    <w:rPr>
      <w:rFonts w:hint="eastAsia" w:ascii="宋体" w:hAnsi="宋体" w:eastAsia="宋体" w:cs="宋体"/>
      <w:color w:val="000000"/>
      <w:sz w:val="18"/>
      <w:szCs w:val="18"/>
      <w:u w:val="none"/>
    </w:rPr>
  </w:style>
  <w:style w:type="paragraph" w:customStyle="1" w:styleId="24">
    <w:name w:val="普通(网站)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25">
    <w:name w:val="hover19"/>
    <w:basedOn w:val="9"/>
    <w:qFormat/>
    <w:uiPriority w:val="0"/>
    <w:rPr>
      <w:shd w:val="clear" w:fill="E1E1E1"/>
    </w:rPr>
  </w:style>
  <w:style w:type="character" w:customStyle="1" w:styleId="26">
    <w:name w:val="hover20"/>
    <w:basedOn w:val="9"/>
    <w:qFormat/>
    <w:uiPriority w:val="0"/>
    <w:rPr>
      <w:color w:val="000000"/>
      <w:shd w:val="clear" w:fill="FFFFFF"/>
    </w:rPr>
  </w:style>
  <w:style w:type="character" w:customStyle="1" w:styleId="27">
    <w:name w:val="more"/>
    <w:basedOn w:val="9"/>
    <w:qFormat/>
    <w:uiPriority w:val="0"/>
  </w:style>
  <w:style w:type="character" w:customStyle="1" w:styleId="28">
    <w:name w:val="more1"/>
    <w:basedOn w:val="9"/>
    <w:qFormat/>
    <w:uiPriority w:val="0"/>
  </w:style>
  <w:style w:type="character" w:customStyle="1" w:styleId="29">
    <w:name w:val="more2"/>
    <w:basedOn w:val="9"/>
    <w:qFormat/>
    <w:uiPriority w:val="0"/>
  </w:style>
  <w:style w:type="character" w:customStyle="1" w:styleId="30">
    <w:name w:val="more3"/>
    <w:basedOn w:val="9"/>
    <w:qFormat/>
    <w:uiPriority w:val="0"/>
  </w:style>
  <w:style w:type="character" w:customStyle="1" w:styleId="31">
    <w:name w:val="more4"/>
    <w:basedOn w:val="9"/>
    <w:qFormat/>
    <w:uiPriority w:val="0"/>
  </w:style>
  <w:style w:type="character" w:customStyle="1" w:styleId="32">
    <w:name w:val="more5"/>
    <w:basedOn w:val="9"/>
    <w:qFormat/>
    <w:uiPriority w:val="0"/>
  </w:style>
  <w:style w:type="character" w:customStyle="1" w:styleId="33">
    <w:name w:val="more6"/>
    <w:basedOn w:val="9"/>
    <w:qFormat/>
    <w:uiPriority w:val="0"/>
  </w:style>
  <w:style w:type="character" w:customStyle="1" w:styleId="34">
    <w:name w:val="wx-space"/>
    <w:basedOn w:val="9"/>
    <w:qFormat/>
    <w:uiPriority w:val="0"/>
  </w:style>
  <w:style w:type="character" w:customStyle="1" w:styleId="35">
    <w:name w:val="wx-space1"/>
    <w:basedOn w:val="9"/>
    <w:qFormat/>
    <w:uiPriority w:val="0"/>
  </w:style>
  <w:style w:type="character" w:customStyle="1" w:styleId="36">
    <w:name w:val="bsharetext"/>
    <w:basedOn w:val="9"/>
    <w:qFormat/>
    <w:uiPriority w:val="0"/>
  </w:style>
  <w:style w:type="character" w:customStyle="1" w:styleId="37">
    <w:name w:val="more7"/>
    <w:basedOn w:val="9"/>
    <w:qFormat/>
    <w:uiPriority w:val="0"/>
  </w:style>
  <w:style w:type="character" w:customStyle="1" w:styleId="38">
    <w:name w:val="hover18"/>
    <w:basedOn w:val="9"/>
    <w:qFormat/>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4714</Words>
  <Characters>6078</Characters>
  <Lines>58</Lines>
  <Paragraphs>16</Paragraphs>
  <TotalTime>3</TotalTime>
  <ScaleCrop>false</ScaleCrop>
  <LinksUpToDate>false</LinksUpToDate>
  <CharactersWithSpaces>6865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2018-08-10T00:59:00Z</dcterms:created>
  <dc:creator>Lenovo User</dc:creator>
  <cp:lastModifiedBy>快速在线</cp:lastModifiedBy>
  <cp:lastPrinted>2013-10-09T02:05:00Z</cp:lastPrinted>
  <dcterms:modified xsi:type="dcterms:W3CDTF">2022-06-02T00:19:17Z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E9E1C24BC6BF4C37A192904711FC2707</vt:lpwstr>
  </property>
</Properties>
</file>