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rPr>
      </w:pPr>
      <w:r>
        <w:rPr>
          <w:rFonts w:hint="eastAsia"/>
          <w:sz w:val="84"/>
          <w:szCs w:val="84"/>
        </w:rPr>
        <w:t>道县上关街道办事处</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上关街道办事处</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snapToGrid/>
        <w:spacing w:line="640" w:lineRule="exact"/>
        <w:ind w:firstLine="600" w:firstLineChars="200"/>
        <w:textAlignment w:val="auto"/>
        <w:rPr>
          <w:rFonts w:ascii="宋体" w:hAnsi="宋体"/>
          <w:color w:val="010101"/>
          <w:sz w:val="30"/>
          <w:szCs w:val="30"/>
        </w:rPr>
      </w:pPr>
      <w:r>
        <w:rPr>
          <w:rFonts w:hint="eastAsia" w:ascii="宋体" w:hAnsi="宋体"/>
          <w:color w:val="010101"/>
          <w:sz w:val="30"/>
          <w:szCs w:val="30"/>
        </w:rPr>
        <w:t>（1）执行本级人民代表大会的决议和上级国家行政机关的决定和命令，发布决定和命令。执行本行政区域内的经济和社会发展计划，加强公共设施的建设和管理，发展各项服务事业。</w:t>
      </w:r>
    </w:p>
    <w:p>
      <w:pPr>
        <w:keepNext w:val="0"/>
        <w:keepLines w:val="0"/>
        <w:pageBreakBefore w:val="0"/>
        <w:kinsoku/>
        <w:wordWrap/>
        <w:overflowPunct/>
        <w:topLinePunct w:val="0"/>
        <w:autoSpaceDE/>
        <w:autoSpaceDN/>
        <w:bidi w:val="0"/>
        <w:snapToGrid/>
        <w:spacing w:line="640" w:lineRule="exact"/>
        <w:ind w:firstLine="600" w:firstLineChars="200"/>
        <w:textAlignment w:val="auto"/>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2</w:t>
      </w:r>
      <w:r>
        <w:rPr>
          <w:rFonts w:hint="eastAsia" w:ascii="宋体" w:hAnsi="宋体"/>
          <w:color w:val="010101"/>
          <w:sz w:val="30"/>
          <w:szCs w:val="30"/>
        </w:rPr>
        <w:t>）依法管理本级财政、执行本级预算。</w:t>
      </w:r>
    </w:p>
    <w:p>
      <w:pPr>
        <w:keepNext w:val="0"/>
        <w:keepLines w:val="0"/>
        <w:pageBreakBefore w:val="0"/>
        <w:kinsoku/>
        <w:wordWrap/>
        <w:overflowPunct/>
        <w:topLinePunct w:val="0"/>
        <w:autoSpaceDE/>
        <w:autoSpaceDN/>
        <w:bidi w:val="0"/>
        <w:snapToGrid/>
        <w:spacing w:line="640" w:lineRule="exact"/>
        <w:ind w:firstLine="600" w:firstLineChars="200"/>
        <w:textAlignment w:val="auto"/>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3</w:t>
      </w:r>
      <w:r>
        <w:rPr>
          <w:rFonts w:hint="eastAsia" w:ascii="宋体" w:hAnsi="宋体"/>
          <w:color w:val="010101"/>
          <w:sz w:val="30"/>
          <w:szCs w:val="30"/>
        </w:rPr>
        <w:t>）保护国有资产和集体所有的财产，保护公民私人所有的合法财产、保障公民的人身权利、民主权利和其他权利，保护各种组织的合法权益。</w:t>
      </w:r>
    </w:p>
    <w:p>
      <w:pPr>
        <w:keepNext w:val="0"/>
        <w:keepLines w:val="0"/>
        <w:pageBreakBefore w:val="0"/>
        <w:kinsoku/>
        <w:wordWrap/>
        <w:overflowPunct/>
        <w:topLinePunct w:val="0"/>
        <w:autoSpaceDE/>
        <w:autoSpaceDN/>
        <w:bidi w:val="0"/>
        <w:snapToGrid/>
        <w:spacing w:line="640" w:lineRule="exact"/>
        <w:ind w:firstLine="600" w:firstLineChars="200"/>
        <w:textAlignment w:val="auto"/>
        <w:rPr>
          <w:rFonts w:hint="eastAsia" w:ascii="宋体" w:hAnsi="宋体" w:eastAsia="宋体"/>
          <w:color w:val="010101"/>
          <w:sz w:val="30"/>
          <w:szCs w:val="30"/>
          <w:lang w:eastAsia="zh-CN"/>
        </w:rPr>
      </w:pPr>
      <w:r>
        <w:rPr>
          <w:rFonts w:hint="eastAsia" w:ascii="宋体" w:hAnsi="宋体"/>
          <w:color w:val="010101"/>
          <w:sz w:val="30"/>
          <w:szCs w:val="30"/>
        </w:rPr>
        <w:t>（</w:t>
      </w:r>
      <w:r>
        <w:rPr>
          <w:rFonts w:hint="eastAsia" w:ascii="宋体" w:hAnsi="宋体"/>
          <w:color w:val="010101"/>
          <w:sz w:val="30"/>
          <w:szCs w:val="30"/>
          <w:lang w:val="en-US" w:eastAsia="zh-CN"/>
        </w:rPr>
        <w:t>4</w:t>
      </w:r>
      <w:r>
        <w:rPr>
          <w:rFonts w:hint="eastAsia" w:ascii="宋体" w:hAnsi="宋体"/>
          <w:color w:val="010101"/>
          <w:sz w:val="30"/>
          <w:szCs w:val="30"/>
        </w:rPr>
        <w:t>）开展社会主义民主与法制教育，调解民事纠纷，维护社会秩序。推行</w:t>
      </w:r>
      <w:r>
        <w:rPr>
          <w:rFonts w:hint="eastAsia" w:ascii="宋体" w:hAnsi="宋体"/>
          <w:color w:val="010101"/>
          <w:sz w:val="30"/>
          <w:szCs w:val="30"/>
          <w:lang w:eastAsia="zh-CN"/>
        </w:rPr>
        <w:t>乡村振兴</w:t>
      </w:r>
      <w:r>
        <w:rPr>
          <w:rFonts w:hint="eastAsia" w:ascii="宋体" w:hAnsi="宋体"/>
          <w:color w:val="010101"/>
          <w:sz w:val="30"/>
          <w:szCs w:val="30"/>
        </w:rPr>
        <w:t>，</w:t>
      </w:r>
      <w:r>
        <w:rPr>
          <w:rFonts w:hint="eastAsia" w:ascii="宋体" w:hAnsi="宋体"/>
          <w:color w:val="010101"/>
          <w:sz w:val="30"/>
          <w:szCs w:val="30"/>
          <w:lang w:eastAsia="zh-CN"/>
        </w:rPr>
        <w:t>推进新农村建设与美丽乡村建设。</w:t>
      </w:r>
      <w:r>
        <w:rPr>
          <w:rFonts w:hint="eastAsia" w:ascii="宋体" w:hAnsi="宋体"/>
          <w:color w:val="010101"/>
          <w:sz w:val="30"/>
          <w:szCs w:val="30"/>
        </w:rPr>
        <w:t>负责民政工作，发展社会福利事业，做好社会保障工作，办理兵役事项。</w:t>
      </w:r>
    </w:p>
    <w:p>
      <w:pPr>
        <w:keepNext w:val="0"/>
        <w:keepLines w:val="0"/>
        <w:pageBreakBefore w:val="0"/>
        <w:kinsoku/>
        <w:wordWrap/>
        <w:overflowPunct/>
        <w:topLinePunct w:val="0"/>
        <w:autoSpaceDE/>
        <w:autoSpaceDN/>
        <w:bidi w:val="0"/>
        <w:snapToGrid/>
        <w:spacing w:line="640" w:lineRule="exact"/>
        <w:ind w:firstLine="600" w:firstLineChars="200"/>
        <w:textAlignment w:val="auto"/>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5</w:t>
      </w:r>
      <w:r>
        <w:rPr>
          <w:rFonts w:hint="eastAsia" w:ascii="宋体" w:hAnsi="宋体"/>
          <w:color w:val="010101"/>
          <w:sz w:val="30"/>
          <w:szCs w:val="30"/>
        </w:rPr>
        <w:t>）承办上级人民政府交办的其他事项。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宋体" w:hAnsi="宋体"/>
          <w:color w:val="010101"/>
          <w:sz w:val="30"/>
          <w:szCs w:val="30"/>
          <w:lang w:val="en-US" w:eastAsia="zh-CN"/>
        </w:rPr>
      </w:pPr>
      <w:r>
        <w:rPr>
          <w:rFonts w:hint="eastAsia" w:asciiTheme="minorEastAsia" w:hAnsiTheme="minorEastAsia"/>
          <w:bCs/>
          <w:kern w:val="0"/>
          <w:sz w:val="32"/>
          <w:szCs w:val="32"/>
        </w:rPr>
        <w:t>（一）内设机构设置。</w:t>
      </w:r>
      <w:r>
        <w:rPr>
          <w:rFonts w:hint="eastAsia" w:ascii="宋体" w:hAnsi="宋体"/>
          <w:color w:val="010101"/>
          <w:sz w:val="30"/>
          <w:szCs w:val="30"/>
        </w:rPr>
        <w:t>我单位为正科级全额拨款行政单位，内设党政综合办公室、基层党建办公室、经济发展办公室、社会事务办公室、自然资源和生态环境办公室、社会治安和应急管理办公室，社会事务综合服务中心、农业综合服务中心、政务服务中心，退役军人服务站，综合行政执法大队等11个办公室（事务中心、站、大队）。现实有在编人数行政29人，事业30人，配有小车1辆。</w:t>
      </w:r>
      <w:r>
        <w:rPr>
          <w:rFonts w:hint="eastAsia" w:ascii="宋体" w:hAnsi="宋体"/>
          <w:color w:val="010101"/>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道县上关街道办事处</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both"/>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道县上关街道办事处</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1,397.08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200.38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450.73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112.21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341.13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200.38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436.01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1,597.46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1,597.46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1,597.46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1,597.46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2091"/>
        <w:gridCol w:w="152"/>
        <w:gridCol w:w="1734"/>
        <w:gridCol w:w="1543"/>
        <w:gridCol w:w="1543"/>
        <w:gridCol w:w="1543"/>
        <w:gridCol w:w="1543"/>
        <w:gridCol w:w="1543"/>
        <w:gridCol w:w="1543"/>
        <w:gridCol w:w="2193"/>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0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977"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w:t>
            </w:r>
            <w:r>
              <w:rPr>
                <w:rFonts w:hint="eastAsia"/>
                <w:color w:val="000000"/>
                <w:sz w:val="20"/>
                <w:szCs w:val="20"/>
                <w:lang w:val="en-US" w:eastAsia="zh-CN"/>
              </w:rPr>
              <w:t>道县上关街道办事处</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24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73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4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9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1,597.46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1,597.46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57.01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57.01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8.15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46.81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46.81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46.81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46.81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450.73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450.73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450.73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450.73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450.73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450.73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112.21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112.21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87.29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87.29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47.60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39.70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39.70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24.92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24.92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24.92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24.92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341.13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341.13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318.35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318.35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318.35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318.35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22.78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22.78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22.78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22.78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200.38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200.38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200.38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200.38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13.16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13.16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187.22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187.22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436.01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436.01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2130234</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104.30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330.71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330.71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315.71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315.71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25" w:type="dxa"/>
        <w:tblInd w:w="151" w:type="dxa"/>
        <w:tblLayout w:type="autofit"/>
        <w:tblCellMar>
          <w:top w:w="0" w:type="dxa"/>
          <w:left w:w="108" w:type="dxa"/>
          <w:bottom w:w="0" w:type="dxa"/>
          <w:right w:w="108" w:type="dxa"/>
        </w:tblCellMar>
      </w:tblPr>
      <w:tblGrid>
        <w:gridCol w:w="986"/>
        <w:gridCol w:w="822"/>
        <w:gridCol w:w="222"/>
        <w:gridCol w:w="1411"/>
        <w:gridCol w:w="14"/>
        <w:gridCol w:w="1632"/>
        <w:gridCol w:w="14"/>
        <w:gridCol w:w="1665"/>
        <w:gridCol w:w="14"/>
        <w:gridCol w:w="1665"/>
        <w:gridCol w:w="14"/>
        <w:gridCol w:w="1665"/>
        <w:gridCol w:w="14"/>
        <w:gridCol w:w="1665"/>
        <w:gridCol w:w="14"/>
        <w:gridCol w:w="2294"/>
        <w:gridCol w:w="14"/>
      </w:tblGrid>
      <w:tr>
        <w:trPr>
          <w:gridAfter w:val="1"/>
          <w:wAfter w:w="14" w:type="dxa"/>
          <w:trHeight w:val="435" w:hRule="atLeast"/>
        </w:trPr>
        <w:tc>
          <w:tcPr>
            <w:tcW w:w="14111" w:type="dxa"/>
            <w:gridSpan w:val="16"/>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lang w:eastAsia="zh-CN"/>
              </w:rPr>
            </w:pPr>
          </w:p>
        </w:tc>
      </w:tr>
      <w:tr>
        <w:tblPrEx>
          <w:tblCellMar>
            <w:top w:w="0" w:type="dxa"/>
            <w:left w:w="108" w:type="dxa"/>
            <w:bottom w:w="0" w:type="dxa"/>
            <w:right w:w="108" w:type="dxa"/>
          </w:tblCellMar>
        </w:tblPrEx>
        <w:trPr>
          <w:gridAfter w:val="1"/>
          <w:wAfter w:w="14" w:type="dxa"/>
          <w:trHeight w:val="276" w:hRule="atLeast"/>
        </w:trPr>
        <w:tc>
          <w:tcPr>
            <w:tcW w:w="1808"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222" w:type="dxa"/>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1411" w:type="dxa"/>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1646"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1679"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1679"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1679"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1679"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kern w:val="0"/>
                <w:sz w:val="24"/>
                <w:szCs w:val="24"/>
                <w:lang w:val="en-US"/>
              </w:rPr>
            </w:pPr>
            <w:r>
              <w:rPr>
                <w:rFonts w:hint="default" w:ascii="宋体" w:hAnsi="宋体" w:eastAsia="宋体" w:cs="宋体"/>
                <w:kern w:val="0"/>
                <w:sz w:val="24"/>
                <w:szCs w:val="24"/>
                <w:lang w:val="en-US"/>
              </w:rPr>
              <w:t>　</w:t>
            </w:r>
          </w:p>
        </w:tc>
        <w:tc>
          <w:tcPr>
            <w:tcW w:w="2308" w:type="dxa"/>
            <w:gridSpan w:val="2"/>
            <w:tcBorders>
              <w:top w:val="nil"/>
              <w:left w:val="nil"/>
              <w:bottom w:val="nil"/>
              <w:right w:val="nil"/>
            </w:tcBorders>
            <w:shd w:val="clear" w:color="000000" w:fill="FFFFFF"/>
            <w:noWrap/>
            <w:vAlign w:val="center"/>
          </w:tcPr>
          <w:p>
            <w:pPr>
              <w:widowControl/>
              <w:jc w:val="right"/>
              <w:rPr>
                <w:rFonts w:hint="default" w:ascii="宋体" w:hAnsi="宋体" w:eastAsia="宋体" w:cs="宋体"/>
                <w:color w:val="000000"/>
                <w:kern w:val="0"/>
                <w:sz w:val="20"/>
                <w:szCs w:val="20"/>
                <w:lang w:val="en-US"/>
              </w:rPr>
            </w:pPr>
            <w:r>
              <w:rPr>
                <w:rFonts w:hint="default" w:ascii="宋体" w:hAnsi="宋体" w:eastAsia="宋体" w:cs="宋体"/>
                <w:color w:val="000000"/>
                <w:kern w:val="0"/>
                <w:sz w:val="20"/>
                <w:szCs w:val="20"/>
                <w:lang w:val="en-US"/>
              </w:rPr>
              <w:t>公开03表</w:t>
            </w:r>
          </w:p>
        </w:tc>
      </w:tr>
      <w:tr>
        <w:trPr>
          <w:trHeight w:val="300" w:hRule="atLeast"/>
        </w:trPr>
        <w:tc>
          <w:tcPr>
            <w:tcW w:w="3455" w:type="dxa"/>
            <w:gridSpan w:val="5"/>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道县上关街道办事处</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4" w:type="dxa"/>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14" w:type="dxa"/>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rPr>
          <w:gridAfter w:val="1"/>
          <w:wAfter w:w="14" w:type="dxa"/>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rPr>
          <w:gridAfter w:val="1"/>
          <w:wAfter w:w="14" w:type="dxa"/>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rPr>
          <w:gridAfter w:val="1"/>
          <w:wAfter w:w="14" w:type="dxa"/>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1,597.46</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934.63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662.83</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57.01</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46.81</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46.81</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450.73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420.73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450.73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420.73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450.73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420.73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112.21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112.21</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87.29</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87.29</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24.92</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341.13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27.98</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313.15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318.35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313.15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318.35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313.15</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22.78</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22.78</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200.38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200.38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200.38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200.38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13.16</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13.16</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187.22</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187.22</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436.01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316.71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119.30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林业和草原</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2130234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104.30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104.30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104.30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104.30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330.71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315.71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gridAfter w:val="1"/>
          <w:wAfter w:w="14"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315.71</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315.71</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gridAfter w:val="1"/>
          <w:wAfter w:w="14" w:type="dxa"/>
          <w:trHeight w:val="630" w:hRule="atLeast"/>
        </w:trPr>
        <w:tc>
          <w:tcPr>
            <w:tcW w:w="14111" w:type="dxa"/>
            <w:gridSpan w:val="16"/>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道县上关街道办事处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1,397.08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57.01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200.38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450.73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450.73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112.21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112.21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341.13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341.13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436.01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436.01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1,597.46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1,597.46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1,397.08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1,597.46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1,597.46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1,397.08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200.38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道县上关街道办事处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2"/>
        <w:gridCol w:w="3276"/>
        <w:gridCol w:w="2846"/>
        <w:gridCol w:w="3280"/>
        <w:gridCol w:w="2829"/>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1,397.08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934.63</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462.45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450.73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420.73</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450.73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420.73</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450.73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420.73</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112.21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112.21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87.29</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87.29</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341.13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27.98</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318.35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318.35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436.01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316.71</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林业和草原</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2130234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104.30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104.30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330.71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315.71</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315.71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315.71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tbl>
      <w:tblPr>
        <w:tblStyle w:val="5"/>
        <w:tblW w:w="0" w:type="auto"/>
        <w:tblInd w:w="0" w:type="dxa"/>
        <w:tblLayout w:type="autofit"/>
        <w:tblCellMar>
          <w:top w:w="0" w:type="dxa"/>
          <w:left w:w="108" w:type="dxa"/>
          <w:bottom w:w="0" w:type="dxa"/>
          <w:right w:w="108" w:type="dxa"/>
        </w:tblCellMar>
      </w:tblPr>
      <w:tblGrid>
        <w:gridCol w:w="1288"/>
        <w:gridCol w:w="3204"/>
        <w:gridCol w:w="851"/>
        <w:gridCol w:w="1178"/>
        <w:gridCol w:w="2212"/>
        <w:gridCol w:w="851"/>
        <w:gridCol w:w="1179"/>
        <w:gridCol w:w="3997"/>
        <w:gridCol w:w="854"/>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道县上关街道办事处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508.06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193.75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115.46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232.82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24.92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206.71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17.55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34.55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740.88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193.75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道县上关街道办事处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道县上关街道办事处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200.38</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200.38</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200.38</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200.38</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200.38</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200.38</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200.38</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200.38</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200.38</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13.16</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13.16</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13.16</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187.22</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187.22</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187.22</w:t>
            </w:r>
          </w:p>
        </w:tc>
        <w:tc>
          <w:tcPr>
            <w:tcW w:w="185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道县上关街道办事处</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r>
        <w:rPr>
          <w:rFonts w:hint="eastAsia" w:ascii="宋体" w:hAnsi="宋体" w:eastAsia="宋体" w:cs="宋体"/>
          <w:color w:val="auto"/>
          <w:kern w:val="0"/>
          <w:sz w:val="24"/>
          <w:szCs w:val="24"/>
          <w:lang w:val="en-US" w:eastAsia="zh-CN" w:bidi="ar-SA"/>
        </w:rPr>
        <w:t>上关街道办事处没有国有资本经营收入，也没有使用国有资本经营安排的支出，故本表无数据。</w:t>
      </w: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widowControl/>
        <w:shd w:val="clear" w:color="auto" w:fill="FFFFFF"/>
        <w:spacing w:before="100" w:beforeAutospacing="1" w:after="100" w:afterAutospacing="1" w:line="432" w:lineRule="auto"/>
        <w:ind w:firstLine="537" w:firstLineChars="168"/>
        <w:jc w:val="left"/>
        <w:rPr>
          <w:rFonts w:ascii="宋体" w:hAnsi="宋体" w:cs="宋体"/>
          <w:color w:val="333333"/>
          <w:kern w:val="0"/>
          <w:szCs w:val="21"/>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万元。与上年相比，</w:t>
      </w:r>
      <w:r>
        <w:rPr>
          <w:rFonts w:hint="eastAsia" w:ascii="宋体" w:hAnsi="宋体" w:cs="宋体"/>
          <w:color w:val="333333"/>
          <w:kern w:val="0"/>
          <w:sz w:val="32"/>
          <w:szCs w:val="32"/>
        </w:rPr>
        <w:t>增加392.28万元</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增加32.55</w:t>
      </w:r>
      <w:r>
        <w:rPr>
          <w:rFonts w:hint="eastAsia" w:ascii="仿宋_GB2312" w:hAnsi="宋体" w:eastAsia="仿宋_GB2312" w:cs="宋体"/>
          <w:color w:val="333333"/>
          <w:kern w:val="0"/>
          <w:sz w:val="32"/>
          <w:szCs w:val="32"/>
        </w:rPr>
        <w:t>%，</w:t>
      </w:r>
      <w:r>
        <w:rPr>
          <w:rFonts w:hint="eastAsia" w:ascii="宋体" w:hAnsi="宋体" w:cs="宋体"/>
          <w:color w:val="333333"/>
          <w:kern w:val="0"/>
          <w:sz w:val="32"/>
          <w:szCs w:val="32"/>
        </w:rPr>
        <w:t>主要是专项收入的增加，主要包括道县八小污水及雨水管网建设107.4万、社区民生微实事项目313.15万元</w:t>
      </w:r>
      <w:r>
        <w:rPr>
          <w:rFonts w:hint="eastAsia" w:ascii="仿宋_GB2312" w:hAnsi="宋体" w:eastAsia="仿宋_GB2312" w:cs="宋体"/>
          <w:color w:val="333333"/>
          <w:kern w:val="0"/>
          <w:sz w:val="32"/>
          <w:szCs w:val="32"/>
        </w:rPr>
        <w:t>。</w:t>
      </w:r>
    </w:p>
    <w:p>
      <w:pPr>
        <w:pStyle w:val="9"/>
        <w:ind w:firstLine="640" w:firstLineChars="20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934.63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662.83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万元，与上年相比，，增加392.28万元，增加32.55%，主要是专项收入的增加，主要包括道县八小污水及雨水管网建设107.4万、社区民生微实事项目313.15万元。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宋体" w:hAnsi="宋体" w:cs="宋体"/>
          <w:color w:val="333333"/>
          <w:kern w:val="0"/>
          <w:szCs w:val="21"/>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宋体" w:hAnsi="宋体" w:cs="宋体"/>
          <w:color w:val="333333"/>
          <w:kern w:val="0"/>
          <w:sz w:val="32"/>
          <w:szCs w:val="32"/>
        </w:rPr>
        <w:t>392.28万元</w:t>
      </w:r>
      <w:r>
        <w:rPr>
          <w:rFonts w:hint="eastAsia" w:ascii="Malgun Gothic Semilight" w:hAnsi="Malgun Gothic Semilight" w:eastAsia="Malgun Gothic Semilight" w:cs="Malgun Gothic Semilight"/>
          <w:color w:val="333333"/>
          <w:kern w:val="0"/>
          <w:sz w:val="32"/>
          <w:szCs w:val="32"/>
        </w:rPr>
        <w:t>，</w:t>
      </w:r>
      <w:r>
        <w:rPr>
          <w:rFonts w:hint="eastAsia" w:asciiTheme="minorEastAsia" w:hAnsiTheme="minorEastAsia" w:eastAsiaTheme="minorEastAsia"/>
          <w:sz w:val="32"/>
          <w:szCs w:val="32"/>
        </w:rPr>
        <w:t>增加32.55%，主要是道县八小污水及雨水管网建设107.4万、社区民生微实事项目313.15万元。</w:t>
      </w:r>
    </w:p>
    <w:p>
      <w:pPr>
        <w:pStyle w:val="9"/>
        <w:ind w:firstLine="800" w:firstLineChars="250"/>
        <w:rPr>
          <w:rFonts w:asciiTheme="minorEastAsia" w:hAnsiTheme="minorEastAsia" w:eastAsiaTheme="minorEastAsia"/>
          <w:sz w:val="32"/>
          <w:szCs w:val="32"/>
        </w:rPr>
      </w:pP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1597.46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943.63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项目</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662.83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934.63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740.8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79.3</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193.7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20.7</w:t>
      </w:r>
      <w:r>
        <w:rPr>
          <w:rFonts w:hint="eastAsia" w:asciiTheme="minorEastAsia" w:hAnsiTheme="minorEastAsia" w:eastAsiaTheme="minorEastAsia"/>
          <w:sz w:val="32"/>
          <w:szCs w:val="32"/>
        </w:rPr>
        <w:t>%，主要包括办公费、印刷费、咨询费、手续费。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7.85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58.60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其中：</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0.5万元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减少14.29%，</w:t>
      </w:r>
      <w:r>
        <w:rPr>
          <w:rFonts w:hint="eastAsia" w:asciiTheme="minorEastAsia" w:hAnsiTheme="minorEastAsia" w:eastAsiaTheme="minorEastAsia"/>
          <w:sz w:val="32"/>
          <w:szCs w:val="32"/>
        </w:rPr>
        <w:t>主要原因是本单位加强对公务接待的标准及对象严格控制，缩减开支。</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公务用车购置费支出预算为0万元，支出决算为0万元，由于预算数为0，无法计算百分比，本年度本单位无车辆购置。</w:t>
      </w:r>
      <w:bookmarkStart w:id="3" w:name="_GoBack"/>
      <w:bookmarkEnd w:id="3"/>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88.9</w:t>
      </w:r>
      <w:r>
        <w:rPr>
          <w:rFonts w:hint="eastAsia" w:asciiTheme="minorEastAsia" w:hAnsiTheme="minorEastAsia" w:eastAsiaTheme="minorEastAsia"/>
          <w:sz w:val="32"/>
          <w:szCs w:val="32"/>
        </w:rPr>
        <w:t>%，决算数小于预算数的主要原因是减少了一般性支出行政运行</w:t>
      </w:r>
      <w:r>
        <w:rPr>
          <w:rFonts w:hint="eastAsia" w:asciiTheme="minorEastAsia" w:hAnsiTheme="minorEastAsia" w:eastAsiaTheme="minorEastAsia"/>
          <w:sz w:val="32"/>
          <w:szCs w:val="32"/>
          <w:lang w:eastAsia="zh-CN"/>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87</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120</w:t>
      </w:r>
      <w:r>
        <w:rPr>
          <w:rFonts w:hint="eastAsia" w:asciiTheme="minorEastAsia" w:hAnsiTheme="minorEastAsia" w:eastAsiaTheme="minorEastAsia"/>
          <w:sz w:val="32"/>
          <w:szCs w:val="32"/>
        </w:rPr>
        <w:t>人，主要是</w:t>
      </w:r>
      <w:r>
        <w:rPr>
          <w:rFonts w:hint="eastAsia" w:asciiTheme="minorEastAsia" w:hAnsiTheme="minorEastAsia" w:eastAsiaTheme="minorEastAsia"/>
          <w:sz w:val="32"/>
          <w:szCs w:val="32"/>
          <w:lang w:eastAsia="zh-CN"/>
        </w:rPr>
        <w:t>上级部门检查、业务交流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公务用车购置更新0辆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w:t>
      </w:r>
      <w:r>
        <w:rPr>
          <w:rFonts w:hint="eastAsia" w:asciiTheme="minorEastAsia" w:hAnsiTheme="minorEastAsia"/>
          <w:sz w:val="32"/>
          <w:szCs w:val="32"/>
        </w:rPr>
        <w:t>万元，主要是</w:t>
      </w:r>
      <w:r>
        <w:rPr>
          <w:rFonts w:hint="eastAsia" w:asciiTheme="minorEastAsia" w:hAnsiTheme="minorEastAsia"/>
          <w:sz w:val="32"/>
          <w:szCs w:val="32"/>
          <w:lang w:eastAsia="zh-CN"/>
        </w:rPr>
        <w:t>公车燃油费用、修理费用及车辆保险</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200.38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200.38</w:t>
      </w:r>
      <w:r>
        <w:rPr>
          <w:rFonts w:hint="eastAsia" w:asciiTheme="minorEastAsia" w:hAnsiTheme="minorEastAsia" w:eastAsiaTheme="minorEastAsia"/>
          <w:sz w:val="32"/>
          <w:szCs w:val="32"/>
        </w:rPr>
        <w:t>万元，其中项目支出</w:t>
      </w:r>
      <w:r>
        <w:rPr>
          <w:rFonts w:hint="eastAsia" w:asciiTheme="minorEastAsia" w:hAnsiTheme="minorEastAsia" w:eastAsiaTheme="minorEastAsia"/>
          <w:sz w:val="32"/>
          <w:szCs w:val="32"/>
          <w:lang w:val="en-US" w:eastAsia="zh-CN"/>
        </w:rPr>
        <w:t>200.38</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城乡社区支</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200.38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九、机关运行经费支出说明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84.75</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53.2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62.7</w:t>
      </w:r>
      <w:r>
        <w:rPr>
          <w:rFonts w:hint="eastAsia" w:asciiTheme="minorEastAsia" w:hAnsiTheme="minorEastAsia" w:eastAsiaTheme="minorEastAsia"/>
          <w:sz w:val="32"/>
          <w:szCs w:val="32"/>
        </w:rPr>
        <w:t>%。主要原因是</w:t>
      </w:r>
      <w:r>
        <w:rPr>
          <w:rFonts w:hint="eastAsia" w:ascii="仿宋_GB2312" w:hAnsi="黑体" w:eastAsia="仿宋_GB2312"/>
          <w:bCs/>
          <w:sz w:val="32"/>
          <w:szCs w:val="32"/>
        </w:rPr>
        <w:t>减少了一般性支出行政运行及一般公共事务管理。</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党员及表彰</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254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党性组织会</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党建及事业</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197</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职工职能培训</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一般公共服务支出</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农林水支出</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个政府性基金预算项目支出开展绩效自评</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占政府性基金预算项目支出总额的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宋体" w:hAnsi="宋体" w:cs="宋体"/>
          <w:color w:val="333333"/>
          <w:kern w:val="0"/>
          <w:sz w:val="32"/>
          <w:szCs w:val="32"/>
        </w:rPr>
        <w:t>年</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我单位通过完善财务管理制度</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车辆管理制度等相关制度进一步加强财务管理工作</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特别是在年终决算时</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我单位精心组织</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认真全面做好各项帐务处理</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细化各项数据</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做好各项决算报表编报</w:t>
      </w:r>
      <w:r>
        <w:rPr>
          <w:rFonts w:hint="eastAsia" w:ascii="Malgun Gothic Semilight" w:hAnsi="Malgun Gothic Semilight" w:eastAsia="Malgun Gothic Semilight" w:cs="Malgun Gothic Semilight"/>
          <w:color w:val="333333"/>
          <w:kern w:val="0"/>
          <w:sz w:val="32"/>
          <w:szCs w:val="32"/>
        </w:rPr>
        <w:t>、</w:t>
      </w:r>
      <w:r>
        <w:rPr>
          <w:rFonts w:hint="eastAsia" w:ascii="宋体" w:hAnsi="宋体" w:cs="宋体"/>
          <w:color w:val="333333"/>
          <w:kern w:val="0"/>
          <w:sz w:val="32"/>
          <w:szCs w:val="32"/>
        </w:rPr>
        <w:t>审核工作</w:t>
      </w:r>
      <w:r>
        <w:rPr>
          <w:rFonts w:hint="eastAsia" w:ascii="仿宋_GB2312" w:hAnsi="宋体" w:eastAsia="仿宋_GB2312" w:cs="宋体"/>
          <w:color w:val="333333"/>
          <w:kern w:val="0"/>
          <w:sz w:val="32"/>
          <w:szCs w:val="32"/>
        </w:rPr>
        <w:t>。</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widowControl/>
        <w:spacing w:line="600" w:lineRule="atLeast"/>
        <w:ind w:firstLine="640" w:firstLineChars="200"/>
        <w:rPr>
          <w:rFonts w:hint="eastAsia" w:ascii="宋体" w:hAnsi="宋体"/>
          <w:b/>
          <w:sz w:val="32"/>
          <w:szCs w:val="32"/>
        </w:rPr>
      </w:pPr>
      <w:r>
        <w:rPr>
          <w:rFonts w:hint="eastAsia" w:ascii="宋体" w:hAnsi="宋体"/>
          <w:b/>
          <w:sz w:val="32"/>
          <w:szCs w:val="32"/>
        </w:rPr>
        <w:t>一、主要工作职责</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根据《中华人民共和国宪法》规定，本单位主要工作职责是：执行本级人民代表大会的决议和上级国家行政机关的决定和命令，管理本行政区域内的行政工作。 </w:t>
      </w:r>
    </w:p>
    <w:p>
      <w:pPr>
        <w:widowControl/>
        <w:spacing w:line="600" w:lineRule="atLeast"/>
        <w:ind w:firstLine="640" w:firstLineChars="200"/>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、单位基本情况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单位为正科级全额拨款行政单位，内设党政综合办公室、基层党建办公室、经济发展办公室、社会事务办公室、自然资源和生态环境办公室、社会治安和应急管理办公室，社会事务综合服务中心、农业综合服务中心、政务服务中心，退役军人服务站，综合行政执法大队等11个办公室（事务中心、站、大队），行政编制28人(含工勤人员3人），事业编制31人。现实有在编人数行政28人，事业31人，退休人员22人，配有小车1辆。</w:t>
      </w:r>
    </w:p>
    <w:p>
      <w:pPr>
        <w:widowControl/>
        <w:spacing w:line="600" w:lineRule="atLeast"/>
        <w:ind w:firstLine="640" w:firstLineChars="200"/>
        <w:rPr>
          <w:rFonts w:hint="eastAsia" w:ascii="宋体" w:hAnsi="宋体"/>
          <w:b/>
          <w:sz w:val="32"/>
          <w:szCs w:val="32"/>
        </w:rPr>
      </w:pPr>
      <w:r>
        <w:rPr>
          <w:rFonts w:hint="eastAsia" w:ascii="宋体" w:hAnsi="宋体"/>
          <w:b/>
          <w:sz w:val="32"/>
          <w:szCs w:val="32"/>
          <w:lang w:eastAsia="zh-CN"/>
        </w:rPr>
        <w:t>三</w:t>
      </w:r>
      <w:r>
        <w:rPr>
          <w:rFonts w:hint="eastAsia" w:ascii="宋体" w:hAnsi="宋体"/>
          <w:b/>
          <w:sz w:val="32"/>
          <w:szCs w:val="32"/>
        </w:rPr>
        <w:t>、2021年决算收支概况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1、收入决算:2021年收入决算数1597.46万元；其中：财政拨款收入1597.46万元。</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2、支出决算：2021年支出决算数1597.46万元；其中：一般公共服务支出820.89万元，社会保障和就业支出112.21万元，医疗卫生与计划生育支出27.98万元，城乡社区支出200.38万元, 农林水支出436万。</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2021年一般公共预算拨款支出1597.46万元，具体安排情况如下：</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基本支出：934.63万元。</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项目支出：662.83万元</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情况：2021年机关运行经费84.75万元，主要包括办公费11万元，印刷费0.5万元，水费0.5万元，电费3万元，邮电费1.2万元、差旅费0.3万元，维修费8万元，会议费2万元，培训费1.5万元，公务接待费0.6万元，劳务费4万元，福利费9万元，工会经费9.05万元，公务用车运行维护费4万元，其他交通费用17.55万元，其他商品服务支出12.55万元。</w:t>
      </w:r>
    </w:p>
    <w:p>
      <w:pPr>
        <w:widowControl/>
        <w:spacing w:line="600" w:lineRule="atLeast"/>
        <w:ind w:firstLine="640" w:firstLineChars="200"/>
        <w:rPr>
          <w:rFonts w:ascii="宋体" w:hAnsi="宋体"/>
          <w:b/>
          <w:sz w:val="32"/>
          <w:szCs w:val="32"/>
        </w:rPr>
      </w:pPr>
      <w:r>
        <w:rPr>
          <w:rFonts w:hint="eastAsia" w:ascii="宋体" w:hAnsi="宋体"/>
          <w:b/>
          <w:sz w:val="32"/>
          <w:szCs w:val="32"/>
          <w:lang w:eastAsia="zh-CN"/>
        </w:rPr>
        <w:t>四、</w:t>
      </w:r>
      <w:r>
        <w:rPr>
          <w:rFonts w:hint="eastAsia" w:ascii="宋体" w:hAnsi="宋体"/>
          <w:b/>
          <w:sz w:val="32"/>
          <w:szCs w:val="32"/>
        </w:rPr>
        <w:t>部门整体支出</w:t>
      </w:r>
      <w:r>
        <w:rPr>
          <w:rFonts w:ascii="宋体" w:hAnsi="宋体"/>
          <w:b/>
          <w:sz w:val="32"/>
          <w:szCs w:val="32"/>
        </w:rPr>
        <w:t>绩效情况</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1、确保了干部职工工资正常发放和保障了机关的正常运转。</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2、保障民生支出，对民政资金做到及时足额发放，并全程实施监，保证了民生资金的安全。</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3.确保平安稳定建设，辖区内无重大刑事犯罪案件发生。</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4.全力支持县重点项目建设。</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5.加强基层党组织建设，创建众多优秀党支部。</w:t>
      </w:r>
    </w:p>
    <w:p>
      <w:pPr>
        <w:keepNext w:val="0"/>
        <w:keepLines w:val="0"/>
        <w:pageBreakBefore w:val="0"/>
        <w:kinsoku/>
        <w:wordWrap/>
        <w:overflowPunct/>
        <w:topLinePunct w:val="0"/>
        <w:autoSpaceDE/>
        <w:autoSpaceDN/>
        <w:bidi w:val="0"/>
        <w:adjustRightInd w:val="0"/>
        <w:snapToGrid w:val="0"/>
        <w:ind w:firstLine="640" w:firstLineChars="200"/>
        <w:textAlignment w:val="auto"/>
        <w:rPr>
          <w:rFonts w:ascii="宋体" w:hAnsi="宋体"/>
          <w:b/>
          <w:sz w:val="32"/>
          <w:szCs w:val="32"/>
        </w:rPr>
      </w:pPr>
      <w:r>
        <w:rPr>
          <w:rFonts w:hint="eastAsia" w:ascii="宋体" w:hAnsi="宋体"/>
          <w:b/>
          <w:sz w:val="32"/>
          <w:szCs w:val="32"/>
        </w:rPr>
        <w:t>五、改进措施和有关建议</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1、规范账务处理，提高财务信息质量 。</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2、落实财务管理制度，进一步加强接待管理。</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宋体" w:hAnsi="宋体"/>
          <w:sz w:val="32"/>
          <w:szCs w:val="32"/>
        </w:rPr>
      </w:pPr>
      <w:r>
        <w:rPr>
          <w:rFonts w:hint="eastAsia" w:ascii="宋体" w:hAnsi="宋体"/>
          <w:sz w:val="32"/>
          <w:szCs w:val="32"/>
        </w:rPr>
        <w:t>3、搞好人员培训，加强会计队伍建设。</w:t>
      </w:r>
    </w:p>
    <w:p>
      <w:pPr>
        <w:keepNext w:val="0"/>
        <w:keepLines w:val="0"/>
        <w:pageBreakBefore w:val="0"/>
        <w:widowControl/>
        <w:kinsoku/>
        <w:wordWrap/>
        <w:overflowPunct/>
        <w:topLinePunct w:val="0"/>
        <w:autoSpaceDE/>
        <w:autoSpaceDN/>
        <w:bidi w:val="0"/>
        <w:spacing w:line="600" w:lineRule="atLeast"/>
        <w:ind w:firstLine="640" w:firstLineChars="200"/>
        <w:textAlignment w:val="auto"/>
        <w:rPr>
          <w:rFonts w:ascii="Times New Roman" w:hAnsi="Times New Roman" w:eastAsia="仿宋_GB2312" w:cs="Times New Roman"/>
          <w:color w:val="auto"/>
          <w:sz w:val="32"/>
          <w:szCs w:val="32"/>
        </w:rPr>
      </w:pPr>
      <w:r>
        <w:rPr>
          <w:rFonts w:hint="eastAsia" w:ascii="宋体" w:hAnsi="宋体"/>
          <w:sz w:val="32"/>
          <w:szCs w:val="32"/>
        </w:rPr>
        <w:t>4、进一步建章立制，确保会计核算规范化。</w:t>
      </w:r>
    </w:p>
    <w:p>
      <w:pPr>
        <w:ind w:firstLine="640" w:firstLineChars="200"/>
        <w:jc w:val="left"/>
        <w:rPr>
          <w:rFonts w:hint="eastAsia"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A627070"/>
    <w:rsid w:val="0C852363"/>
    <w:rsid w:val="17C90AA4"/>
    <w:rsid w:val="1A424B3D"/>
    <w:rsid w:val="1EDD3086"/>
    <w:rsid w:val="232A6849"/>
    <w:rsid w:val="274A3283"/>
    <w:rsid w:val="325F318B"/>
    <w:rsid w:val="36F60719"/>
    <w:rsid w:val="380A32C1"/>
    <w:rsid w:val="3EF562B2"/>
    <w:rsid w:val="44F74678"/>
    <w:rsid w:val="48B545A9"/>
    <w:rsid w:val="4C1D417B"/>
    <w:rsid w:val="50CA2BBB"/>
    <w:rsid w:val="59987F3E"/>
    <w:rsid w:val="5AD00AFD"/>
    <w:rsid w:val="5B213FD7"/>
    <w:rsid w:val="677B797F"/>
    <w:rsid w:val="71FD5FAF"/>
    <w:rsid w:val="7910665E"/>
    <w:rsid w:val="7C5E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9673</Words>
  <Characters>12358</Characters>
  <Lines>69</Lines>
  <Paragraphs>19</Paragraphs>
  <TotalTime>1</TotalTime>
  <ScaleCrop>false</ScaleCrop>
  <LinksUpToDate>false</LinksUpToDate>
  <CharactersWithSpaces>13358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2023-09-07T09:59:00Z</cp:lastPrinted>
  <dcterms:modified xsi:type="dcterms:W3CDTF">2023-09-28T03:11:32Z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E90F2888E08A4BA9A5F35AE6B1766199_13</vt:lpwstr>
  </property>
</Properties>
</file>