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道县四马桥镇</w:t>
      </w:r>
      <w:r>
        <w:rPr>
          <w:rFonts w:hint="eastAsia" w:ascii="宋体" w:hAnsi="宋体"/>
          <w:b/>
          <w:sz w:val="44"/>
          <w:szCs w:val="44"/>
        </w:rPr>
        <w:t>人民政府部门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整体支出绩效评价报告</w:t>
      </w:r>
    </w:p>
    <w:p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ind w:right="11" w:firstLine="803" w:firstLineChars="200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一、</w:t>
      </w:r>
      <w:r>
        <w:rPr>
          <w:rFonts w:hint="eastAsia" w:ascii="宋体" w:hAnsi="宋体"/>
          <w:b/>
          <w:sz w:val="30"/>
          <w:szCs w:val="30"/>
        </w:rPr>
        <w:t>部门概况</w:t>
      </w:r>
    </w:p>
    <w:p>
      <w:pPr>
        <w:ind w:left="142" w:right="11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（一）部门基本情况：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1．主要职能。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（1）执行本级人民代表大会的决议和上级国家行政机关的决定和命令，发布决定和命令。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（2）执行本行政区域内的经济和社会发展计划，加强公共设施的建设和管理，发展各项服务事业。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（3）依法管理本级财政、执行本级预算。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（4）为农民提供有效的科技、教育、文化、信息、卫生、体育、医疗、人才开发、劳动就业、安全生产等方面的服务。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（5）保护国有资产和集体所有的财产，保护公民私人所有的合法财产、保障公民的人身权利、民主权利和其他权利，保护各种组织的合法权益。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（6）开展社会主义民主与法制教育，加强社会治安综合治理，调解民事纠纷，维护社会秩序。</w:t>
      </w:r>
    </w:p>
    <w:p>
      <w:pPr>
        <w:ind w:firstLine="600" w:firstLineChars="200"/>
        <w:rPr>
          <w:rFonts w:hint="eastAsia" w:ascii="宋体" w:hAnsi="宋体" w:eastAsia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（7）推行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乡村振兴</w:t>
      </w:r>
      <w:r>
        <w:rPr>
          <w:rFonts w:hint="eastAsia" w:ascii="宋体" w:hAnsi="宋体"/>
          <w:color w:val="010101"/>
          <w:sz w:val="30"/>
          <w:szCs w:val="30"/>
        </w:rPr>
        <w:t>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推进新农村建设与美丽乡村建设。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（8）负责民政工作，发展社会福利事业，做好社会保障工作，办理兵役事项。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（9）承办上级人民政府交办的其他事项。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2．机构情况，包括当年变动情况及原因。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eastAsia="zh-CN"/>
        </w:rPr>
        <w:t>道县四马桥镇</w:t>
      </w:r>
      <w:r>
        <w:rPr>
          <w:rFonts w:hint="eastAsia" w:ascii="宋体" w:hAnsi="宋体"/>
          <w:color w:val="010101"/>
          <w:sz w:val="30"/>
          <w:szCs w:val="30"/>
        </w:rPr>
        <w:t>人民政府单位</w:t>
      </w:r>
      <w:r>
        <w:rPr>
          <w:rFonts w:ascii="宋体" w:hAnsi="宋体"/>
          <w:color w:val="010101"/>
          <w:sz w:val="30"/>
          <w:szCs w:val="30"/>
        </w:rPr>
        <w:t>内设机构包括：</w:t>
      </w:r>
      <w:r>
        <w:rPr>
          <w:rFonts w:hint="eastAsia" w:ascii="宋体" w:hAnsi="宋体"/>
          <w:color w:val="010101"/>
          <w:sz w:val="30"/>
          <w:szCs w:val="30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3．人员情况，包括当年变动情况及原因。</w:t>
      </w:r>
    </w:p>
    <w:p>
      <w:pPr>
        <w:ind w:firstLine="750" w:firstLineChars="25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  <w:lang w:eastAsia="zh-CN"/>
        </w:rPr>
        <w:t>2021</w:t>
      </w:r>
      <w:r>
        <w:rPr>
          <w:rFonts w:hint="eastAsia" w:ascii="仿宋_GB2312"/>
          <w:sz w:val="30"/>
          <w:szCs w:val="30"/>
        </w:rPr>
        <w:t>年现实有在编人数</w:t>
      </w:r>
      <w:r>
        <w:rPr>
          <w:rFonts w:hint="eastAsia" w:ascii="仿宋_GB2312"/>
          <w:sz w:val="30"/>
          <w:szCs w:val="30"/>
          <w:lang w:val="en-US" w:eastAsia="zh-CN"/>
        </w:rPr>
        <w:t>57</w:t>
      </w:r>
      <w:r>
        <w:rPr>
          <w:rFonts w:hint="eastAsia" w:ascii="仿宋_GB2312"/>
          <w:sz w:val="30"/>
          <w:szCs w:val="30"/>
        </w:rPr>
        <w:t>人，行政编制</w:t>
      </w:r>
      <w:r>
        <w:rPr>
          <w:rFonts w:hint="eastAsia" w:ascii="仿宋_GB2312"/>
          <w:sz w:val="30"/>
          <w:szCs w:val="30"/>
          <w:lang w:val="en-US" w:eastAsia="zh-CN"/>
        </w:rPr>
        <w:t>34</w:t>
      </w:r>
      <w:r>
        <w:rPr>
          <w:rFonts w:hint="eastAsia" w:ascii="仿宋_GB2312"/>
          <w:sz w:val="30"/>
          <w:szCs w:val="30"/>
        </w:rPr>
        <w:t>人，事业编制</w:t>
      </w:r>
      <w:r>
        <w:rPr>
          <w:rFonts w:hint="eastAsia" w:ascii="仿宋_GB2312"/>
          <w:sz w:val="30"/>
          <w:szCs w:val="30"/>
          <w:lang w:val="en-US" w:eastAsia="zh-CN"/>
        </w:rPr>
        <w:t>21</w:t>
      </w:r>
      <w:r>
        <w:rPr>
          <w:rFonts w:hint="eastAsia" w:ascii="仿宋_GB2312"/>
          <w:sz w:val="30"/>
          <w:szCs w:val="30"/>
        </w:rPr>
        <w:t>人</w:t>
      </w:r>
      <w:r>
        <w:rPr>
          <w:rFonts w:hint="eastAsia" w:ascii="仿宋_GB2312"/>
          <w:sz w:val="30"/>
          <w:szCs w:val="30"/>
          <w:lang w:eastAsia="zh-CN"/>
        </w:rPr>
        <w:t>，</w:t>
      </w:r>
      <w:r>
        <w:rPr>
          <w:rFonts w:hint="eastAsia" w:ascii="仿宋_GB2312"/>
          <w:sz w:val="30"/>
          <w:szCs w:val="30"/>
        </w:rPr>
        <w:t>工勤编制2人,退休人员</w:t>
      </w:r>
      <w:r>
        <w:rPr>
          <w:rFonts w:hint="eastAsia" w:ascii="仿宋_GB2312"/>
          <w:sz w:val="30"/>
          <w:szCs w:val="30"/>
          <w:lang w:val="en-US" w:eastAsia="zh-CN"/>
        </w:rPr>
        <w:t>15</w:t>
      </w:r>
      <w:r>
        <w:rPr>
          <w:rFonts w:hint="eastAsia" w:ascii="仿宋_GB2312"/>
          <w:sz w:val="30"/>
          <w:szCs w:val="30"/>
        </w:rPr>
        <w:t>人，配有小车一辆。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（二）部门整体支出规模、使用方向和主要内容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年本部门收到财政拨款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1460.16</w:t>
      </w:r>
      <w:r>
        <w:rPr>
          <w:rFonts w:hint="eastAsia" w:ascii="宋体" w:hAnsi="宋体"/>
          <w:color w:val="010101"/>
          <w:sz w:val="30"/>
          <w:szCs w:val="30"/>
        </w:rPr>
        <w:t>万元；其中：</w:t>
      </w:r>
      <w:r>
        <w:rPr>
          <w:rFonts w:hint="eastAsia" w:ascii="仿宋_GB2312" w:hAnsi="黑体" w:eastAsia="仿宋_GB2312"/>
          <w:sz w:val="32"/>
          <w:szCs w:val="32"/>
        </w:rPr>
        <w:t>一般公共服务支出599.33万元，社会保障和就业支出79.41万元，医疗卫生与计划生育支出23.45万元，城乡社区支出93.45万元，农林水支出664.52万元。</w:t>
      </w:r>
    </w:p>
    <w:p>
      <w:pPr>
        <w:numPr>
          <w:ilvl w:val="0"/>
          <w:numId w:val="1"/>
        </w:numPr>
        <w:ind w:right="11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一般公共预算支出情况</w:t>
      </w:r>
    </w:p>
    <w:p>
      <w:pPr>
        <w:numPr>
          <w:ilvl w:val="0"/>
          <w:numId w:val="2"/>
        </w:num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基本支出情况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用于为保障我单位正常运转、完成日常工作任务而发生的支出，包括人员经费和公用经费。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年一般公共预算拨款支出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1366.71</w:t>
      </w:r>
      <w:r>
        <w:rPr>
          <w:rFonts w:hint="eastAsia" w:ascii="宋体" w:hAnsi="宋体"/>
          <w:color w:val="010101"/>
          <w:sz w:val="30"/>
          <w:szCs w:val="30"/>
        </w:rPr>
        <w:t>万元，具体安排情况如下：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1、基本支出：</w:t>
      </w:r>
      <w:r>
        <w:rPr>
          <w:rFonts w:hint="eastAsia" w:ascii="仿宋_GB2312" w:hAnsi="黑体" w:eastAsia="仿宋_GB2312"/>
          <w:sz w:val="32"/>
          <w:szCs w:val="32"/>
        </w:rPr>
        <w:t>1143.79万元</w:t>
      </w:r>
      <w:r>
        <w:rPr>
          <w:rFonts w:hint="eastAsia" w:ascii="宋体" w:hAnsi="宋体"/>
          <w:color w:val="010101"/>
          <w:sz w:val="30"/>
          <w:szCs w:val="30"/>
        </w:rPr>
        <w:t>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2、项目支出：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222.92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3、机关运行经费情况：</w:t>
      </w:r>
      <w:r>
        <w:rPr>
          <w:rFonts w:hint="eastAsia" w:ascii="仿宋_GB2312"/>
          <w:sz w:val="30"/>
          <w:szCs w:val="30"/>
        </w:rPr>
        <w:t>2021年机关运行经费210.92万元，主要包括办公费20.36万元，印刷费9.85万元，电费7万元，邮电费2万元，差旅8万元，维修费19万元，会议费3.2万元，培训费1.7万元，公务接待费2.7万元，劳务费9.1万元，福利费12万元，工会经费15万元，公务用车运行维护费5万元，其他交通费用59.08万元，其他商品服务支出36.93万元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。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（二）项目支出情况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年项目资金</w:t>
      </w:r>
      <w:r>
        <w:rPr>
          <w:rFonts w:hint="eastAsia" w:ascii="宋体" w:hAnsi="宋体"/>
          <w:sz w:val="28"/>
          <w:szCs w:val="28"/>
          <w:lang w:val="en-US" w:eastAsia="zh-CN"/>
        </w:rPr>
        <w:t>222.92</w:t>
      </w:r>
      <w:r>
        <w:rPr>
          <w:rFonts w:hint="eastAsia" w:ascii="宋体" w:hAnsi="宋体"/>
          <w:sz w:val="28"/>
          <w:szCs w:val="28"/>
        </w:rPr>
        <w:t>万元，其中：</w:t>
      </w:r>
      <w:r>
        <w:rPr>
          <w:rFonts w:hint="eastAsia" w:ascii="宋体" w:hAnsi="宋体"/>
          <w:sz w:val="28"/>
          <w:szCs w:val="28"/>
          <w:lang w:val="en-US" w:eastAsia="zh-CN"/>
        </w:rPr>
        <w:t>农村综合服务平台206.92万元，农村综合改革转移支付资金16万元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（三）“三公经费”预算与实际支出减少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2021</w:t>
      </w:r>
      <w:r>
        <w:rPr>
          <w:rFonts w:hint="eastAsia" w:ascii="宋体" w:hAnsi="宋体"/>
          <w:sz w:val="30"/>
          <w:szCs w:val="30"/>
        </w:rPr>
        <w:t>年度本单位“三公”经费总额为</w:t>
      </w:r>
      <w:r>
        <w:rPr>
          <w:rFonts w:hint="eastAsia" w:ascii="宋体" w:hAnsi="宋体"/>
          <w:sz w:val="30"/>
          <w:szCs w:val="30"/>
          <w:lang w:val="en-US" w:eastAsia="zh-CN"/>
        </w:rPr>
        <w:t>7.7</w:t>
      </w:r>
      <w:r>
        <w:rPr>
          <w:rFonts w:hint="eastAsia" w:ascii="宋体" w:hAnsi="宋体"/>
          <w:sz w:val="30"/>
          <w:szCs w:val="30"/>
        </w:rPr>
        <w:t>万元，其中公务用车运行及维护费用</w:t>
      </w: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sz w:val="30"/>
          <w:szCs w:val="30"/>
        </w:rPr>
        <w:t>万元，公务接待费</w:t>
      </w:r>
      <w:r>
        <w:rPr>
          <w:rFonts w:hint="eastAsia" w:ascii="宋体" w:hAnsi="宋体"/>
          <w:sz w:val="30"/>
          <w:szCs w:val="30"/>
          <w:lang w:val="en-US" w:eastAsia="zh-CN"/>
        </w:rPr>
        <w:t>2.7</w:t>
      </w:r>
      <w:r>
        <w:rPr>
          <w:rFonts w:hint="eastAsia" w:ascii="宋体" w:hAnsi="宋体"/>
          <w:sz w:val="30"/>
          <w:szCs w:val="30"/>
        </w:rPr>
        <w:t>万元。与预算相比减少了</w:t>
      </w:r>
      <w:r>
        <w:rPr>
          <w:rFonts w:hint="eastAsia" w:ascii="宋体" w:hAnsi="宋体"/>
          <w:sz w:val="30"/>
          <w:szCs w:val="30"/>
          <w:lang w:val="en-US" w:eastAsia="zh-CN"/>
        </w:rPr>
        <w:t>15.3</w:t>
      </w:r>
      <w:r>
        <w:rPr>
          <w:rFonts w:hint="eastAsia" w:ascii="宋体" w:hAnsi="宋体"/>
          <w:sz w:val="30"/>
          <w:szCs w:val="30"/>
        </w:rPr>
        <w:t>万元。</w:t>
      </w:r>
      <w:r>
        <w:rPr>
          <w:rFonts w:hint="eastAsia" w:ascii="宋体" w:hAnsi="宋体"/>
          <w:sz w:val="30"/>
          <w:szCs w:val="30"/>
          <w:lang w:eastAsia="zh-CN"/>
        </w:rPr>
        <w:t>2021</w:t>
      </w:r>
      <w:r>
        <w:rPr>
          <w:rFonts w:hint="eastAsia" w:ascii="宋体" w:hAnsi="宋体"/>
          <w:sz w:val="30"/>
          <w:szCs w:val="30"/>
        </w:rPr>
        <w:t>年公务用车购置数0台，车辆保有量1台，国内公务接待</w:t>
      </w:r>
      <w:r>
        <w:rPr>
          <w:rFonts w:hint="eastAsia" w:ascii="宋体" w:hAnsi="宋体"/>
          <w:sz w:val="30"/>
          <w:szCs w:val="30"/>
          <w:lang w:val="en-US" w:eastAsia="zh-CN"/>
        </w:rPr>
        <w:t>151</w:t>
      </w:r>
      <w:r>
        <w:rPr>
          <w:rFonts w:hint="eastAsia" w:ascii="宋体" w:hAnsi="宋体"/>
          <w:sz w:val="30"/>
          <w:szCs w:val="30"/>
        </w:rPr>
        <w:t>批次，接待人数</w:t>
      </w:r>
      <w:r>
        <w:rPr>
          <w:rFonts w:hint="eastAsia" w:ascii="宋体" w:hAnsi="宋体"/>
          <w:sz w:val="30"/>
          <w:szCs w:val="30"/>
          <w:lang w:val="en-US" w:eastAsia="zh-CN"/>
        </w:rPr>
        <w:t>582</w:t>
      </w:r>
      <w:r>
        <w:rPr>
          <w:rFonts w:hint="eastAsia" w:ascii="宋体" w:hAnsi="宋体"/>
          <w:sz w:val="30"/>
          <w:szCs w:val="30"/>
        </w:rPr>
        <w:t>人。</w:t>
      </w:r>
    </w:p>
    <w:p>
      <w:pPr>
        <w:pStyle w:val="4"/>
        <w:widowControl/>
        <w:spacing w:before="0" w:beforeAutospacing="0" w:after="0" w:afterAutospacing="0"/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三、政府性基金预算支出情况</w:t>
      </w:r>
    </w:p>
    <w:p>
      <w:pPr>
        <w:ind w:right="11" w:firstLine="600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eastAsia="zh-CN"/>
        </w:rPr>
        <w:t>道县四马桥镇</w:t>
      </w:r>
      <w:r>
        <w:rPr>
          <w:rFonts w:hint="eastAsia" w:ascii="宋体" w:hAnsi="宋体"/>
          <w:color w:val="010101"/>
          <w:sz w:val="30"/>
          <w:szCs w:val="30"/>
        </w:rPr>
        <w:t>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年政府性基金预算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支出93.45万元，用于农村综合服务平台建设支出</w:t>
      </w:r>
      <w:r>
        <w:rPr>
          <w:rFonts w:hint="eastAsia" w:ascii="宋体" w:hAnsi="宋体"/>
          <w:color w:val="010101"/>
          <w:sz w:val="30"/>
          <w:szCs w:val="30"/>
        </w:rPr>
        <w:t>。</w:t>
      </w:r>
    </w:p>
    <w:p>
      <w:pPr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>
      <w:p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eastAsia="zh-CN"/>
        </w:rPr>
        <w:t>道县四马桥镇</w:t>
      </w:r>
      <w:r>
        <w:rPr>
          <w:rFonts w:hint="eastAsia" w:ascii="宋体" w:hAnsi="宋体"/>
          <w:color w:val="010101"/>
          <w:sz w:val="30"/>
          <w:szCs w:val="30"/>
        </w:rPr>
        <w:t>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年无国有资本经营预算支出。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五</w:t>
      </w:r>
      <w:r>
        <w:rPr>
          <w:rFonts w:hint="eastAsia" w:ascii="宋体" w:hAnsi="宋体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>
      <w:pPr>
        <w:ind w:left="901" w:right="11"/>
        <w:rPr>
          <w:rFonts w:ascii="宋体" w:hAnsi="宋体"/>
          <w:bCs/>
          <w:color w:val="010101"/>
          <w:sz w:val="30"/>
          <w:szCs w:val="30"/>
        </w:rPr>
      </w:pP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道县四马桥镇</w:t>
      </w:r>
      <w:r>
        <w:rPr>
          <w:rFonts w:ascii="宋体" w:hAnsi="宋体"/>
          <w:bCs/>
          <w:color w:val="010101"/>
          <w:sz w:val="30"/>
          <w:szCs w:val="30"/>
        </w:rPr>
        <w:t>人民政府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2021</w:t>
      </w:r>
      <w:r>
        <w:rPr>
          <w:rFonts w:ascii="宋体" w:hAnsi="宋体"/>
          <w:bCs/>
          <w:color w:val="010101"/>
          <w:sz w:val="30"/>
          <w:szCs w:val="30"/>
        </w:rPr>
        <w:t>年无社会保险基金预算支出。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color w:val="010101"/>
          <w:sz w:val="30"/>
          <w:szCs w:val="30"/>
        </w:rPr>
        <w:t>六、部门整体支出绩效情况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1、确保了干部职工工资正常发放和机关的正常运转，有利于社会稳定</w:t>
      </w:r>
    </w:p>
    <w:p>
      <w:pPr>
        <w:ind w:firstLine="600" w:firstLineChars="200"/>
        <w:rPr>
          <w:rFonts w:hint="default" w:ascii="宋体" w:hAnsi="宋体" w:eastAsia="宋体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2、投入农村综合改革转移支付资金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16万元，对村公路进行扩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宽，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极大的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提升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了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四马桥镇整体的环境面貌。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color w:val="010101"/>
          <w:sz w:val="30"/>
          <w:szCs w:val="30"/>
        </w:rPr>
        <w:t>3、拨付农村综合服务平台建设资金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175.43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万元，以确保项目建设顺利实施</w:t>
      </w:r>
      <w:r>
        <w:rPr>
          <w:rFonts w:hint="eastAsia" w:ascii="宋体" w:hAnsi="宋体" w:cs="Times New Roman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 w:cs="Times New Roman"/>
          <w:color w:val="010101"/>
          <w:sz w:val="30"/>
          <w:szCs w:val="30"/>
          <w:lang w:val="en-US" w:eastAsia="zh-CN"/>
        </w:rPr>
        <w:t>方便群众办理事情，有一个良好的环境。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 xml:space="preserve"> </w:t>
      </w:r>
    </w:p>
    <w:p>
      <w:pPr>
        <w:ind w:firstLine="600" w:firstLineChars="200"/>
        <w:rPr>
          <w:rFonts w:hint="default" w:ascii="宋体" w:hAnsi="宋体" w:eastAsia="宋体" w:cs="Times New Roman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color w:val="010101"/>
          <w:sz w:val="30"/>
          <w:szCs w:val="30"/>
        </w:rPr>
        <w:t>4、为民服务办实事。持续推进重点工程，按照县委、县政府的要求，坚持以人为本，全力推进重点项目工程高质量、高标准建设。一是上坦公路四马桥段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二期工程，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共涉及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个村，为确保年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二期工程有序推进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，镇党委、政府高度重视，进一步强化责任，坚持问题导向，及时解决了项目推进过程中存在的问题和困难。截止目前，完成征地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300余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亩，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拨付征地款416万余元。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二是涔天河工程项目右干渠及东、西干渠和大岩山支渠、浪泥田支渠已全长8.757千米，总造价0.69亿元，预计明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后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两年可全线贯通，将全面解决沿线群众的农业灌溉用水问题。三是四马桥镇污水处理厂建全面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施工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，该污水处理厂占地面积3300平方米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污水处理厂基础设施基本完工，污水管网4.5公里。民生事业态势良好</w:t>
      </w:r>
      <w:r>
        <w:rPr>
          <w:rFonts w:hint="default" w:ascii="宋体" w:hAnsi="宋体" w:eastAsia="宋体" w:cs="Times New Roman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我镇继续加大财政投入力度，强化社会保障，落实民政救助和社会保障政策，保障困难群众生产生活。全镇农村低保户399户994人，兜底户170户484人，农村低保保障资金、五保户分散供养、集中供养资金，残疾人员两项补贴资金均实现了一卡通社会化发放，共发放资金540.2273万元。共发放临时救助90例，共计11.27万元。全镇19009人参与城乡居民养老保险缴费，5951人按月领到基本养老金，城乡居民医疗保险参保缴费率达到93.41%。今年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为群众提供“一门式”便民服务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eastAsia="zh-CN"/>
        </w:rPr>
        <w:t>，将适合在村级办理的养老保险、医疗保险、社会救助、卫生健康服务、老年人优待、残疾人帮扶、惠农政策落实、纠纷调解等公共服务类和费用收缴等便民服务事项，纳入村便民服务中心办理、代办和协办范围，使“城乡跑”变为“网上跑”。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今年为群众网上办理业务500余件。常态化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环境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整治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，以农村生活垃圾、生活污水治理为重点，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常态化抓人居环境整治工作。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20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年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全镇合计收缴卫生费130万余元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，配备卫生保洁员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88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名，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按照要求做到每日一清扫、两天一清运，初步实现收支平衡，自给自足，形成常态化管理机制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。着力推进厕所革命，围绕水资源和立地条件，因地制宜，因户施策，同时严把工程质量及施工技术关，着力推进农村厕所建设标准化、管理规范化、运维市场化、监督社会化。今年我镇预计改厕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120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座，目前完成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座。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有效治理道交安全，为保障群众生命财产安全，提高群众安全意识，消灭道路交通安全顽瘴痼疾，全镇落实两站两员84人，开展文明劝导2万余次；联合四中队、派出所开展整治行动9起，查处不佩戴头盔、违规载人载客200余起，处置报废车辆5台，群众道路交通安全意识明显增强。</w:t>
      </w:r>
    </w:p>
    <w:p>
      <w:pPr>
        <w:ind w:firstLine="600" w:firstLineChars="200"/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5、产业调整稳增长。烤烟生产方面，着力提高农田利用率，推广“烟-稻-油”农田轮作方式，稳定全镇高标准种植烟叶3700余亩，交售烟叶9200余担，，连续5年超额完成县里下达任务，有望连续五年获得“永州市烟叶生产先进单位”。粮油生产方面，全年种植一季稻2.6万亩，双季稻3800余亩，产粮4万余吨。种植高产油菜2800亩，农科站村发展蔬菜种植2600余亩。水果种植方面，发展优质脐橙种植示范基地11000亩，种植高山葡萄380余亩，种植大棚麒麟瓜2400亩。畜牧业养殖方面，牛羊、家禽、渔业生产规模稳中有增，全年共出栏牛羊 5100余头，家禽12.5万羽，水产品起水总量2.2万余吨。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6、社会治理促和谐。综治维稳方面，综治维稳方面，坚持抓早抓小，深入群众，及时化解矛盾纠纷。全年共调处矛盾纠纷100起，调解成功100起，达成书面协议8起；共处理信访件65件，其中省、市、县交办19件，群众来访46件。实行常态化摸排上报责任制，以零容忍的态度，严厉打击黑恶势力，为全镇创造稳定安全的社会环境。禁毒工作方面，2021年对全镇在册吸毒人员进行全覆盖摸底核查，理清吸毒人员现状，同时督促社会面吸毒人员进行尿检、毛发采集。目前，现在册吸毒人员总人数302人，社会面吸毒人员294人，其中社区戒毒2人，社区康复6人。跨区域突出犯罪，涉诈重点人员41人，已采集信息27人，未采集信息14人；缅北窝点人员10人，已核减5人，未核减5人，其中失联失控人员3人；全镇反诈APP注册并认证通过12266人。平安创建方面，坚持“打防结合、预防为主、专群结合、依靠群众”的方针，深化立体治安联防体系建设，悬挂横幅200余条，张贴标语700多张，发放宣传单2000多人次；积极开展平安村（居）、平安家庭创建活动。</w:t>
      </w:r>
    </w:p>
    <w:p>
      <w:pPr>
        <w:ind w:firstLine="600" w:firstLineChars="200"/>
        <w:rPr>
          <w:rFonts w:hint="eastAsia" w:ascii="宋体" w:hAnsi="宋体" w:eastAsia="宋体" w:cs="Times New Roman"/>
          <w:color w:val="010101"/>
          <w:sz w:val="30"/>
          <w:szCs w:val="30"/>
        </w:rPr>
      </w:pP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、疫情防控坚决有力。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针对国内零星爆发的疫情形势，我镇坚持科学防控、精准施策，以严的举措、实的行动，把疫情防控各项决策落实落细。一是抓疫苗接种。按照县疫情防控小组下发的户籍人口实行销号制，同时建立疫苗接种明细台账，做到底子清，情况明。截止目前，四马桥镇接种38845人次，其中县内接种19519人次，县外接种寄回凭证19326人次，接种率达98.84%。二是抓排查管控。严格落实中高风险地区返乡人员排查管控，明确由村专干专职负责，对以上返乡人员查看健康码、行程码、核酸检测证明，同时落实“四三二一”管控模式，确保不漏一人。截止目前，排查中高风险地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返乡人</w:t>
      </w: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员48人，落实管控措施48人。三是抓宣传引导。通过微信群、海报、入户等形式宣传疫情通知、防控态势和政策措施，同时严厉打击虚假消息宣传，保障舆情引导到位。</w:t>
      </w:r>
      <w:r>
        <w:rPr>
          <w:rFonts w:hint="eastAsia" w:ascii="宋体" w:hAnsi="宋体" w:eastAsia="宋体" w:cs="Times New Roman"/>
          <w:color w:val="010101"/>
          <w:sz w:val="30"/>
          <w:szCs w:val="30"/>
        </w:rPr>
        <w:t>9、安全生产形势持续平稳。调整安全生产网格化实名制包保人员，开展以“消除事故隐患，筑牢安全防线”为主题的“安全活动月”活动。</w:t>
      </w:r>
    </w:p>
    <w:p>
      <w:pPr>
        <w:ind w:firstLine="600" w:firstLineChars="200"/>
        <w:rPr>
          <w:rFonts w:hint="eastAsia" w:ascii="宋体" w:hAnsi="宋体" w:eastAsia="宋体" w:cs="Times New Roman"/>
          <w:color w:val="010101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color w:val="010101"/>
          <w:sz w:val="30"/>
          <w:szCs w:val="30"/>
          <w:lang w:val="en-US" w:eastAsia="zh-CN"/>
        </w:rPr>
        <w:t>8、应急管理工作，一是加快推进应急管理体制建设，建立健全应急管理机制。坚持“安全第一，预防为主，综合治理”的方针，按照巡查计划坚持每日安全巡查，把消除安全隐患走在应急管理工作的最前列；开展元旦、春节等重点时段安全生产、消防安全专项检查，做好道路交通安全、校园安全及预防青少年防溺水工作，一年来全镇无一起安全事故发生，并顺利通过湖南省乡镇应急能力建设达标验收。二是加大安全知识宣传力度。在集镇圩日开展安全生产宣传15场，发放宣传单15万余份，群众安全意识显著增强。三是严格开展安全生产执法。截止目前，完成安全生产监督执法案件36件，处罚1800元，查处安全生产非法违法行为160人次，安全问题隐患160起，均已按要求整改到位。党管武装工作，按照县武装部要求，全力完成征兵工作。全年完成上站体检29人，双合格12人，送兵7人（其中大学生7名）。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七、部门整体支出管理情况</w:t>
      </w:r>
    </w:p>
    <w:p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（一）建章建制，制度建立完善。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根据《会计法》、《预算法》、《行政单位会计制度》等法律和财政部及省财政厅有关财务规章的规定，乡政府先后制订了《财务管理制度》、《</w:t>
      </w:r>
      <w:r>
        <w:rPr>
          <w:rFonts w:hint="eastAsia" w:ascii="宋体" w:hAnsi="宋体" w:cs="宋体"/>
          <w:sz w:val="32"/>
          <w:szCs w:val="32"/>
          <w:lang w:eastAsia="zh-CN"/>
        </w:rPr>
        <w:t>四马桥镇</w:t>
      </w:r>
      <w:r>
        <w:rPr>
          <w:rFonts w:hint="eastAsia" w:ascii="宋体" w:hAnsi="宋体" w:cs="宋体"/>
          <w:sz w:val="32"/>
          <w:szCs w:val="32"/>
        </w:rPr>
        <w:t>政府事处公务接待管理办法》、《</w:t>
      </w:r>
      <w:r>
        <w:rPr>
          <w:rFonts w:hint="eastAsia" w:ascii="宋体" w:hAnsi="宋体" w:cs="宋体"/>
          <w:sz w:val="32"/>
          <w:szCs w:val="32"/>
          <w:lang w:eastAsia="zh-CN"/>
        </w:rPr>
        <w:t>四马桥镇</w:t>
      </w:r>
      <w:r>
        <w:rPr>
          <w:rFonts w:hint="eastAsia" w:ascii="宋体" w:hAnsi="宋体" w:cs="宋体"/>
          <w:sz w:val="32"/>
          <w:szCs w:val="32"/>
        </w:rPr>
        <w:t>政府事处会议费管理办法》、《</w:t>
      </w:r>
      <w:r>
        <w:rPr>
          <w:rFonts w:hint="eastAsia" w:ascii="宋体" w:hAnsi="宋体" w:cs="宋体"/>
          <w:sz w:val="32"/>
          <w:szCs w:val="32"/>
          <w:lang w:eastAsia="zh-CN"/>
        </w:rPr>
        <w:t>四马桥镇</w:t>
      </w:r>
      <w:r>
        <w:rPr>
          <w:rFonts w:hint="eastAsia" w:ascii="宋体" w:hAnsi="宋体" w:cs="宋体"/>
          <w:sz w:val="32"/>
          <w:szCs w:val="32"/>
        </w:rPr>
        <w:t>政府事处差旅费管理办法》等制度，制度明确了经费审批权限及程序，经费预算、核算管理、资产购置与处置、财务监督等，</w:t>
      </w:r>
      <w:r>
        <w:rPr>
          <w:rFonts w:hint="eastAsia" w:ascii="宋体" w:hAnsi="宋体"/>
          <w:sz w:val="32"/>
          <w:szCs w:val="32"/>
        </w:rPr>
        <w:t>针对“三公”经费建立公用经费标准定额体系，开展公用经费使用监督和绩效评估，领导重视，员工参与，</w:t>
      </w:r>
      <w:r>
        <w:rPr>
          <w:rFonts w:hint="eastAsia" w:ascii="宋体" w:hAnsi="宋体" w:cs="宋体"/>
          <w:sz w:val="32"/>
          <w:szCs w:val="32"/>
        </w:rPr>
        <w:t>制度建立完善。</w:t>
      </w:r>
    </w:p>
    <w:p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（二）</w:t>
      </w:r>
      <w:r>
        <w:rPr>
          <w:rFonts w:hint="eastAsia" w:ascii="宋体" w:hAnsi="宋体"/>
          <w:b/>
          <w:sz w:val="32"/>
          <w:szCs w:val="32"/>
        </w:rPr>
        <w:t>制度执行比较到位，提高了资金使用效益。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2021</w:t>
      </w:r>
      <w:r>
        <w:rPr>
          <w:rFonts w:hint="eastAsia" w:ascii="宋体" w:hAnsi="宋体"/>
          <w:sz w:val="32"/>
          <w:szCs w:val="32"/>
        </w:rPr>
        <w:t>年度加强了财务管理，落实厉行节约的各项规定，“三公”经费实现了有效压缩。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2021</w:t>
      </w:r>
      <w:r>
        <w:rPr>
          <w:rFonts w:hint="eastAsia" w:ascii="宋体" w:hAnsi="宋体"/>
          <w:sz w:val="32"/>
          <w:szCs w:val="32"/>
        </w:rPr>
        <w:t>年度的“三公”经费中，无因公出国（境）费用，公务接待费和公务用车购置及运行费实际支出</w:t>
      </w:r>
      <w:r>
        <w:rPr>
          <w:rFonts w:hint="eastAsia" w:ascii="宋体" w:hAnsi="宋体"/>
          <w:sz w:val="32"/>
          <w:szCs w:val="32"/>
          <w:lang w:val="en-US" w:eastAsia="zh-CN"/>
        </w:rPr>
        <w:t>7.7</w:t>
      </w:r>
      <w:r>
        <w:rPr>
          <w:rFonts w:hint="eastAsia" w:ascii="宋体" w:hAnsi="宋体"/>
          <w:sz w:val="32"/>
          <w:szCs w:val="32"/>
        </w:rPr>
        <w:t>万元，比预算减少了</w:t>
      </w:r>
      <w:r>
        <w:rPr>
          <w:rFonts w:hint="eastAsia" w:ascii="宋体" w:hAnsi="宋体"/>
          <w:sz w:val="32"/>
          <w:szCs w:val="32"/>
          <w:lang w:val="en-US" w:eastAsia="zh-CN"/>
        </w:rPr>
        <w:t>15.3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firstLine="643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存在的主要问题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1、预算编制工作有待细化。预算编制不够明确和细化，预算编制的合理性需要提高，预算执行力度还要进一步加强。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、公用经费控制有一定难度，基本为刚性支出。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sz w:val="32"/>
          <w:szCs w:val="32"/>
        </w:rPr>
        <w:t>少数大额支出缺少清单及附件。</w:t>
      </w:r>
    </w:p>
    <w:p>
      <w:pPr>
        <w:ind w:firstLine="800" w:firstLineChars="250"/>
        <w:rPr>
          <w:rFonts w:hint="eastAsia"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sz w:val="32"/>
          <w:szCs w:val="32"/>
        </w:rPr>
        <w:t>个别小额工程结算没附合同。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九、下一步改进措施和有关建议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（一）规范账务处理，提高财务信息质量</w:t>
      </w:r>
      <w:r>
        <w:rPr>
          <w:rFonts w:ascii="宋体" w:hAnsi="宋体" w:cs="宋体"/>
          <w:sz w:val="32"/>
          <w:szCs w:val="32"/>
        </w:rPr>
        <w:t> 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严格按照《会计法》、《行政单位会计制度》、《行政单位财务规则》等规定执行财务核算，并结合实际情况，完整、准确地披露相关信息，做到决算与预算相衔接。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（二）落实管理制度，进一步加强接待管理。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按照《道县党政机关公务接待管理实施细则》的加强接待管理工作，对被接待单位人员要及时索取接待函，对存在的问题认真进行整改。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（三）加强会计机构队伍建设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按照《中华人民共和国会计法》要求建立会计机关，配备齐会计人员，做到不相容岗位分设，加强会计监督。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（四）对大额无说明支出补充附件及说明，完善手续，各项专项资金纳入专项资金专户核算，工程项目按规定进行招投标。</w:t>
      </w:r>
    </w:p>
    <w:p>
      <w:pPr>
        <w:pStyle w:val="4"/>
        <w:widowControl/>
        <w:spacing w:before="0" w:beforeAutospacing="0" w:after="0" w:afterAutospacing="0"/>
        <w:ind w:right="11"/>
        <w:rPr>
          <w:rFonts w:ascii="宋体" w:hAnsi="宋体"/>
          <w:color w:val="010101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831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6BCF1F"/>
    <w:multiLevelType w:val="singleLevel"/>
    <w:tmpl w:val="D66BCF1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50432E"/>
    <w:multiLevelType w:val="singleLevel"/>
    <w:tmpl w:val="4350432E"/>
    <w:lvl w:ilvl="0" w:tentative="0">
      <w:start w:val="2"/>
      <w:numFmt w:val="chineseCounting"/>
      <w:suff w:val="nothing"/>
      <w:lvlText w:val="%1、"/>
      <w:lvlJc w:val="left"/>
      <w:pPr>
        <w:ind w:left="901" w:firstLine="0"/>
      </w:pPr>
      <w:rPr>
        <w:rFonts w:hint="eastAsia"/>
      </w:rPr>
    </w:lvl>
  </w:abstractNum>
  <w:abstractNum w:abstractNumId="2">
    <w:nsid w:val="5E94AC96"/>
    <w:multiLevelType w:val="singleLevel"/>
    <w:tmpl w:val="5E94AC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YThkMTA4NjkxZWJhMmU0NTg2YTQ4MjAyNWFjODkifQ=="/>
  </w:docVars>
  <w:rsids>
    <w:rsidRoot w:val="706D39CB"/>
    <w:rsid w:val="02915E86"/>
    <w:rsid w:val="039D18EC"/>
    <w:rsid w:val="08B514C2"/>
    <w:rsid w:val="0AB42C19"/>
    <w:rsid w:val="0B2A044B"/>
    <w:rsid w:val="0EC705E9"/>
    <w:rsid w:val="1D901D5D"/>
    <w:rsid w:val="217648FE"/>
    <w:rsid w:val="23A01561"/>
    <w:rsid w:val="24E8169B"/>
    <w:rsid w:val="34D57FF3"/>
    <w:rsid w:val="363D0E07"/>
    <w:rsid w:val="3762759A"/>
    <w:rsid w:val="376E3DCC"/>
    <w:rsid w:val="39255930"/>
    <w:rsid w:val="3ED70333"/>
    <w:rsid w:val="422F042A"/>
    <w:rsid w:val="423B0B84"/>
    <w:rsid w:val="43864B27"/>
    <w:rsid w:val="43A52DA8"/>
    <w:rsid w:val="43CC52F4"/>
    <w:rsid w:val="445E3723"/>
    <w:rsid w:val="45B6258A"/>
    <w:rsid w:val="4710453E"/>
    <w:rsid w:val="48D17B0D"/>
    <w:rsid w:val="52C63FDB"/>
    <w:rsid w:val="539E64EB"/>
    <w:rsid w:val="541A0126"/>
    <w:rsid w:val="564C5E20"/>
    <w:rsid w:val="56A73064"/>
    <w:rsid w:val="57C86C3B"/>
    <w:rsid w:val="5C29540A"/>
    <w:rsid w:val="5DA55151"/>
    <w:rsid w:val="618D30DD"/>
    <w:rsid w:val="627D0960"/>
    <w:rsid w:val="640E3B36"/>
    <w:rsid w:val="64E35B79"/>
    <w:rsid w:val="67D3465B"/>
    <w:rsid w:val="6B0471A7"/>
    <w:rsid w:val="6B547589"/>
    <w:rsid w:val="706D39CB"/>
    <w:rsid w:val="74A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widowControl w:val="0"/>
      <w:ind w:firstLine="42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4530</Words>
  <Characters>4844</Characters>
  <Lines>0</Lines>
  <Paragraphs>0</Paragraphs>
  <TotalTime>2</TotalTime>
  <ScaleCrop>false</ScaleCrop>
  <LinksUpToDate>false</LinksUpToDate>
  <CharactersWithSpaces>4847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2022-05-31T06:36:00Z</dcterms:created>
  <dc:creator>Administrator</dc:creator>
  <cp:lastModifiedBy>xiana0605</cp:lastModifiedBy>
  <dcterms:modified xsi:type="dcterms:W3CDTF">2023-09-26T02:16:46Z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A08902A6737C45FEB6924A9563B21723_13</vt:lpwstr>
  </property>
</Properties>
</file>