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道县发展和改革局</w:t>
      </w:r>
      <w:r>
        <w:rPr>
          <w:rFonts w:hint="eastAsia" w:ascii="方正小标宋_GBK" w:hAnsi="方正小标宋_GBK" w:eastAsia="方正小标宋_GBK" w:cs="方正小标宋_GBK"/>
          <w:sz w:val="84"/>
          <w:szCs w:val="84"/>
        </w:rPr>
        <w:t>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spacing w:line="540" w:lineRule="exact"/>
        <w:jc w:val="center"/>
        <w:rPr>
          <w:sz w:val="56"/>
          <w:szCs w:val="56"/>
        </w:rPr>
      </w:pPr>
    </w:p>
    <w:p>
      <w:pPr>
        <w:pStyle w:val="15"/>
        <w:spacing w:line="500" w:lineRule="exact"/>
        <w:jc w:val="both"/>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道县发展和改革局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8"/>
        <w:rPr>
          <w:rFonts w:hint="eastAsia" w:ascii="方正小标宋_GBK" w:hAnsi="方正小标宋_GBK" w:eastAsia="方正小标宋_GBK" w:cs="方正小标宋_GBK"/>
          <w:sz w:val="72"/>
          <w:szCs w:val="72"/>
        </w:rPr>
      </w:pPr>
    </w:p>
    <w:p>
      <w:pPr>
        <w:pStyle w:val="4"/>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pStyle w:val="8"/>
        <w:rPr>
          <w:rFonts w:hint="eastAsia" w:ascii="方正小标宋_GBK" w:hAnsi="方正小标宋_GBK" w:eastAsia="方正小标宋_GBK" w:cs="方正小标宋_GBK"/>
          <w:sz w:val="72"/>
          <w:szCs w:val="72"/>
        </w:rPr>
      </w:pPr>
    </w:p>
    <w:p>
      <w:pPr>
        <w:pStyle w:val="4"/>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pStyle w:val="8"/>
        <w:rPr>
          <w:rFonts w:hint="eastAsia"/>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道县发展和改革局部门（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both"/>
        <w:rPr>
          <w:sz w:val="72"/>
          <w:szCs w:val="72"/>
        </w:rPr>
      </w:pPr>
    </w:p>
    <w:p>
      <w:pPr>
        <w:pStyle w:val="2"/>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（一）拟订并组织实施全县国民经济和社会发展战略、中长期规划和年度计划。统筹协调相关总体规划、区域规划与专项规划,牵头组织统一规划体系建设,负责全县专项规划、区域规划</w:t>
      </w:r>
      <w:r>
        <w:rPr>
          <w:rFonts w:hint="eastAsia" w:ascii="Times New Roman" w:hAnsi="Times New Roman" w:eastAsia="仿宋_GB2312" w:cs="仿宋_GB2312"/>
          <w:sz w:val="32"/>
          <w:szCs w:val="32"/>
          <w:lang w:eastAsia="zh-CN"/>
        </w:rPr>
        <w:t>、空间规划与全市发展规划的统筹衔接。研究拟订全县国民经济和社会发展、经济体制改革和对外开放的有关制度，协调解决有关重大问题。受县人民政府委托负责向县人民代表大会提交国民经济和社会发展计划的报告。</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提出加快建设现代化经济体系、推动高质量发展的总体目标、重大任务以及相关政策措施。组织开展重大战略规划、重大政策、重大工程等评估督导，提出相关调整建议。协调促进民营经济发展，推动现代产业体系建设。</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统筹提出全县国民经济和社会发展主要目标，监测预测预警宏观经济和社会发展态势趋势，提出宏观调控政策建议。综合协调宏观经济政策，牵头研究宏观经济应对措施。调节经济运行,协调解决经济运行中的重大问题。参与拟订财政政策措施、土地政策措施等。</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推进和综合协调全县经济体制改革有关工作，提出相关改革建议，牵头推进供给侧结构性改革，协调推进产权制度和要素市场化配置改革。推动完善基本经济制度和现代市场体系建设，会同相关部门组织实施市场准入负面清单制度。</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(五)提出全县利用外资和境外投资的战略、规划、总量平衡和结构优化的政策措施。牵头推进实施“一带一路”建设。统筹协调走出去有关工作。负责全县全口径外债的总量控制、结构优化和监测工作。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投资综合管理，拟订全县固定资产投资总规模、结构调控目标、政策措施，会同有关部门拟订政府投资项目审批权限和政府核准的固定资产投资项目目录。统筹安排中央、省、市、县预算内基本建设资金，按规定权限审批、核准、审核、备案重大项目。规划全县重大建设项目和生产力布局。拟订并推动落实鼓励民间投资政策措施。负责政府投资项目代建制实施的指导、协调和监督管理。指导工程咨询业发展。</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推进落实区域协调发展战略和重大政策，组织拟订相关区域规划和政策措施。统筹推进实施国家和省市县重大区域发展战略。贯彻落实国家西部开发、中部崛起、长江经济带发展的相关政策措施，统筹推进“一带一部”区域发展。协调推进两型社会建设。组织拟订和实施特殊困难地区发展规划和政策措施，组织实施易地扶贫搬迁等。组织编制并推动实施新型城镇化规划。参与研究拟订全县新型城镇化发展战略和重大政策措施，协调配合做好相关工作。制定开发区发展规划和政策措施。统筹协调区域合作和对口支援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组织拟订综合性产业政策措施。负责协调一二三产业发展的重大问题并统筹衔接相关发展规划和重大政策。协调推进重大基础设施建设,组织拟订并推动实施服务业及现代物流业发展规划和重大政策措施。综合研判消费变动趋势，拟订实施促进消费的综合性政策措施。</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推动实施创新驱动发展战略。会同相关部门拟订推进创新创业的规划和政策措施，提出创新发展和培育经济发展新动能的政策措施。研究提出产业集群发展相关政策措施。会同相关部门规划布局全县重大科技基础设施。组织拟订并推动实施高新技术产业和战略性新兴产业发展规划政策措施，协调产业升级、重大技术装备推广应用等方面的重大问题。协调促进民营经济发展，推动现代化产业体系建设。</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会同有关部门拟订县级储备物资品种目录、总体发展规划。</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负责社会发展与国民经济发展的政策衔接，协调有关重大问题。组织拟订社会发展战略、总体规划，统筹推进基本公共服务体系建设和收入分配制度改革，提出促进就业、完善社会保障与经济协调发展的政策建议。</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推进实施可持续发展战略，推动生态文明建设和改革，协调生态环境保护与修复、能源资源节约和综合利用等工作。提出健全生态保护补偿机制的政策措施，综合协调节能环保产业和清洁生产促进有关工作。提出能源消费控制目标、任务并组织实施。</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拟订并组织实施有关价格政策措施，组织制定少数由县级管理的重要商品、服务价格和重要收费标准意见。监测、分析市场价格形势，组织实施价格总水平控制;管理国家、省、市、县列名管理的商品和服务价格。负责价格成本调查和监审。</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(十四)牵头组织监督公共资源交易活动。</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(十五)会同有关部门拟订推进全县经济建设与国防建设协调发展的战略和规划，协调有关重大问题。推动实施军民融合发展战略，组织编制全县国民经济动员规划，协调和组织实施全县国民经济动员有关工作。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起草全县能源发展和有关监督管理的规范性文件草案，拟订并组织实施全县能源发展战略、规划和政策措施，推进全县能源体制改革，协调相关重大问题。负责全县能源行业节能和资源综合利用，参与研究全县能源消费总量控制目标建议，指导、监督能源消费总量控制工作,衔接能源生产建设和供需平衡。组织实施煤炭、石油、天然气、电力、新能源和可再生能源等能源，以及炼油、煤制燃料、燃料乙醇的产业政策措施及相关标准意见，实施对煤电油气等能源和新能源的管理。按照规定权限审批、核准、备案、审核、上报全县能源固定资产投资项目。指导协调农村能源发展工作。拟定并组织实施煤炭发展战略。负责能源预测预警，发布能源信息，参与能源运行调节和应急保障，负责县内石油和天然气储备管理工作。负责石油、天然气管道保护相关工作。组织推进全县能源重大设备研发及相关重大科技项目，指导能源科技进步和引进消化创新，组织协调相关重大示范工程和推广应用新产品、新技术、新设备。负责核电的规划、布局、审核、救援、管理等工作。组织推进全县能源对外合作，负责起草县政府对外能源战略合作政策的协议，协调能源合作中的重大问题。研究提出电力普遍服务政策的建议并监督实施，参与制定与能源相关的资源、财税、环保等政策措施，提出能源价格调整建议，参与能源有关价格执行情况监督检查。承担县能源委员会具体工作，负责全县能源发展战略决策的综合协调和服务保障，推动建立健全协调联动机制。</w:t>
      </w:r>
    </w:p>
    <w:p>
      <w:pPr>
        <w:ind w:firstLine="1120" w:firstLineChars="3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七)拟订粮食流通和物资储备管理有关规定并监督执行。拟订全县粮食市场体系建设与发展规划，承担全县粮食流通宏观调控的具体工作。拟订粮食流通和物资储备体制改革方案并组织实施。研究提出全县战略物资储备规划、全县储备品种目录的建议。根据全县储备总体发展规划和品种目录，组织实施全县战略和应急储备物资的收储、轮换和日常管理，落实有关动用计划和指令。管理全县粮食、棉花和食糖储备，负责县级储备粮棉行政管理。监测粮食和战略物资供求变化并预测预警。指导协调政策性粮食购销和粮食产销合作，保障军队粮食供应，组织实施粮食和物资储备仓储管理有关技术标准和规范。负责全县粮食流通、加工行业安全生产工作的监督管理，承担所属物资储备承储单位安全生产的监管责任。根据国家、省、市与县储备总体发展规划，统一负责储备基础设施建设和管理。拟订全县储备基础设施、粮食流通设施建设规划并组织实施，管理有关储备基础设施和粮食流通设施投资项目。负责对管理的政府储备、企业储备以及储备政策落实情况进行监督检查。负责粮食流通监督检查，负责粮食收购、储存、运输环节粮食质量安全和原粮卫生的监督管理，组织实施粮食库存检查工作。负责粮食流通行业管理，制定行业发展规划、政策措施，组织实施粮食流通和物资储备及粮食质量等有关标准意见，监督执行有关技术规范。负责实施粮食收购行政许可的有关行政管理，负责协调推进粮食产业发展有关工作。负责粮食和物资储备的对外合作与交流。</w:t>
      </w:r>
    </w:p>
    <w:p>
      <w:pPr>
        <w:ind w:firstLine="1120" w:firstLineChars="3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(十八)履行深化国防动员体制改革明确的工作职责。</w:t>
      </w:r>
    </w:p>
    <w:p>
      <w:pPr>
        <w:ind w:firstLine="1120" w:firstLineChars="3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(十九)完成县委和县政府交办的其他任务。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napToGrid w:val="0"/>
        <w:spacing w:line="579" w:lineRule="atLeast"/>
        <w:ind w:firstLine="640" w:firstLineChars="200"/>
        <w:rPr>
          <w:rFonts w:eastAsia="仿宋_GB2312"/>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道县发展和改革局</w:t>
      </w:r>
      <w:r>
        <w:rPr>
          <w:rFonts w:hint="eastAsia" w:ascii="Times New Roman" w:hAnsi="Times New Roman" w:eastAsia="仿宋_GB2312" w:cs="仿宋_GB2312"/>
          <w:bCs/>
          <w:kern w:val="0"/>
          <w:sz w:val="32"/>
          <w:szCs w:val="32"/>
        </w:rPr>
        <w:t>单位内设机构包括：</w:t>
      </w:r>
      <w:r>
        <w:rPr>
          <w:rFonts w:hint="eastAsia" w:eastAsia="仿宋_GB2312"/>
          <w:sz w:val="32"/>
          <w:szCs w:val="32"/>
        </w:rPr>
        <w:t>办公室、综合规划和社会发展股、法规股、固定资产投资</w:t>
      </w:r>
      <w:r>
        <w:rPr>
          <w:rFonts w:hint="eastAsia" w:eastAsia="仿宋_GB2312"/>
          <w:sz w:val="32"/>
          <w:szCs w:val="32"/>
          <w:lang w:eastAsia="zh-CN"/>
        </w:rPr>
        <w:t>股</w:t>
      </w:r>
      <w:r>
        <w:rPr>
          <w:rFonts w:hint="eastAsia" w:eastAsia="仿宋_GB2312"/>
          <w:sz w:val="32"/>
          <w:szCs w:val="32"/>
        </w:rPr>
        <w:t>、</w:t>
      </w:r>
      <w:r>
        <w:rPr>
          <w:rFonts w:hint="eastAsia" w:eastAsia="仿宋_GB2312"/>
          <w:sz w:val="32"/>
          <w:szCs w:val="32"/>
          <w:lang w:eastAsia="zh-CN"/>
        </w:rPr>
        <w:t>工业和高技术发展</w:t>
      </w:r>
      <w:r>
        <w:rPr>
          <w:rFonts w:hint="eastAsia" w:eastAsia="仿宋_GB2312"/>
          <w:sz w:val="32"/>
          <w:szCs w:val="32"/>
        </w:rPr>
        <w:t>股、</w:t>
      </w:r>
      <w:r>
        <w:rPr>
          <w:rFonts w:hint="eastAsia" w:eastAsia="仿宋_GB2312"/>
          <w:sz w:val="32"/>
          <w:szCs w:val="32"/>
          <w:lang w:eastAsia="zh-CN"/>
        </w:rPr>
        <w:t>基础设施发展股</w:t>
      </w:r>
      <w:r>
        <w:rPr>
          <w:rFonts w:hint="eastAsia" w:eastAsia="仿宋_GB2312"/>
          <w:sz w:val="32"/>
          <w:szCs w:val="32"/>
        </w:rPr>
        <w:t>、</w:t>
      </w:r>
      <w:r>
        <w:rPr>
          <w:rFonts w:hint="eastAsia" w:eastAsia="仿宋_GB2312"/>
          <w:sz w:val="32"/>
          <w:szCs w:val="32"/>
          <w:lang w:eastAsia="zh-CN"/>
        </w:rPr>
        <w:t>农村经济股</w:t>
      </w:r>
      <w:r>
        <w:rPr>
          <w:rFonts w:hint="eastAsia" w:eastAsia="仿宋_GB2312"/>
          <w:sz w:val="32"/>
          <w:szCs w:val="32"/>
        </w:rPr>
        <w:t>、资源节约和环境保护股、价格管理股</w:t>
      </w:r>
      <w:r>
        <w:rPr>
          <w:rFonts w:hint="eastAsia" w:eastAsia="仿宋_GB2312"/>
          <w:sz w:val="32"/>
          <w:szCs w:val="32"/>
          <w:lang w:eastAsia="zh-CN"/>
        </w:rPr>
        <w:t>、行政审批服务股、能源股、粮食发展调控与物质储备股、国防建设管理股。行政编制</w:t>
      </w:r>
      <w:r>
        <w:rPr>
          <w:rFonts w:hint="eastAsia" w:eastAsia="仿宋_GB2312"/>
          <w:sz w:val="32"/>
          <w:szCs w:val="32"/>
          <w:lang w:val="en-US" w:eastAsia="zh-CN"/>
        </w:rPr>
        <w:t>17</w:t>
      </w:r>
      <w:r>
        <w:rPr>
          <w:rFonts w:hint="eastAsia" w:eastAsia="仿宋_GB2312"/>
          <w:sz w:val="32"/>
          <w:szCs w:val="32"/>
          <w:lang w:eastAsia="zh-CN"/>
        </w:rPr>
        <w:t>人，事业编制</w:t>
      </w:r>
      <w:r>
        <w:rPr>
          <w:rFonts w:hint="eastAsia" w:eastAsia="仿宋_GB2312"/>
          <w:sz w:val="32"/>
          <w:szCs w:val="32"/>
          <w:lang w:val="en-US" w:eastAsia="zh-CN"/>
        </w:rPr>
        <w:t>24</w:t>
      </w:r>
      <w:r>
        <w:rPr>
          <w:rFonts w:hint="eastAsia" w:eastAsia="仿宋_GB2312"/>
          <w:sz w:val="32"/>
          <w:szCs w:val="32"/>
          <w:lang w:eastAsia="zh-CN"/>
        </w:rPr>
        <w:t>人，机关后勤编制</w:t>
      </w:r>
      <w:r>
        <w:rPr>
          <w:rFonts w:hint="eastAsia" w:eastAsia="仿宋_GB2312"/>
          <w:sz w:val="32"/>
          <w:szCs w:val="32"/>
          <w:lang w:val="en-US" w:eastAsia="zh-CN"/>
        </w:rPr>
        <w:t>3人，</w:t>
      </w:r>
      <w:r>
        <w:rPr>
          <w:rFonts w:hint="eastAsia" w:eastAsia="仿宋_GB2312"/>
          <w:sz w:val="32"/>
          <w:szCs w:val="32"/>
          <w:lang w:eastAsia="zh-CN"/>
        </w:rPr>
        <w:t>实有人员</w:t>
      </w:r>
      <w:r>
        <w:rPr>
          <w:rFonts w:hint="eastAsia" w:eastAsia="仿宋_GB2312"/>
          <w:sz w:val="32"/>
          <w:szCs w:val="32"/>
          <w:lang w:val="en-US" w:eastAsia="zh-CN"/>
        </w:rPr>
        <w:t>49</w:t>
      </w:r>
      <w:r>
        <w:rPr>
          <w:rFonts w:hint="eastAsia" w:eastAsia="仿宋_GB2312"/>
          <w:sz w:val="32"/>
          <w:szCs w:val="32"/>
          <w:lang w:eastAsia="zh-CN"/>
        </w:rPr>
        <w:t>人。公务用车</w:t>
      </w:r>
      <w:r>
        <w:rPr>
          <w:rFonts w:hint="eastAsia" w:eastAsia="仿宋_GB2312"/>
          <w:sz w:val="32"/>
          <w:szCs w:val="32"/>
          <w:lang w:val="en-US" w:eastAsia="zh-CN"/>
        </w:rPr>
        <w:t>1辆。</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道县发展和改革局</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道县发展和改革局</w:t>
      </w:r>
      <w:r>
        <w:rPr>
          <w:rFonts w:hint="eastAsia" w:eastAsia="仿宋_GB2312"/>
          <w:sz w:val="32"/>
          <w:szCs w:val="32"/>
          <w:lang w:eastAsia="zh-CN"/>
        </w:rPr>
        <w:t>没有其他二级预算单位，只有</w:t>
      </w:r>
      <w:r>
        <w:rPr>
          <w:rFonts w:hint="eastAsia" w:ascii="Times New Roman" w:hAnsi="Times New Roman" w:eastAsia="仿宋_GB2312" w:cs="仿宋_GB2312"/>
          <w:bCs/>
          <w:kern w:val="0"/>
          <w:sz w:val="32"/>
          <w:szCs w:val="32"/>
          <w:lang w:eastAsia="zh-CN"/>
        </w:rPr>
        <w:t>道县发展和改革局</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5"/>
        <w:jc w:val="both"/>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78"/>
        <w:gridCol w:w="278"/>
        <w:gridCol w:w="483"/>
        <w:gridCol w:w="2100"/>
        <w:gridCol w:w="1410"/>
        <w:gridCol w:w="1335"/>
        <w:gridCol w:w="1566"/>
        <w:gridCol w:w="1805"/>
        <w:gridCol w:w="1189"/>
        <w:gridCol w:w="2421"/>
        <w:gridCol w:w="2563"/>
      </w:tblGrid>
      <w:tr>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7"/>
              <w:gridCol w:w="582"/>
              <w:gridCol w:w="1334"/>
              <w:gridCol w:w="4767"/>
              <w:gridCol w:w="1546"/>
              <w:gridCol w:w="491"/>
              <w:gridCol w:w="595"/>
              <w:gridCol w:w="1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4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6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0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3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9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4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部门：道县发展和改革局</w:t>
                  </w:r>
                </w:p>
              </w:tc>
              <w:tc>
                <w:tcPr>
                  <w:tcW w:w="57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6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0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3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9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5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1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62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1406.55</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61.87</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八、社会保障和就业支出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十一、城乡社区支出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2"/>
                      <w:szCs w:val="22"/>
                      <w:u w:val="none"/>
                      <w:lang w:eastAsia="zh-CN"/>
                    </w:rPr>
                    <w:t>二十、粮油物资储备支出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1468.42</w:t>
                  </w: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1468.42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62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1468.42</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1468.42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8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5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58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eastAsia="zh-CN"/>
              </w:rPr>
              <w:t>道县发展和改革局</w:t>
            </w: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本年收入合计</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财政拨款收入</w:t>
            </w:r>
          </w:p>
        </w:tc>
        <w:tc>
          <w:tcPr>
            <w:tcW w:w="15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事业收入</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经营收入</w:t>
            </w:r>
          </w:p>
        </w:tc>
        <w:tc>
          <w:tcPr>
            <w:tcW w:w="24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450" w:hRule="atLeast"/>
        </w:trPr>
        <w:tc>
          <w:tcPr>
            <w:tcW w:w="103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1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24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14,68.42.</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14,68.42.</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2010406</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社会事业发展规划</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79"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2220401</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储备粮油补贴</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19.20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19.20</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2010499</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978</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978</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2010401</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315</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315</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10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2010408</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物价管理</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lang w:val="en-US" w:eastAsia="zh-CN"/>
              </w:rPr>
              <w:t>1.6</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1.6</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lang w:val="en-US" w:eastAsia="zh-CN"/>
              </w:rPr>
              <w:t>4.07</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4.07</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lang w:val="en-US" w:eastAsia="zh-CN"/>
              </w:rPr>
              <w:t>33.69</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33.69</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2120803</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城市建设支出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61.87</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61.87</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0"/>
        <w:tblW w:w="15604" w:type="dxa"/>
        <w:tblInd w:w="93" w:type="dxa"/>
        <w:tblLayout w:type="fixed"/>
        <w:tblCellMar>
          <w:top w:w="0" w:type="dxa"/>
          <w:left w:w="108" w:type="dxa"/>
          <w:bottom w:w="0" w:type="dxa"/>
          <w:right w:w="108" w:type="dxa"/>
        </w:tblCellMar>
      </w:tblPr>
      <w:tblGrid>
        <w:gridCol w:w="986"/>
        <w:gridCol w:w="637"/>
        <w:gridCol w:w="263"/>
        <w:gridCol w:w="2168"/>
        <w:gridCol w:w="1265"/>
        <w:gridCol w:w="1630"/>
        <w:gridCol w:w="2160"/>
        <w:gridCol w:w="1995"/>
        <w:gridCol w:w="1860"/>
        <w:gridCol w:w="2640"/>
      </w:tblGrid>
      <w:tr>
        <w:tblPrEx>
          <w:tblCellMar>
            <w:top w:w="0" w:type="dxa"/>
            <w:left w:w="108" w:type="dxa"/>
            <w:bottom w:w="0" w:type="dxa"/>
            <w:right w:w="108" w:type="dxa"/>
          </w:tblCellMar>
        </w:tblPrEx>
        <w:trPr>
          <w:trHeight w:val="807" w:hRule="atLeast"/>
        </w:trPr>
        <w:tc>
          <w:tcPr>
            <w:tcW w:w="15604"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4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lang w:eastAsia="zh-CN"/>
              </w:rPr>
              <w:t>道县发展和改革局</w:t>
            </w:r>
            <w:r>
              <w:rPr>
                <w:rFonts w:hint="eastAsia" w:ascii="宋体" w:hAnsi="宋体" w:eastAsia="宋体" w:cs="宋体"/>
                <w:kern w:val="0"/>
                <w:sz w:val="24"/>
                <w:szCs w:val="24"/>
              </w:rPr>
              <w:t>　</w:t>
            </w:r>
          </w:p>
        </w:tc>
        <w:tc>
          <w:tcPr>
            <w:tcW w:w="12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4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本年支出合计</w:t>
            </w:r>
          </w:p>
        </w:tc>
        <w:tc>
          <w:tcPr>
            <w:tcW w:w="16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基本支出</w:t>
            </w:r>
          </w:p>
        </w:tc>
        <w:tc>
          <w:tcPr>
            <w:tcW w:w="21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项目支出</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上缴上级支出</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经营支出</w:t>
            </w:r>
          </w:p>
        </w:tc>
        <w:tc>
          <w:tcPr>
            <w:tcW w:w="2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595" w:hRule="atLeast"/>
        </w:trPr>
        <w:tc>
          <w:tcPr>
            <w:tcW w:w="188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6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8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26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3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216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99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86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6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1468.42</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602.39</w:t>
            </w:r>
          </w:p>
        </w:tc>
        <w:tc>
          <w:tcPr>
            <w:tcW w:w="2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866.03</w:t>
            </w:r>
          </w:p>
        </w:tc>
        <w:tc>
          <w:tcPr>
            <w:tcW w:w="19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2010406</w:t>
            </w:r>
          </w:p>
        </w:tc>
        <w:tc>
          <w:tcPr>
            <w:tcW w:w="306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社会事业发展规划</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2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2220401</w:t>
            </w:r>
          </w:p>
        </w:tc>
        <w:tc>
          <w:tcPr>
            <w:tcW w:w="306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储备粮油补贴</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19.2</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19.2</w:t>
            </w:r>
          </w:p>
        </w:tc>
        <w:tc>
          <w:tcPr>
            <w:tcW w:w="19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2010499</w:t>
            </w:r>
          </w:p>
        </w:tc>
        <w:tc>
          <w:tcPr>
            <w:tcW w:w="306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978</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193.04</w:t>
            </w:r>
          </w:p>
        </w:tc>
        <w:tc>
          <w:tcPr>
            <w:tcW w:w="2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784.96</w:t>
            </w:r>
          </w:p>
        </w:tc>
        <w:tc>
          <w:tcPr>
            <w:tcW w:w="19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2010401</w:t>
            </w:r>
          </w:p>
        </w:tc>
        <w:tc>
          <w:tcPr>
            <w:tcW w:w="306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315</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315</w:t>
            </w:r>
          </w:p>
        </w:tc>
        <w:tc>
          <w:tcPr>
            <w:tcW w:w="2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306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10</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10</w:t>
            </w:r>
          </w:p>
        </w:tc>
        <w:tc>
          <w:tcPr>
            <w:tcW w:w="2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2010408</w:t>
            </w:r>
          </w:p>
        </w:tc>
        <w:tc>
          <w:tcPr>
            <w:tcW w:w="306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物价管理</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1.6</w:t>
            </w:r>
          </w:p>
        </w:tc>
        <w:tc>
          <w:tcPr>
            <w:tcW w:w="2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15604"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lang w:eastAsia="zh-CN"/>
              </w:rPr>
              <w:t>道县发展和改革局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1406.55</w:t>
            </w:r>
          </w:p>
        </w:tc>
        <w:tc>
          <w:tcPr>
            <w:tcW w:w="3411"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1349.6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1349.6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61.87</w:t>
            </w:r>
          </w:p>
        </w:tc>
        <w:tc>
          <w:tcPr>
            <w:tcW w:w="3411"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37.75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37.75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十一、城乡社区支出</w:t>
            </w:r>
          </w:p>
        </w:tc>
        <w:tc>
          <w:tcPr>
            <w:tcW w:w="106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61.87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61.87</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1468.42</w:t>
            </w: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2"/>
                <w:szCs w:val="22"/>
                <w:u w:val="none"/>
                <w:lang w:eastAsia="zh-CN"/>
              </w:rPr>
              <w:t>二十、粮油物资储备支出</w:t>
            </w:r>
          </w:p>
        </w:tc>
        <w:tc>
          <w:tcPr>
            <w:tcW w:w="106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b w:val="0"/>
                <w:bCs/>
                <w:i w:val="0"/>
                <w:color w:val="000000"/>
                <w:kern w:val="2"/>
                <w:sz w:val="22"/>
                <w:szCs w:val="22"/>
                <w:u w:val="none"/>
                <w:lang w:val="en-US" w:eastAsia="zh-CN" w:bidi="ar-SA"/>
              </w:rPr>
            </w:pPr>
            <w:r>
              <w:rPr>
                <w:rFonts w:hint="eastAsia" w:ascii="宋体" w:hAnsi="宋体" w:eastAsia="宋体" w:cs="宋体"/>
                <w:b w:val="0"/>
                <w:bCs/>
                <w:i w:val="0"/>
                <w:color w:val="000000"/>
                <w:sz w:val="22"/>
                <w:szCs w:val="22"/>
                <w:u w:val="none"/>
                <w:lang w:val="en-US" w:eastAsia="zh-CN"/>
              </w:rPr>
              <w:t>19.2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b w:val="0"/>
                <w:bCs/>
                <w:i w:val="0"/>
                <w:color w:val="000000"/>
                <w:kern w:val="2"/>
                <w:sz w:val="22"/>
                <w:szCs w:val="22"/>
                <w:u w:val="none"/>
                <w:lang w:val="en-US" w:eastAsia="zh-CN" w:bidi="ar-SA"/>
              </w:rPr>
            </w:pPr>
            <w:r>
              <w:rPr>
                <w:rFonts w:hint="eastAsia" w:ascii="宋体" w:hAnsi="宋体" w:eastAsia="宋体" w:cs="宋体"/>
                <w:b w:val="0"/>
                <w:bCs/>
                <w:i w:val="0"/>
                <w:color w:val="000000"/>
                <w:sz w:val="22"/>
                <w:szCs w:val="22"/>
                <w:u w:val="none"/>
                <w:lang w:val="en-US" w:eastAsia="zh-CN"/>
              </w:rPr>
              <w:t>19.2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1468.42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1406.55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61.87</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1468.42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1468.42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1406.55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61.87</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lang w:eastAsia="zh-CN"/>
        </w:rPr>
        <w:t>道县发展和改革局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1406.55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602.39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804.16</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2010406</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社会事业发展规划</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2220401</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储备粮油补贴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19.20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19.20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2010499</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978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193.04</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784.96</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2010401</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315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2010408</w:t>
            </w:r>
          </w:p>
        </w:tc>
        <w:tc>
          <w:tcPr>
            <w:tcW w:w="3527" w:type="dxa"/>
            <w:tcBorders>
              <w:top w:val="nil"/>
              <w:left w:val="nil"/>
              <w:bottom w:val="single" w:color="auto" w:sz="8"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物价管理</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4.07</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4.07</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8"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33.69</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33.69</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45"/>
        <w:gridCol w:w="238"/>
        <w:gridCol w:w="89"/>
        <w:gridCol w:w="1480"/>
        <w:gridCol w:w="1670"/>
        <w:gridCol w:w="146"/>
        <w:gridCol w:w="1034"/>
        <w:gridCol w:w="1185"/>
        <w:gridCol w:w="2523"/>
        <w:gridCol w:w="108"/>
        <w:gridCol w:w="1014"/>
        <w:gridCol w:w="840"/>
        <w:gridCol w:w="139"/>
        <w:gridCol w:w="1661"/>
        <w:gridCol w:w="1335"/>
        <w:gridCol w:w="885"/>
        <w:gridCol w:w="60"/>
      </w:tblGrid>
      <w:tr>
        <w:tblPrEx>
          <w:tblCellMar>
            <w:top w:w="0" w:type="dxa"/>
            <w:left w:w="108" w:type="dxa"/>
            <w:bottom w:w="0" w:type="dxa"/>
            <w:right w:w="108" w:type="dxa"/>
          </w:tblCellMar>
        </w:tblPrEx>
        <w:trPr>
          <w:gridAfter w:val="1"/>
          <w:wAfter w:w="60" w:type="dxa"/>
          <w:trHeight w:val="113" w:hRule="atLeast"/>
        </w:trPr>
        <w:tc>
          <w:tcPr>
            <w:tcW w:w="15292" w:type="dxa"/>
            <w:gridSpan w:val="1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道县发展和改革局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gridAfter w:val="1"/>
          <w:wAfter w:w="60" w:type="dxa"/>
          <w:trHeight w:val="113" w:hRule="atLeast"/>
        </w:trPr>
        <w:tc>
          <w:tcPr>
            <w:tcW w:w="12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374.07374.0737433754374.07</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221</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30.87</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94</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2.95</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49.7</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3.88</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16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16.62</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19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8.63</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54.78</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33.69</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2.08</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33.69</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0.54</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19.7</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1.24</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33.65</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19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60" w:type="dxa"/>
          <w:trHeight w:val="284" w:hRule="exact"/>
        </w:trPr>
        <w:tc>
          <w:tcPr>
            <w:tcW w:w="44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407.75</w:t>
            </w:r>
          </w:p>
        </w:tc>
        <w:tc>
          <w:tcPr>
            <w:tcW w:w="8805"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公用经费合计</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18"/>
                <w:lang w:val="en-US" w:eastAsia="zh-CN" w:bidi="ar-SA"/>
              </w:rPr>
            </w:pPr>
            <w:r>
              <w:rPr>
                <w:rFonts w:hint="eastAsia" w:ascii="宋体" w:hAnsi="宋体" w:eastAsia="宋体" w:cs="宋体"/>
                <w:color w:val="000000"/>
                <w:kern w:val="0"/>
                <w:szCs w:val="18"/>
                <w:lang w:val="en-US" w:eastAsia="zh-CN"/>
              </w:rPr>
              <w:t>194.64</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gridAfter w:val="1"/>
          <w:wAfter w:w="60" w:type="dxa"/>
          <w:trHeight w:val="284" w:hRule="exact"/>
        </w:trPr>
        <w:tc>
          <w:tcPr>
            <w:tcW w:w="15292" w:type="dxa"/>
            <w:gridSpan w:val="1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52"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4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6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81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3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6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6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道县发展和改革局</w:t>
            </w:r>
          </w:p>
        </w:tc>
        <w:tc>
          <w:tcPr>
            <w:tcW w:w="181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3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6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1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5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2120803</w:t>
            </w:r>
          </w:p>
        </w:tc>
        <w:tc>
          <w:tcPr>
            <w:tcW w:w="156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城市建设支出</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61.87</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sz w:val="24"/>
                <w:szCs w:val="24"/>
                <w:lang w:val="en-US" w:eastAsia="zh-CN"/>
              </w:rPr>
              <w:t>61.87</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sz w:val="24"/>
                <w:szCs w:val="24"/>
                <w:lang w:val="en-US" w:eastAsia="zh-CN"/>
              </w:rPr>
              <w:t>61.87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5352"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widowControl/>
        <w:jc w:val="center"/>
        <w:rPr>
          <w:rFonts w:hint="eastAsia" w:ascii="Times New Roman" w:hAnsi="Times New Roman" w:eastAsia="方正小标宋_GBK" w:cs="Times New Roman"/>
          <w:color w:val="000000"/>
          <w:kern w:val="0"/>
          <w:sz w:val="36"/>
          <w:szCs w:val="36"/>
          <w:lang w:val="en-US" w:eastAsia="zh-CN"/>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道县发展和改革局</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909"/>
        <w:gridCol w:w="915"/>
        <w:gridCol w:w="959"/>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0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9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95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0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道县发展和改革局</w:t>
            </w:r>
          </w:p>
        </w:tc>
        <w:tc>
          <w:tcPr>
            <w:tcW w:w="9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95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1468.42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162.95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12.48%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机构职责职能的合并，人民防空相关工作今年新划入我局；专项拨付给下属公司与企业的相关补贴费用增加。</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1468.42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1468.42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1468.42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602.39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866.03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1468.42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162.95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12.48%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机构职责职能的合并，人民防空相关工作今年新划入我局；专项拨付给下属公司与企业的相关补贴费用增加。</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1406.55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96</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101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机构职责职能的合并，人民防空相关工作今年新划入我局；专项拨付给下属公司与企业的相关补贴费用增加。</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1406.55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1349.6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37.75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%;粮油物资储备支出</w:t>
      </w:r>
      <w:r>
        <w:rPr>
          <w:rFonts w:hint="eastAsia" w:ascii="Times New Roman" w:hAnsi="Times New Roman" w:eastAsia="仿宋_GB2312"/>
          <w:sz w:val="32"/>
          <w:szCs w:val="32"/>
          <w:lang w:val="en-US" w:eastAsia="zh-CN"/>
        </w:rPr>
        <w:t>19.2万元，占1%。</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1406.55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1406.55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对企业的专项补助资金增加。</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社会事业发展规划</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社会保障就业支出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社会保障就业支出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1120" w:firstLineChars="3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33.69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年初未做预算</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粮油物资储备支出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粮油储备</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储备粮油补贴</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1440" w:firstLineChars="4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其他政府办公厅（室）及相关机构事务支出</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物价管理</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602.39</w:t>
      </w:r>
      <w:r>
        <w:rPr>
          <w:rFonts w:hint="eastAsia" w:ascii="Times New Roman" w:hAnsi="Times New Roman" w:eastAsia="仿宋_GB2312"/>
          <w:sz w:val="32"/>
          <w:szCs w:val="32"/>
        </w:rPr>
        <w:t>万元，其中</w:t>
      </w: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407.75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val="en-US" w:eastAsia="zh-CN"/>
        </w:rPr>
        <w:t>：基本工资221万元，津贴补贴94万元，奖金60.35万元，基本养老、医疗保险缴费49万元，其他工资福利支出10万，对个人和家庭的支出抚恤金33.69万元。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194.64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用于发改日常办公工作开支。其中：办公费30.87万元，水费2.95万元，电费3.88万元，邮电费3.1万元，差旅费16.62万元，维修费8.63万元，租赁费54.78万元，培训费2.1万元，公务接待费15万元，劳务费0.54万元，工会经费19.7万元，公务用车运行及维护费1.24万元，其他交通费33.65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16.24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13.76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机构职能的变动，车辆的变动</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车辆减少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11.96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车辆的减少</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%。其中：</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万元，全年共接待来访来宾</w:t>
      </w:r>
      <w:r>
        <w:rPr>
          <w:rFonts w:hint="eastAsia" w:ascii="Times New Roman" w:hAnsi="Times New Roman" w:eastAsia="仿宋_GB2312"/>
          <w:sz w:val="32"/>
          <w:szCs w:val="32"/>
          <w:lang w:val="en-US" w:eastAsia="zh-CN"/>
        </w:rPr>
        <w:t>1326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接待上级领导部门、各检查部门、相关企业客商等</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车辆用油、保险、维修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61.87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61.87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61.87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城市建设支出</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61.87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61.87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严格按预算金额拨付款项。</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602.39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，机关运行经费</w:t>
      </w:r>
      <w:r>
        <w:rPr>
          <w:rFonts w:hint="eastAsia" w:ascii="Times New Roman" w:hAnsi="Times New Roman" w:eastAsia="仿宋_GB2312"/>
          <w:sz w:val="32"/>
          <w:szCs w:val="32"/>
        </w:rPr>
        <w:t>是指为保障单位机构正常运转、完成日常工作任务而发生的各项支出，包括用于基本工资、津贴补贴等人员经费以及办公费、印刷费、水电费、办公设备购置等日常工作运转经费。</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工资福利支出。全年工资福利预算支出共计374.06万元，其中：基本工资221万元，津贴补贴94万元，奖金60.35万元（人平1.2万元*54人及第13月奖励工资），基本养老、医疗保险缴费49万元，其他工资福利支出10万。比上年决算数增加（减少）</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今年有</w:t>
      </w:r>
      <w:r>
        <w:rPr>
          <w:rFonts w:hint="eastAsia" w:ascii="Times New Roman" w:hAnsi="Times New Roman" w:eastAsia="仿宋_GB2312"/>
          <w:sz w:val="32"/>
          <w:szCs w:val="32"/>
          <w:lang w:val="en-US" w:eastAsia="zh-CN"/>
        </w:rPr>
        <w:t>6人正常退休，人员减少工资、津补贴记相应的社保、绩效等减少。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商品和服务支出。商品和服务支出共计194.64万元，用于发改日常办公工作开支。其中：办公费30.87万元，水费2.95万元，电费3.88万元，邮电费3.1万元，差旅费16.62万元，维修费8.63万元，租赁费54.78万元，培训费2.1万元，公务接待费15万元，劳务费0.54万元，工会经费19.7万元，公务用车运行及维护费1.24万元，其他交通费33.65万元。比上年决算数增加</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万元，增</w:t>
      </w:r>
      <w:r>
        <w:rPr>
          <w:rFonts w:hint="eastAsia" w:ascii="Times New Roman" w:hAnsi="Times New Roman" w:eastAsia="仿宋_GB2312"/>
          <w:sz w:val="32"/>
          <w:szCs w:val="32"/>
          <w:lang w:eastAsia="zh-CN"/>
        </w:rPr>
        <w:t>长</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重大项目集中开工项目租赁设备费和活动举行开支费用增加。</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val="en-US" w:eastAsia="zh-CN"/>
        </w:rPr>
        <w:t>能源安全</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举办节庆、晚会、论坛、赛事活动。</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33</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33</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33</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我单位组织对202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年度部门整体支出和专项资金实施了全覆盖性的绩效评价，撰写了整体绩效评价报告，纳入202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 xml:space="preserve">年部门整体支出绩效目标的金额为 </w:t>
      </w:r>
      <w:r>
        <w:rPr>
          <w:rFonts w:hint="eastAsia" w:ascii="Times New Roman" w:hAnsi="Times New Roman" w:eastAsia="仿宋_GB2312"/>
          <w:sz w:val="32"/>
          <w:szCs w:val="32"/>
          <w:lang w:val="en-US" w:eastAsia="zh-CN"/>
        </w:rPr>
        <w:t>1468.42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602.39</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866.03</w:t>
      </w:r>
      <w:r>
        <w:rPr>
          <w:rFonts w:hint="eastAsia" w:ascii="Times New Roman" w:hAnsi="Times New Roman" w:eastAsia="仿宋_GB2312"/>
          <w:sz w:val="32"/>
          <w:szCs w:val="32"/>
        </w:rPr>
        <w:t>万元，自评覆盖率达到100%，绩效自评结果显示，上述项目支出绩效情况较为理想，均达到了项目申请时设定的各项绩效目标。</w:t>
      </w:r>
    </w:p>
    <w:p>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sz w:val="32"/>
          <w:szCs w:val="32"/>
        </w:rPr>
      </w:pPr>
      <w:r>
        <w:rPr>
          <w:rFonts w:hint="default" w:ascii="Times New Roman" w:hAnsi="Times New Roman" w:eastAsia="仿宋_GB2312" w:cs="Times New Roman"/>
          <w:b w:val="0"/>
          <w:bCs w:val="0"/>
          <w:sz w:val="32"/>
          <w:szCs w:val="32"/>
          <w:highlight w:val="none"/>
          <w:lang w:val="en-US" w:eastAsia="zh-CN"/>
        </w:rPr>
        <w:t>部门重点工作计划</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sz w:val="32"/>
          <w:szCs w:val="32"/>
        </w:rPr>
        <w:t xml:space="preserve">全力实施规划计划保目标。一是加强重点指标的监测调度。对年度计划指标、高质量发展综合绩效评价指标、GDP核算基础指标，实行月调度、季分析、年总结，努力完成全县地区生产总值增幅7%、固定资产投资130亿元，增长9.5%的预定目标，力争在全市高质量发展综合绩效评价中取得更好成绩。二是加强重大问题的分析研判。围绕县委经济工作会议和县政府工作报告提出的重点任务、“一千五百亿”产业、“四个十”以及经济运行中的重大问题，及时组织分析研究，提出更多推动经济社会高质量发展的意见建议。三是加强重大规划的组织实施。（二）全力抓好跑项争资促增长。（三）全力抓好项目建设强基础。一是抓好项目铺排。（四）全力推进新能源开发建设稳增长。（五）全力抓好项目投资促管理。一是加强投资研判。（六）全力抓好国防粮食保安全，完成2023年度内粮食物资储备各项工作任务。（七）全力抓好队伍建设强素质，完成2023年度内发展改革各项工作任务。  </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2023年，在县委、县政府的坚强领导下，以习近平新时代中国特色社会主义思想为指导，全面落实“三高四新”战略定位和使命任务，聚焦“六抓六比”，打好“发展六仗”，深入实施“1251”行动计划，奋力推进“四个十”工作，始终坚持“项目为王”理念和“稳中求进”基调，重大项目、双学双比、能源安全、粮食安全等工作取得较好成效，全力服务全县经济社会高质量发展。首次到国家发改委争取到道县湘源锡矿30万吨/年锂多金属矿产资源开发项目中央预算内补助资金3764万元，已到位资金2533万元；第一批高标准农田建设项目国债资金3960万元指标已下达我县。道县两河三岛四岸生态环保导向的开发（EOD）项目总投资27.85亿元，被列为国家发改委重点推介的8个EOD项目之一。营阳通用机场项目获评审通过。道县成功列入2023年国家骨干冷链物流基地建设名单，获评第一批省现代服务业创新发展区（全省共30个）、省级县城城镇化试点县（全省共16个），发改局认证中心负责人姚亮同志，荣获2021-2022年度全国价格认证工作先进个人（湖南省共7人）。加快2024年“三类项目”储备包装，目前共储备专项债项目35个，专项债资金需求41.53亿元；共储备中央预算内投资项目43个，申请中央预算内资金14.83亿元；共储备国债项目58个，申请国债资金25.34亿元。一是单体省重点项目投资突破百亿元。省重点项目道县湘源锡矿30万吨/年锂多金属矿产资源开发项目建成运营，全年可实现产值6亿元。湖南紫金锂多金属采选及深加工项目列入2024年省重点项目名单，总投资130亿元，一期30万吨/年锂矿采选项目已投产达效，相关配套工程快速推进，二期500万吨/年锂矿采选系统正在加快办理前期手续，该项目有望获评省优秀重点项目。二是市重点项目投资额度排名前列。2023年，我县30个重点项目，年度计划投资83.34亿元，1-12月完成投资83.85亿元，完成年度计划的100.6%，项目入统率100%、排全市第1位，在全市“六抓六比”打好“发展六仗”月调度评比中，我县市重点项目建设9月、10月、11月连续排名全市第2。三是首次举办全市重大项目集中开工签约主会场活动。2月17日，全市2023年第一次重大项目开工签约主会场活动在我县举行，我县集中开工项目15个、总投资逾135亿元、排全市第一位。</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5"/>
        <w:ind w:firstLine="620" w:firstLineChars="200"/>
        <w:jc w:val="both"/>
        <w:rPr>
          <w:rFonts w:ascii="仿宋" w:hAnsi="仿宋" w:eastAsia="仿宋" w:cs="仿宋"/>
          <w:i w:val="0"/>
          <w:iCs w:val="0"/>
          <w:caps w:val="0"/>
          <w:color w:val="000000"/>
          <w:spacing w:val="0"/>
          <w:sz w:val="31"/>
          <w:szCs w:val="31"/>
          <w:shd w:val="clear" w:fill="FFFFFF"/>
        </w:rPr>
      </w:pPr>
      <w:r>
        <w:rPr>
          <w:rFonts w:ascii="仿宋" w:hAnsi="仿宋" w:eastAsia="仿宋" w:cs="仿宋"/>
          <w:i w:val="0"/>
          <w:iCs w:val="0"/>
          <w:caps w:val="0"/>
          <w:color w:val="000000"/>
          <w:spacing w:val="0"/>
          <w:sz w:val="31"/>
          <w:szCs w:val="31"/>
          <w:shd w:val="clear" w:fill="FFFFFF"/>
        </w:rPr>
        <w:t>预算绩效管理工作有待加强。虽然开展了预算绩效管理工作，但仍存在一些不足：一是绩效目标编制不规范。目标设立不够明确、细化、量化，使用定性指标较多，数量指标较少，部门整体支出自评质量也不高。二是绩效管理理念有待进一步增强。虽然预算单位对绩效的理念有了一定的了解，但长期以来形成的“重安排，轻监督；重使用，轻绩效”的思想短期内还存在，认为只要资金使用合法合规就行，忽视了财政资金的使用绩效。</w:t>
      </w:r>
    </w:p>
    <w:p>
      <w:pPr>
        <w:pStyle w:val="15"/>
        <w:ind w:firstLine="620" w:firstLineChars="200"/>
        <w:jc w:val="both"/>
        <w:rPr>
          <w:rFonts w:hint="eastAsia" w:ascii="仿宋" w:hAnsi="仿宋" w:eastAsia="仿宋" w:cs="仿宋"/>
          <w:i w:val="0"/>
          <w:iCs w:val="0"/>
          <w:caps w:val="0"/>
          <w:color w:val="000000"/>
          <w:spacing w:val="0"/>
          <w:sz w:val="31"/>
          <w:szCs w:val="31"/>
          <w:shd w:val="clear" w:fill="FFFFFF"/>
          <w:lang w:eastAsia="zh-CN"/>
        </w:rPr>
      </w:pPr>
      <w:r>
        <w:rPr>
          <w:rFonts w:ascii="仿宋" w:hAnsi="仿宋" w:eastAsia="仿宋" w:cs="仿宋"/>
          <w:i w:val="0"/>
          <w:iCs w:val="0"/>
          <w:caps w:val="0"/>
          <w:color w:val="000000"/>
          <w:spacing w:val="0"/>
          <w:sz w:val="31"/>
          <w:szCs w:val="31"/>
          <w:shd w:val="clear" w:fill="FFFFFF"/>
        </w:rPr>
        <w:t>财务制度不够完善，业务素质有待提高，加强相关工作人员绩效目标管理业务知识的学习培训，进一步改进和完善指标设置，逐步建立更科学、更具指向性、可量化的指标体系。一是尽可能分解细化项目计划或项目方案，提高预算和执行科学性：二是强化项目执行跟踪，加强资金绩效管理；三是完善相应制度，加强内控体系建设。</w:t>
      </w:r>
    </w:p>
    <w:p>
      <w:pPr>
        <w:pStyle w:val="15"/>
        <w:ind w:firstLine="620" w:firstLineChars="200"/>
        <w:jc w:val="both"/>
        <w:rPr>
          <w:rFonts w:hint="eastAsia" w:ascii="仿宋" w:hAnsi="仿宋" w:eastAsia="仿宋" w:cs="仿宋"/>
          <w:i w:val="0"/>
          <w:iCs w:val="0"/>
          <w:caps w:val="0"/>
          <w:color w:val="000000"/>
          <w:spacing w:val="0"/>
          <w:sz w:val="31"/>
          <w:szCs w:val="31"/>
          <w:shd w:val="clear" w:fill="FFFFFF"/>
          <w:lang w:eastAsia="zh-CN"/>
        </w:rPr>
      </w:pPr>
    </w:p>
    <w:p>
      <w:pPr>
        <w:pStyle w:val="15"/>
        <w:tabs>
          <w:tab w:val="left" w:pos="943"/>
        </w:tabs>
        <w:jc w:val="left"/>
        <w:rPr>
          <w:rFonts w:hint="eastAsia"/>
          <w:sz w:val="72"/>
          <w:szCs w:val="72"/>
          <w:lang w:eastAsia="zh-CN"/>
        </w:rPr>
      </w:pPr>
    </w:p>
    <w:p>
      <w:pPr>
        <w:pStyle w:val="15"/>
        <w:tabs>
          <w:tab w:val="left" w:pos="943"/>
        </w:tabs>
        <w:jc w:val="left"/>
        <w:rPr>
          <w:rFonts w:hint="eastAsia"/>
          <w:sz w:val="72"/>
          <w:szCs w:val="72"/>
          <w:lang w:eastAsia="zh-CN"/>
        </w:rPr>
      </w:pPr>
    </w:p>
    <w:p>
      <w:pPr>
        <w:pStyle w:val="15"/>
        <w:tabs>
          <w:tab w:val="left" w:pos="943"/>
        </w:tabs>
        <w:jc w:val="left"/>
        <w:rPr>
          <w:rFonts w:hint="eastAsia"/>
          <w:sz w:val="72"/>
          <w:szCs w:val="72"/>
          <w:lang w:eastAsia="zh-CN"/>
        </w:rPr>
      </w:pPr>
    </w:p>
    <w:p>
      <w:pPr>
        <w:pStyle w:val="15"/>
        <w:tabs>
          <w:tab w:val="left" w:pos="943"/>
        </w:tabs>
        <w:jc w:val="left"/>
        <w:rPr>
          <w:rFonts w:hint="eastAsia"/>
          <w:sz w:val="72"/>
          <w:szCs w:val="72"/>
          <w:lang w:eastAsia="zh-CN"/>
        </w:rPr>
      </w:pPr>
    </w:p>
    <w:p>
      <w:pPr>
        <w:pStyle w:val="15"/>
        <w:tabs>
          <w:tab w:val="left" w:pos="943"/>
        </w:tabs>
        <w:jc w:val="left"/>
        <w:rPr>
          <w:rFonts w:hint="eastAsia"/>
          <w:sz w:val="72"/>
          <w:szCs w:val="72"/>
          <w:lang w:eastAsia="zh-CN"/>
        </w:rPr>
      </w:pPr>
    </w:p>
    <w:p>
      <w:pPr>
        <w:pStyle w:val="15"/>
        <w:tabs>
          <w:tab w:val="left" w:pos="943"/>
        </w:tabs>
        <w:jc w:val="left"/>
        <w:rPr>
          <w:rFonts w:hint="eastAsia"/>
          <w:sz w:val="72"/>
          <w:szCs w:val="72"/>
          <w:lang w:eastAsia="zh-CN"/>
        </w:rPr>
      </w:pPr>
    </w:p>
    <w:p>
      <w:pPr>
        <w:pStyle w:val="15"/>
        <w:tabs>
          <w:tab w:val="left" w:pos="943"/>
        </w:tabs>
        <w:jc w:val="left"/>
        <w:rPr>
          <w:rFonts w:hint="eastAsia"/>
          <w:sz w:val="72"/>
          <w:szCs w:val="72"/>
          <w:lang w:eastAsia="zh-CN"/>
        </w:rPr>
      </w:pPr>
    </w:p>
    <w:p>
      <w:pPr>
        <w:pStyle w:val="15"/>
        <w:tabs>
          <w:tab w:val="left" w:pos="943"/>
        </w:tabs>
        <w:jc w:val="left"/>
        <w:rPr>
          <w:rFonts w:hint="eastAsia"/>
          <w:sz w:val="72"/>
          <w:szCs w:val="72"/>
          <w:lang w:eastAsia="zh-CN"/>
        </w:rPr>
      </w:pPr>
    </w:p>
    <w:p>
      <w:pPr>
        <w:pStyle w:val="15"/>
        <w:jc w:val="center"/>
        <w:rPr>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1. 一般公共预算财政拨款：指财政当年拨付的资金。</w:t>
      </w:r>
    </w:p>
    <w:p>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2. 基本支出：指为保障机构正常运转、完成日常工作任务而发生的人员支出和公用支出。</w:t>
      </w:r>
    </w:p>
    <w:p>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3. 项目支出：指在基本支出以外为完成相关行政任务和事业发展目标所发生的支出。</w:t>
      </w:r>
    </w:p>
    <w:p>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4. “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支出。</w:t>
      </w:r>
    </w:p>
    <w:p>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5. 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6. 年末结转和结余：指本年度或以前年度预算安排、因客观条件发生变化无法按原计划实施，需要延迟到以后年度按有关规定继续使用的资金，既包括财政拨款结转和结余，也包括事业收入、其他收入的结转和结余。</w:t>
      </w:r>
    </w:p>
    <w:p>
      <w:pPr>
        <w:pStyle w:val="15"/>
        <w:ind w:firstLine="620" w:firstLineChars="200"/>
        <w:jc w:val="both"/>
        <w:rPr>
          <w:rFonts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lang w:val="en-US" w:eastAsia="zh-CN"/>
        </w:rPr>
        <w:t xml:space="preserve">  </w:t>
      </w:r>
    </w:p>
    <w:p>
      <w:pPr>
        <w:pStyle w:val="15"/>
        <w:ind w:firstLine="620" w:firstLineChars="200"/>
        <w:jc w:val="both"/>
        <w:rPr>
          <w:rFonts w:ascii="仿宋" w:hAnsi="仿宋" w:eastAsia="仿宋" w:cs="仿宋"/>
          <w:i w:val="0"/>
          <w:iCs w:val="0"/>
          <w:caps w:val="0"/>
          <w:color w:val="000000"/>
          <w:spacing w:val="0"/>
          <w:sz w:val="31"/>
          <w:szCs w:val="31"/>
          <w:shd w:val="clear" w:fill="FFFFFF"/>
        </w:rPr>
      </w:pPr>
    </w:p>
    <w:p>
      <w:pPr>
        <w:pStyle w:val="15"/>
        <w:jc w:val="center"/>
        <w:rPr>
          <w:sz w:val="72"/>
          <w:szCs w:val="72"/>
        </w:rPr>
      </w:pPr>
    </w:p>
    <w:p>
      <w:pPr>
        <w:pStyle w:val="15"/>
        <w:jc w:val="center"/>
        <w:rPr>
          <w:sz w:val="72"/>
          <w:szCs w:val="72"/>
        </w:rPr>
      </w:pPr>
    </w:p>
    <w:p>
      <w:pPr>
        <w:pStyle w:val="15"/>
        <w:jc w:val="center"/>
        <w:rPr>
          <w:sz w:val="72"/>
          <w:szCs w:val="72"/>
        </w:rPr>
      </w:pPr>
    </w:p>
    <w:p>
      <w:pP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52"/>
                <w:szCs w:val="52"/>
                <w:u w:val="none"/>
              </w:rPr>
            </w:pPr>
            <w:r>
              <w:rPr>
                <w:rFonts w:hint="eastAsia" w:ascii="仿宋" w:hAnsi="仿宋" w:eastAsia="仿宋" w:cs="仿宋"/>
                <w:i w:val="0"/>
                <w:iCs w:val="0"/>
                <w:caps w:val="0"/>
                <w:color w:val="000000"/>
                <w:spacing w:val="0"/>
                <w:kern w:val="0"/>
                <w:sz w:val="31"/>
                <w:szCs w:val="31"/>
                <w:shd w:val="clear" w:fill="FFFFFF"/>
                <w:lang w:val="en-US" w:eastAsia="zh-CN" w:bidi="ar-SA"/>
              </w:rPr>
              <w:t>1.道县发展和改革局绩效自评报告</w:t>
            </w:r>
          </w:p>
        </w:tc>
      </w:tr>
    </w:tbl>
    <w:p>
      <w:pPr>
        <w:tabs>
          <w:tab w:val="left" w:pos="6757"/>
        </w:tabs>
        <w:bidi w:val="0"/>
        <w:jc w:val="left"/>
        <w:rPr>
          <w:lang w:val="en-US" w:eastAsia="zh-CN"/>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AA9B"/>
    <w:multiLevelType w:val="singleLevel"/>
    <w:tmpl w:val="C90DAA9B"/>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86150"/>
    <w:rsid w:val="00FB462F"/>
    <w:rsid w:val="00FE16FA"/>
    <w:rsid w:val="00FE328A"/>
    <w:rsid w:val="00FE6269"/>
    <w:rsid w:val="00FF5CD6"/>
    <w:rsid w:val="01626374"/>
    <w:rsid w:val="031D5663"/>
    <w:rsid w:val="0422003D"/>
    <w:rsid w:val="06043E9E"/>
    <w:rsid w:val="078F59E9"/>
    <w:rsid w:val="0A7315F2"/>
    <w:rsid w:val="122D739D"/>
    <w:rsid w:val="14CA62B3"/>
    <w:rsid w:val="15A5287C"/>
    <w:rsid w:val="19704F4F"/>
    <w:rsid w:val="19E723E9"/>
    <w:rsid w:val="1A4345BF"/>
    <w:rsid w:val="1D97DEFF"/>
    <w:rsid w:val="1DFF72E5"/>
    <w:rsid w:val="1EFC6F07"/>
    <w:rsid w:val="210135E6"/>
    <w:rsid w:val="25325E0A"/>
    <w:rsid w:val="272F6449"/>
    <w:rsid w:val="292542D5"/>
    <w:rsid w:val="294E7410"/>
    <w:rsid w:val="2B0C10B2"/>
    <w:rsid w:val="2FDF85B8"/>
    <w:rsid w:val="2FFFEE04"/>
    <w:rsid w:val="322C54F0"/>
    <w:rsid w:val="34DF85B0"/>
    <w:rsid w:val="39C65C3D"/>
    <w:rsid w:val="3A271A75"/>
    <w:rsid w:val="3B8F36BC"/>
    <w:rsid w:val="3BFD221A"/>
    <w:rsid w:val="3C125CC6"/>
    <w:rsid w:val="3FC96FE3"/>
    <w:rsid w:val="406D7664"/>
    <w:rsid w:val="42204EB5"/>
    <w:rsid w:val="42AC04F6"/>
    <w:rsid w:val="451A5BEB"/>
    <w:rsid w:val="47A520E4"/>
    <w:rsid w:val="47B916EB"/>
    <w:rsid w:val="491FF225"/>
    <w:rsid w:val="4C7E1155"/>
    <w:rsid w:val="4FF43C08"/>
    <w:rsid w:val="4FFD214C"/>
    <w:rsid w:val="530F0D59"/>
    <w:rsid w:val="54880DC3"/>
    <w:rsid w:val="56D402F0"/>
    <w:rsid w:val="5777D4F5"/>
    <w:rsid w:val="581F559B"/>
    <w:rsid w:val="59B61F2F"/>
    <w:rsid w:val="59DD8326"/>
    <w:rsid w:val="5DEF592A"/>
    <w:rsid w:val="5E257683"/>
    <w:rsid w:val="5F944AC0"/>
    <w:rsid w:val="5FC6BB1E"/>
    <w:rsid w:val="5FF720F1"/>
    <w:rsid w:val="608B57CD"/>
    <w:rsid w:val="6208709F"/>
    <w:rsid w:val="62696274"/>
    <w:rsid w:val="66AB0D07"/>
    <w:rsid w:val="676B4CB5"/>
    <w:rsid w:val="67FF5C0B"/>
    <w:rsid w:val="68993147"/>
    <w:rsid w:val="691D79E9"/>
    <w:rsid w:val="6EFC0924"/>
    <w:rsid w:val="6FB74722"/>
    <w:rsid w:val="6FEF8B7E"/>
    <w:rsid w:val="713A2FED"/>
    <w:rsid w:val="71A6591B"/>
    <w:rsid w:val="737D59BA"/>
    <w:rsid w:val="748D1686"/>
    <w:rsid w:val="77C37683"/>
    <w:rsid w:val="79BD47BC"/>
    <w:rsid w:val="79FF515B"/>
    <w:rsid w:val="7AFA4CCB"/>
    <w:rsid w:val="7C7E0232"/>
    <w:rsid w:val="7CAD6D69"/>
    <w:rsid w:val="7CED360A"/>
    <w:rsid w:val="7E891311"/>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11996</Words>
  <Characters>13796</Characters>
  <Lines>63</Lines>
  <Paragraphs>18</Paragraphs>
  <TotalTime>0</TotalTime>
  <ScaleCrop>false</ScaleCrop>
  <LinksUpToDate>false</LinksUpToDate>
  <CharactersWithSpaces>14643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2024-08-30T09:27:25Z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BDFEF67BE60E4950BAF8B882BC5B5120_12</vt:lpwstr>
  </property>
</Properties>
</file>