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烤烟事务中心</w:t>
      </w:r>
      <w:r>
        <w:rPr>
          <w:rFonts w:hint="eastAsia" w:ascii="方正小标宋_GBK" w:hAnsi="方正小标宋_GBK" w:eastAsia="方正小标宋_GBK" w:cs="方正小标宋_GBK"/>
          <w:sz w:val="84"/>
          <w:szCs w:val="84"/>
        </w:rPr>
        <w:t>部门决算</w:t>
      </w:r>
    </w:p>
    <w:p>
      <w:pPr>
        <w:pStyle w:val="12"/>
        <w:jc w:val="center"/>
        <w:rPr>
          <w:rFonts w:hint="eastAsia" w:ascii="方正小标宋_GBK" w:hAnsi="方正小标宋_GBK" w:eastAsia="方正小标宋_GBK" w:cs="方正小标宋_GBK"/>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40" w:lineRule="exact"/>
        <w:jc w:val="center"/>
        <w:rPr>
          <w:sz w:val="56"/>
          <w:szCs w:val="56"/>
        </w:rPr>
      </w:pPr>
    </w:p>
    <w:p>
      <w:pPr>
        <w:pStyle w:val="12"/>
        <w:spacing w:line="500" w:lineRule="exact"/>
        <w:jc w:val="both"/>
        <w:rPr>
          <w:b/>
          <w:sz w:val="36"/>
          <w:szCs w:val="28"/>
        </w:rPr>
      </w:pPr>
    </w:p>
    <w:p>
      <w:pPr>
        <w:pStyle w:val="12"/>
        <w:spacing w:line="500" w:lineRule="exact"/>
        <w:jc w:val="center"/>
        <w:rPr>
          <w:b/>
          <w:sz w:val="36"/>
          <w:szCs w:val="28"/>
        </w:rPr>
      </w:pPr>
      <w:r>
        <w:rPr>
          <w:rFonts w:hint="eastAsia"/>
          <w:b/>
          <w:sz w:val="36"/>
          <w:szCs w:val="28"/>
        </w:rPr>
        <w:t>目录</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烤烟事务中心</w:t>
      </w:r>
      <w:r>
        <w:rPr>
          <w:rFonts w:hint="eastAsia" w:ascii="黑体" w:hAnsi="黑体" w:eastAsia="黑体" w:cs="黑体"/>
          <w:b w:val="0"/>
          <w:bCs/>
          <w:sz w:val="28"/>
          <w:szCs w:val="28"/>
        </w:rPr>
        <w:t>概况</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2"/>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2"/>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烤烟事务中心</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3"/>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（一）参与和会同有关部门研究全县农业和农村经济发展战略目标，负责编制烤烟生产中、长期的发展规划。</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Cs/>
          <w:kern w:val="0"/>
          <w:sz w:val="32"/>
          <w:szCs w:val="32"/>
        </w:rPr>
        <w:t>（二）</w:t>
      </w:r>
      <w:r>
        <w:rPr>
          <w:rFonts w:hint="eastAsia" w:ascii="Times New Roman" w:hAnsi="Times New Roman" w:eastAsia="仿宋_GB2312" w:cs="仿宋_GB2312"/>
          <w:sz w:val="32"/>
          <w:szCs w:val="32"/>
        </w:rPr>
        <w:t>调查了解农业生产情况，制定增产技术措施，推广高科技新品种，实施“富民工程”项目，发展高产、优质、高效农业。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Cs/>
          <w:kern w:val="0"/>
          <w:sz w:val="32"/>
          <w:szCs w:val="32"/>
        </w:rPr>
        <w:t>（</w:t>
      </w:r>
      <w:r>
        <w:rPr>
          <w:rFonts w:hint="eastAsia" w:ascii="Times New Roman" w:hAnsi="Times New Roman" w:eastAsia="仿宋_GB2312" w:cs="仿宋_GB2312"/>
          <w:bCs/>
          <w:kern w:val="0"/>
          <w:sz w:val="32"/>
          <w:szCs w:val="32"/>
          <w:lang w:eastAsia="zh-CN"/>
        </w:rPr>
        <w:t>三</w:t>
      </w:r>
      <w:r>
        <w:rPr>
          <w:rFonts w:hint="eastAsia" w:ascii="Times New Roman" w:hAnsi="Times New Roman" w:eastAsia="仿宋_GB2312" w:cs="仿宋_GB2312"/>
          <w:bCs/>
          <w:kern w:val="0"/>
          <w:sz w:val="32"/>
          <w:szCs w:val="32"/>
        </w:rPr>
        <w:t>）</w:t>
      </w:r>
      <w:r>
        <w:rPr>
          <w:rFonts w:hint="eastAsia" w:ascii="Times New Roman" w:hAnsi="Times New Roman" w:eastAsia="仿宋_GB2312" w:cs="仿宋_GB2312"/>
          <w:sz w:val="32"/>
          <w:szCs w:val="32"/>
        </w:rPr>
        <w:t>研究烤烟市场产销方向，做好烟农产前、产中、产后的服务工作，做好数据统计工作。</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pPr>
      <w:r>
        <w:rPr>
          <w:rFonts w:ascii="仿宋_GB2312" w:hAnsi="仿宋_GB2312" w:eastAsia="仿宋_GB2312" w:cs="仿宋_GB2312"/>
          <w:color w:val="000000"/>
          <w:kern w:val="0"/>
          <w:sz w:val="32"/>
          <w:szCs w:val="32"/>
          <w:lang w:val="en-US" w:eastAsia="zh-CN" w:bidi="ar"/>
        </w:rPr>
        <w:t xml:space="preserve">本单位为正科级全额拨款事业单位，属参照公务员管理单位，内设综合技术股1个职能股室。目前实有在职在编人数10人，其中行政编制8人，事业编制1人，工勤人员1名。退休人员 3人。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 xml:space="preserve"> 道县烤烟事务中心部门只有本级，没有其他二级预算单位，纳入 2023 年部门预算编制范围的只有道县烤烟事务中心本级。</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pStyle w:val="2"/>
      </w:pPr>
    </w:p>
    <w:p>
      <w:pPr>
        <w:pStyle w:val="12"/>
        <w:jc w:val="both"/>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both"/>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15428" w:type="dxa"/>
        <w:tblInd w:w="0" w:type="dxa"/>
        <w:tblLayout w:type="fixed"/>
        <w:tblCellMar>
          <w:top w:w="0" w:type="dxa"/>
          <w:left w:w="0" w:type="dxa"/>
          <w:bottom w:w="0" w:type="dxa"/>
          <w:right w:w="0" w:type="dxa"/>
        </w:tblCellMar>
      </w:tblPr>
      <w:tblGrid>
        <w:gridCol w:w="298"/>
        <w:gridCol w:w="298"/>
        <w:gridCol w:w="1475"/>
        <w:gridCol w:w="1800"/>
        <w:gridCol w:w="1800"/>
        <w:gridCol w:w="1800"/>
        <w:gridCol w:w="1800"/>
        <w:gridCol w:w="1801"/>
        <w:gridCol w:w="1801"/>
        <w:gridCol w:w="2555"/>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8"/>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22"/>
              <w:gridCol w:w="592"/>
              <w:gridCol w:w="2269"/>
              <w:gridCol w:w="3993"/>
              <w:gridCol w:w="1537"/>
              <w:gridCol w:w="44"/>
              <w:gridCol w:w="2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4322"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592"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269"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3993"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581"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641" w:type="dxa"/>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322"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92"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26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399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581"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641"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322"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592"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26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399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581"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641"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7183"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821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3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1,869.03 </w:t>
                  </w:r>
                </w:p>
              </w:tc>
              <w:tc>
                <w:tcPr>
                  <w:tcW w:w="3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201.61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0.00 </w:t>
                  </w:r>
                </w:p>
              </w:tc>
              <w:tc>
                <w:tcPr>
                  <w:tcW w:w="3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0.00 </w:t>
                  </w:r>
                </w:p>
              </w:tc>
              <w:tc>
                <w:tcPr>
                  <w:tcW w:w="3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36</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37</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20.55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九、卫生健康支出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39</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4.68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十、节能环保支出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十一、城乡社区支出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41</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十二、农林水支出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42</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1,638.31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十三、交通运输支出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44</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十六、金融支出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47</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48</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十九、住房保障支出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49</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3.88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51</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52</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二十三、其他支出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53</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54</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56</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1,869.03 </w:t>
                  </w:r>
                </w:p>
              </w:tc>
              <w:tc>
                <w:tcPr>
                  <w:tcW w:w="3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57</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1,869.03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0.00 </w:t>
                  </w:r>
                </w:p>
              </w:tc>
              <w:tc>
                <w:tcPr>
                  <w:tcW w:w="3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0.00 </w:t>
                  </w:r>
                </w:p>
              </w:tc>
              <w:tc>
                <w:tcPr>
                  <w:tcW w:w="3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59</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3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0.00 </w:t>
                  </w:r>
                </w:p>
              </w:tc>
              <w:tc>
                <w:tcPr>
                  <w:tcW w:w="3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15398"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9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9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7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59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147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0"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80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071"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8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8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8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80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80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55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59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47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5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59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75"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5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07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80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80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5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207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1,869.03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1,869.03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25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450" w:hRule="atLeast"/>
        </w:trPr>
        <w:tc>
          <w:tcPr>
            <w:tcW w:w="59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2130104</w:t>
            </w:r>
          </w:p>
        </w:tc>
        <w:tc>
          <w:tcPr>
            <w:tcW w:w="14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事业运行</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1,638.31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1,638.31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25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450" w:hRule="atLeast"/>
        </w:trPr>
        <w:tc>
          <w:tcPr>
            <w:tcW w:w="59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14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 xml:space="preserve">20.55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20.55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25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450" w:hRule="atLeast"/>
        </w:trPr>
        <w:tc>
          <w:tcPr>
            <w:tcW w:w="59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2010350</w:t>
            </w:r>
          </w:p>
        </w:tc>
        <w:tc>
          <w:tcPr>
            <w:tcW w:w="14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事业运行</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201.61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201.61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25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450" w:hRule="atLeast"/>
        </w:trPr>
        <w:tc>
          <w:tcPr>
            <w:tcW w:w="59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2101102</w:t>
            </w:r>
          </w:p>
        </w:tc>
        <w:tc>
          <w:tcPr>
            <w:tcW w:w="14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事业单位医疗</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4.68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4.68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25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450" w:hRule="atLeast"/>
        </w:trPr>
        <w:tc>
          <w:tcPr>
            <w:tcW w:w="59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14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住房公积金</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3.88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3.88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25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450" w:hRule="atLeast"/>
        </w:trPr>
        <w:tc>
          <w:tcPr>
            <w:tcW w:w="59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4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方正小标宋_GBK" w:cs="Times New Roman"/>
          <w:color w:val="000000"/>
          <w:kern w:val="0"/>
          <w:sz w:val="36"/>
          <w:szCs w:val="36"/>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8"/>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1,869.03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230.72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1,638.31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2130104</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事业运行</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1,638.31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1,638.31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20.55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20.55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2010350</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事业运行</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201.61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201.61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2101102</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事业单位医疗</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4.68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4.68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住房公积金</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3.88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3.88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8"/>
        <w:tblW w:w="15521" w:type="dxa"/>
        <w:tblInd w:w="93" w:type="dxa"/>
        <w:tblLayout w:type="fixed"/>
        <w:tblCellMar>
          <w:top w:w="0" w:type="dxa"/>
          <w:left w:w="108" w:type="dxa"/>
          <w:bottom w:w="0" w:type="dxa"/>
          <w:right w:w="108" w:type="dxa"/>
        </w:tblCellMar>
      </w:tblPr>
      <w:tblGrid>
        <w:gridCol w:w="2803"/>
        <w:gridCol w:w="1065"/>
        <w:gridCol w:w="1581"/>
        <w:gridCol w:w="474"/>
        <w:gridCol w:w="2793"/>
        <w:gridCol w:w="605"/>
        <w:gridCol w:w="425"/>
        <w:gridCol w:w="1581"/>
        <w:gridCol w:w="1341"/>
        <w:gridCol w:w="1341"/>
        <w:gridCol w:w="1512"/>
      </w:tblGrid>
      <w:tr>
        <w:tblPrEx>
          <w:tblCellMar>
            <w:top w:w="0" w:type="dxa"/>
            <w:left w:w="108" w:type="dxa"/>
            <w:bottom w:w="0" w:type="dxa"/>
            <w:right w:w="108" w:type="dxa"/>
          </w:tblCellMar>
        </w:tblPrEx>
        <w:trPr>
          <w:trHeight w:val="285" w:hRule="atLeast"/>
        </w:trPr>
        <w:tc>
          <w:tcPr>
            <w:tcW w:w="2803"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106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2055"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398"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2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81"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41"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41"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1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280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6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72"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2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2803"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106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72"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2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4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44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07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28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2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28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2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28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10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1,869.03 </w:t>
            </w:r>
          </w:p>
        </w:tc>
        <w:tc>
          <w:tcPr>
            <w:tcW w:w="32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201.61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201.61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28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10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2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28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10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2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28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2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28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2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28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2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28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2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28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10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2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20.55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20.55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28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10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2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九、卫生健康支出</w:t>
            </w:r>
          </w:p>
        </w:tc>
        <w:tc>
          <w:tcPr>
            <w:tcW w:w="10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4.68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4.68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28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10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2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十、节能环保支出</w:t>
            </w:r>
          </w:p>
        </w:tc>
        <w:tc>
          <w:tcPr>
            <w:tcW w:w="10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28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10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2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十一、城乡社区支出</w:t>
            </w:r>
          </w:p>
        </w:tc>
        <w:tc>
          <w:tcPr>
            <w:tcW w:w="10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28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10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2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十二、农林水支出</w:t>
            </w:r>
          </w:p>
        </w:tc>
        <w:tc>
          <w:tcPr>
            <w:tcW w:w="10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1,638.31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1,638.31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28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10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2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十三、交通运输支出</w:t>
            </w:r>
          </w:p>
        </w:tc>
        <w:tc>
          <w:tcPr>
            <w:tcW w:w="10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28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10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2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28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10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2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28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10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2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十六、金融支出</w:t>
            </w:r>
          </w:p>
        </w:tc>
        <w:tc>
          <w:tcPr>
            <w:tcW w:w="10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28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10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2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28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10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2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5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28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10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2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十九、住房保障支出</w:t>
            </w:r>
          </w:p>
        </w:tc>
        <w:tc>
          <w:tcPr>
            <w:tcW w:w="10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3.88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3.88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28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10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2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28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10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2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28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10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2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28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10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2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二十三、其他支出</w:t>
            </w:r>
          </w:p>
        </w:tc>
        <w:tc>
          <w:tcPr>
            <w:tcW w:w="10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28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10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2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28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10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2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280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2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28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10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1,869.03 </w:t>
            </w:r>
          </w:p>
        </w:tc>
        <w:tc>
          <w:tcPr>
            <w:tcW w:w="32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1,869.03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1,869.03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28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10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2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28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一般公共预算财政拨款</w:t>
            </w:r>
          </w:p>
        </w:tc>
        <w:tc>
          <w:tcPr>
            <w:tcW w:w="10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2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4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1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28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政府性基金预算财政拨款</w:t>
            </w:r>
          </w:p>
        </w:tc>
        <w:tc>
          <w:tcPr>
            <w:tcW w:w="10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2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4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1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280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国有资本经营预算财政拨款</w:t>
            </w:r>
          </w:p>
        </w:tc>
        <w:tc>
          <w:tcPr>
            <w:tcW w:w="10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2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4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1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2803"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5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1,869.03 </w:t>
            </w:r>
          </w:p>
        </w:tc>
        <w:tc>
          <w:tcPr>
            <w:tcW w:w="32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1,869.03 </w:t>
            </w:r>
          </w:p>
        </w:tc>
        <w:tc>
          <w:tcPr>
            <w:tcW w:w="134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1,869.03 </w:t>
            </w:r>
          </w:p>
        </w:tc>
        <w:tc>
          <w:tcPr>
            <w:tcW w:w="13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pStyle w:val="2"/>
        <w:rPr>
          <w:rFonts w:ascii="Times New Roman" w:hAnsi="Times New Roman" w:eastAsia="方正小标宋_GBK" w:cs="Times New Roman"/>
          <w:kern w:val="0"/>
          <w:sz w:val="36"/>
          <w:szCs w:val="36"/>
        </w:rPr>
      </w:pPr>
    </w:p>
    <w:p>
      <w:pPr>
        <w:rPr>
          <w:rFonts w:ascii="Times New Roman" w:hAnsi="Times New Roman" w:eastAsia="方正小标宋_GBK" w:cs="Times New Roman"/>
          <w:kern w:val="0"/>
          <w:sz w:val="36"/>
          <w:szCs w:val="36"/>
        </w:rPr>
      </w:pPr>
    </w:p>
    <w:p>
      <w:pPr>
        <w:pStyle w:val="2"/>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烤烟事务中心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1,869.03 </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230.72 </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1,638.31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事业运行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1,638.31 </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0.00 </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1,638.31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20.55 </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20.55 </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2010350</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事业运行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201.61 </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201.61 </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事业单位医疗</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4.68 </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4.68 </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住房公积金</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3.88 </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3.88 </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0.00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0" w:type="auto"/>
        <w:tblInd w:w="0" w:type="dxa"/>
        <w:tblLayout w:type="fixed"/>
        <w:tblCellMar>
          <w:top w:w="0" w:type="dxa"/>
          <w:left w:w="108" w:type="dxa"/>
          <w:bottom w:w="0" w:type="dxa"/>
          <w:right w:w="108" w:type="dxa"/>
        </w:tblCellMar>
      </w:tblPr>
      <w:tblGrid>
        <w:gridCol w:w="855"/>
        <w:gridCol w:w="236"/>
        <w:gridCol w:w="79"/>
        <w:gridCol w:w="1102"/>
        <w:gridCol w:w="1711"/>
        <w:gridCol w:w="120"/>
        <w:gridCol w:w="1171"/>
        <w:gridCol w:w="1035"/>
        <w:gridCol w:w="257"/>
        <w:gridCol w:w="1667"/>
        <w:gridCol w:w="193"/>
        <w:gridCol w:w="918"/>
        <w:gridCol w:w="1035"/>
        <w:gridCol w:w="337"/>
        <w:gridCol w:w="2017"/>
        <w:gridCol w:w="1618"/>
        <w:gridCol w:w="769"/>
        <w:gridCol w:w="494"/>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烤烟事务中心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1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81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9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192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1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7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17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8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291"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 xml:space="preserve">142.19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19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111"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 xml:space="preserve">86.98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97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263"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0.00</w:t>
            </w:r>
          </w:p>
        </w:tc>
      </w:tr>
      <w:tr>
        <w:tblPrEx>
          <w:tblCellMar>
            <w:top w:w="0" w:type="dxa"/>
            <w:left w:w="108" w:type="dxa"/>
            <w:bottom w:w="0" w:type="dxa"/>
            <w:right w:w="108" w:type="dxa"/>
          </w:tblCellMar>
        </w:tblPrEx>
        <w:trPr>
          <w:trHeight w:val="284" w:hRule="exact"/>
        </w:trPr>
        <w:tc>
          <w:tcPr>
            <w:tcW w:w="117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8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291"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 xml:space="preserve">46.17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19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111"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 xml:space="preserve">37.29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97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263"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0.00</w:t>
            </w:r>
          </w:p>
        </w:tc>
      </w:tr>
      <w:tr>
        <w:tblPrEx>
          <w:tblCellMar>
            <w:top w:w="0" w:type="dxa"/>
            <w:left w:w="108" w:type="dxa"/>
            <w:bottom w:w="0" w:type="dxa"/>
            <w:right w:w="108" w:type="dxa"/>
          </w:tblCellMar>
        </w:tblPrEx>
        <w:trPr>
          <w:trHeight w:val="284" w:hRule="exact"/>
        </w:trPr>
        <w:tc>
          <w:tcPr>
            <w:tcW w:w="117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8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291"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 xml:space="preserve">31.77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19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111" w:type="dxa"/>
            <w:gridSpan w:val="2"/>
            <w:tcBorders>
              <w:top w:val="nil"/>
              <w:left w:val="nil"/>
              <w:bottom w:val="single" w:color="auto" w:sz="4" w:space="0"/>
              <w:right w:val="single" w:color="auto" w:sz="4" w:space="0"/>
            </w:tcBorders>
            <w:shd w:val="clear" w:color="auto" w:fill="auto"/>
            <w:noWrap/>
            <w:vAlign w:val="center"/>
          </w:tcP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97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263"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0.00</w:t>
            </w:r>
          </w:p>
        </w:tc>
      </w:tr>
      <w:tr>
        <w:tblPrEx>
          <w:tblCellMar>
            <w:top w:w="0" w:type="dxa"/>
            <w:left w:w="108" w:type="dxa"/>
            <w:bottom w:w="0" w:type="dxa"/>
            <w:right w:w="108" w:type="dxa"/>
          </w:tblCellMar>
        </w:tblPrEx>
        <w:trPr>
          <w:trHeight w:val="284" w:hRule="exact"/>
        </w:trPr>
        <w:tc>
          <w:tcPr>
            <w:tcW w:w="117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8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291"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 xml:space="preserve">13.33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19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111"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 xml:space="preserve">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97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263"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0.00</w:t>
            </w:r>
          </w:p>
        </w:tc>
      </w:tr>
      <w:tr>
        <w:tblPrEx>
          <w:tblCellMar>
            <w:top w:w="0" w:type="dxa"/>
            <w:left w:w="108" w:type="dxa"/>
            <w:bottom w:w="0" w:type="dxa"/>
            <w:right w:w="108" w:type="dxa"/>
          </w:tblCellMar>
        </w:tblPrEx>
        <w:trPr>
          <w:trHeight w:val="284" w:hRule="exact"/>
        </w:trPr>
        <w:tc>
          <w:tcPr>
            <w:tcW w:w="117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8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291"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 xml:space="preserve">4.36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19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111"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 xml:space="preserve">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97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263"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0.00</w:t>
            </w:r>
          </w:p>
        </w:tc>
      </w:tr>
      <w:tr>
        <w:tblPrEx>
          <w:tblCellMar>
            <w:top w:w="0" w:type="dxa"/>
            <w:left w:w="108" w:type="dxa"/>
            <w:bottom w:w="0" w:type="dxa"/>
            <w:right w:w="108" w:type="dxa"/>
          </w:tblCellMar>
        </w:tblPrEx>
        <w:trPr>
          <w:trHeight w:val="284" w:hRule="exact"/>
        </w:trPr>
        <w:tc>
          <w:tcPr>
            <w:tcW w:w="117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8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291"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 xml:space="preserve">17.45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19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111"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 xml:space="preserve">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97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263"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0.00</w:t>
            </w:r>
          </w:p>
        </w:tc>
      </w:tr>
      <w:tr>
        <w:tblPrEx>
          <w:tblCellMar>
            <w:top w:w="0" w:type="dxa"/>
            <w:left w:w="108" w:type="dxa"/>
            <w:bottom w:w="0" w:type="dxa"/>
            <w:right w:w="108" w:type="dxa"/>
          </w:tblCellMar>
        </w:tblPrEx>
        <w:trPr>
          <w:trHeight w:val="284" w:hRule="exact"/>
        </w:trPr>
        <w:tc>
          <w:tcPr>
            <w:tcW w:w="117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8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291"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 xml:space="preserve">19.97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19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111"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 xml:space="preserve">1.00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97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263"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0.00</w:t>
            </w:r>
          </w:p>
        </w:tc>
      </w:tr>
      <w:tr>
        <w:tblPrEx>
          <w:tblCellMar>
            <w:top w:w="0" w:type="dxa"/>
            <w:left w:w="108" w:type="dxa"/>
            <w:bottom w:w="0" w:type="dxa"/>
            <w:right w:w="108" w:type="dxa"/>
          </w:tblCellMar>
        </w:tblPrEx>
        <w:trPr>
          <w:trHeight w:val="284" w:hRule="exact"/>
        </w:trPr>
        <w:tc>
          <w:tcPr>
            <w:tcW w:w="117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8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291"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 xml:space="preserve">0.57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19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111"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 xml:space="preserve">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97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263"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0.00</w:t>
            </w:r>
          </w:p>
        </w:tc>
      </w:tr>
      <w:tr>
        <w:tblPrEx>
          <w:tblCellMar>
            <w:top w:w="0" w:type="dxa"/>
            <w:left w:w="108" w:type="dxa"/>
            <w:bottom w:w="0" w:type="dxa"/>
            <w:right w:w="108" w:type="dxa"/>
          </w:tblCellMar>
        </w:tblPrEx>
        <w:trPr>
          <w:trHeight w:val="284" w:hRule="exact"/>
        </w:trPr>
        <w:tc>
          <w:tcPr>
            <w:tcW w:w="117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8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291"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 xml:space="preserve">4.22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19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111"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 xml:space="preserve">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97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263"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0.00</w:t>
            </w:r>
          </w:p>
        </w:tc>
      </w:tr>
      <w:tr>
        <w:tblPrEx>
          <w:tblCellMar>
            <w:top w:w="0" w:type="dxa"/>
            <w:left w:w="108" w:type="dxa"/>
            <w:bottom w:w="0" w:type="dxa"/>
            <w:right w:w="108" w:type="dxa"/>
          </w:tblCellMar>
        </w:tblPrEx>
        <w:trPr>
          <w:trHeight w:val="284" w:hRule="exact"/>
        </w:trPr>
        <w:tc>
          <w:tcPr>
            <w:tcW w:w="117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8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291"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 xml:space="preserve">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19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111"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 xml:space="preserve">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97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263"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0.00</w:t>
            </w:r>
          </w:p>
        </w:tc>
      </w:tr>
      <w:tr>
        <w:tblPrEx>
          <w:tblCellMar>
            <w:top w:w="0" w:type="dxa"/>
            <w:left w:w="108" w:type="dxa"/>
            <w:bottom w:w="0" w:type="dxa"/>
            <w:right w:w="108" w:type="dxa"/>
          </w:tblCellMar>
        </w:tblPrEx>
        <w:trPr>
          <w:trHeight w:val="284" w:hRule="exact"/>
        </w:trPr>
        <w:tc>
          <w:tcPr>
            <w:tcW w:w="117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8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291"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 xml:space="preserve">0.45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19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111"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 xml:space="preserve">1.02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97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263"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0.00</w:t>
            </w:r>
          </w:p>
        </w:tc>
      </w:tr>
      <w:tr>
        <w:tblPrEx>
          <w:tblCellMar>
            <w:top w:w="0" w:type="dxa"/>
            <w:left w:w="108" w:type="dxa"/>
            <w:bottom w:w="0" w:type="dxa"/>
            <w:right w:w="108" w:type="dxa"/>
          </w:tblCellMar>
        </w:tblPrEx>
        <w:trPr>
          <w:trHeight w:val="284" w:hRule="exact"/>
        </w:trPr>
        <w:tc>
          <w:tcPr>
            <w:tcW w:w="117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8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291"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 xml:space="preserve">3.88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19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111"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 xml:space="preserve">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97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263"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0.00</w:t>
            </w:r>
          </w:p>
        </w:tc>
      </w:tr>
      <w:tr>
        <w:tblPrEx>
          <w:tblCellMar>
            <w:top w:w="0" w:type="dxa"/>
            <w:left w:w="108" w:type="dxa"/>
            <w:bottom w:w="0" w:type="dxa"/>
            <w:right w:w="108" w:type="dxa"/>
          </w:tblCellMar>
        </w:tblPrEx>
        <w:trPr>
          <w:trHeight w:val="284" w:hRule="exact"/>
        </w:trPr>
        <w:tc>
          <w:tcPr>
            <w:tcW w:w="117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8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291"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 xml:space="preserve">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19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111" w:type="dxa"/>
            <w:gridSpan w:val="2"/>
            <w:tcBorders>
              <w:top w:val="nil"/>
              <w:left w:val="nil"/>
              <w:bottom w:val="single" w:color="auto" w:sz="4" w:space="0"/>
              <w:right w:val="single" w:color="auto" w:sz="4" w:space="0"/>
            </w:tcBorders>
            <w:shd w:val="clear" w:color="auto" w:fill="auto"/>
            <w:noWrap/>
            <w:vAlign w:val="center"/>
          </w:tcP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97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263"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0.00</w:t>
            </w:r>
          </w:p>
        </w:tc>
      </w:tr>
      <w:tr>
        <w:tblPrEx>
          <w:tblCellMar>
            <w:top w:w="0" w:type="dxa"/>
            <w:left w:w="108" w:type="dxa"/>
            <w:bottom w:w="0" w:type="dxa"/>
            <w:right w:w="108" w:type="dxa"/>
          </w:tblCellMar>
        </w:tblPrEx>
        <w:trPr>
          <w:trHeight w:val="284" w:hRule="exact"/>
        </w:trPr>
        <w:tc>
          <w:tcPr>
            <w:tcW w:w="117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8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291"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 xml:space="preserve">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19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111"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 xml:space="preserve">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97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263"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0.00</w:t>
            </w:r>
          </w:p>
        </w:tc>
      </w:tr>
      <w:tr>
        <w:tblPrEx>
          <w:tblCellMar>
            <w:top w:w="0" w:type="dxa"/>
            <w:left w:w="108" w:type="dxa"/>
            <w:bottom w:w="0" w:type="dxa"/>
            <w:right w:w="108" w:type="dxa"/>
          </w:tblCellMar>
        </w:tblPrEx>
        <w:trPr>
          <w:trHeight w:val="284" w:hRule="exact"/>
        </w:trPr>
        <w:tc>
          <w:tcPr>
            <w:tcW w:w="117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8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291"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 xml:space="preserve">1.56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19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111"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 xml:space="preserve">0.58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97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263"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0.00</w:t>
            </w:r>
          </w:p>
        </w:tc>
      </w:tr>
      <w:tr>
        <w:tblPrEx>
          <w:tblCellMar>
            <w:top w:w="0" w:type="dxa"/>
            <w:left w:w="108" w:type="dxa"/>
            <w:bottom w:w="0" w:type="dxa"/>
            <w:right w:w="108" w:type="dxa"/>
          </w:tblCellMar>
        </w:tblPrEx>
        <w:trPr>
          <w:trHeight w:val="284" w:hRule="exact"/>
        </w:trPr>
        <w:tc>
          <w:tcPr>
            <w:tcW w:w="117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8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291"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 xml:space="preserve">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19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111"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 xml:space="preserve">0.05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97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263"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0.00</w:t>
            </w:r>
          </w:p>
        </w:tc>
      </w:tr>
      <w:tr>
        <w:tblPrEx>
          <w:tblCellMar>
            <w:top w:w="0" w:type="dxa"/>
            <w:left w:w="108" w:type="dxa"/>
            <w:bottom w:w="0" w:type="dxa"/>
            <w:right w:w="108" w:type="dxa"/>
          </w:tblCellMar>
        </w:tblPrEx>
        <w:trPr>
          <w:trHeight w:val="284" w:hRule="exact"/>
        </w:trPr>
        <w:tc>
          <w:tcPr>
            <w:tcW w:w="117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8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291"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 xml:space="preserve">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19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111"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 xml:space="preserve">3.24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97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263"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0.00</w:t>
            </w:r>
          </w:p>
        </w:tc>
      </w:tr>
      <w:tr>
        <w:tblPrEx>
          <w:tblCellMar>
            <w:top w:w="0" w:type="dxa"/>
            <w:left w:w="108" w:type="dxa"/>
            <w:bottom w:w="0" w:type="dxa"/>
            <w:right w:w="108" w:type="dxa"/>
          </w:tblCellMar>
        </w:tblPrEx>
        <w:trPr>
          <w:trHeight w:val="284" w:hRule="exact"/>
        </w:trPr>
        <w:tc>
          <w:tcPr>
            <w:tcW w:w="117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8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291"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 xml:space="preserve">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19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111"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 xml:space="preserve">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97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263"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0.00</w:t>
            </w:r>
          </w:p>
        </w:tc>
      </w:tr>
      <w:tr>
        <w:tblPrEx>
          <w:tblCellMar>
            <w:top w:w="0" w:type="dxa"/>
            <w:left w:w="108" w:type="dxa"/>
            <w:bottom w:w="0" w:type="dxa"/>
            <w:right w:w="108" w:type="dxa"/>
          </w:tblCellMar>
        </w:tblPrEx>
        <w:trPr>
          <w:trHeight w:val="284" w:hRule="exact"/>
        </w:trPr>
        <w:tc>
          <w:tcPr>
            <w:tcW w:w="117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8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291"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 xml:space="preserve">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19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111"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 xml:space="preserve">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97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263"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0.00</w:t>
            </w:r>
          </w:p>
        </w:tc>
      </w:tr>
      <w:tr>
        <w:tblPrEx>
          <w:tblCellMar>
            <w:top w:w="0" w:type="dxa"/>
            <w:left w:w="108" w:type="dxa"/>
            <w:bottom w:w="0" w:type="dxa"/>
            <w:right w:w="108" w:type="dxa"/>
          </w:tblCellMar>
        </w:tblPrEx>
        <w:trPr>
          <w:trHeight w:val="284" w:hRule="exact"/>
        </w:trPr>
        <w:tc>
          <w:tcPr>
            <w:tcW w:w="117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8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291"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 xml:space="preserve">1.56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19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111"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 xml:space="preserve">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97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263"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0.00</w:t>
            </w:r>
          </w:p>
        </w:tc>
      </w:tr>
      <w:tr>
        <w:tblPrEx>
          <w:tblCellMar>
            <w:top w:w="0" w:type="dxa"/>
            <w:left w:w="108" w:type="dxa"/>
            <w:bottom w:w="0" w:type="dxa"/>
            <w:right w:w="108" w:type="dxa"/>
          </w:tblCellMar>
        </w:tblPrEx>
        <w:trPr>
          <w:trHeight w:val="284" w:hRule="exact"/>
        </w:trPr>
        <w:tc>
          <w:tcPr>
            <w:tcW w:w="117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8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291"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 xml:space="preserve">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19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111"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 xml:space="preserve">4.21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97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263"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0.00</w:t>
            </w:r>
          </w:p>
        </w:tc>
      </w:tr>
      <w:tr>
        <w:tblPrEx>
          <w:tblCellMar>
            <w:top w:w="0" w:type="dxa"/>
            <w:left w:w="108" w:type="dxa"/>
            <w:bottom w:w="0" w:type="dxa"/>
            <w:right w:w="108" w:type="dxa"/>
          </w:tblCellMar>
        </w:tblPrEx>
        <w:trPr>
          <w:trHeight w:val="284" w:hRule="exact"/>
        </w:trPr>
        <w:tc>
          <w:tcPr>
            <w:tcW w:w="117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8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291"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 xml:space="preserve">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19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111" w:type="dxa"/>
            <w:gridSpan w:val="2"/>
            <w:tcBorders>
              <w:top w:val="nil"/>
              <w:left w:val="nil"/>
              <w:bottom w:val="single" w:color="auto" w:sz="4" w:space="0"/>
              <w:right w:val="single" w:color="auto" w:sz="4" w:space="0"/>
            </w:tcBorders>
            <w:shd w:val="clear" w:color="auto" w:fill="auto"/>
            <w:noWrap/>
            <w:vAlign w:val="center"/>
          </w:tcP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97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263"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0.00</w:t>
            </w:r>
          </w:p>
        </w:tc>
      </w:tr>
      <w:tr>
        <w:tblPrEx>
          <w:tblCellMar>
            <w:top w:w="0" w:type="dxa"/>
            <w:left w:w="108" w:type="dxa"/>
            <w:bottom w:w="0" w:type="dxa"/>
            <w:right w:w="108" w:type="dxa"/>
          </w:tblCellMar>
        </w:tblPrEx>
        <w:trPr>
          <w:trHeight w:val="284" w:hRule="exact"/>
        </w:trPr>
        <w:tc>
          <w:tcPr>
            <w:tcW w:w="117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8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291" w:type="dxa"/>
            <w:gridSpan w:val="2"/>
            <w:tcBorders>
              <w:top w:val="nil"/>
              <w:left w:val="nil"/>
              <w:bottom w:val="single" w:color="auto" w:sz="4" w:space="0"/>
              <w:right w:val="single" w:color="auto" w:sz="4" w:space="0"/>
            </w:tcBorders>
            <w:shd w:val="clear" w:color="auto" w:fill="auto"/>
            <w:noWrap/>
            <w:vAlign w:val="center"/>
          </w:tcP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19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111"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 xml:space="preserve">6.78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97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1263"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0.00</w:t>
            </w:r>
          </w:p>
        </w:tc>
      </w:tr>
      <w:tr>
        <w:tblPrEx>
          <w:tblCellMar>
            <w:top w:w="0" w:type="dxa"/>
            <w:left w:w="108" w:type="dxa"/>
            <w:bottom w:w="0" w:type="dxa"/>
            <w:right w:w="108" w:type="dxa"/>
          </w:tblCellMar>
        </w:tblPrEx>
        <w:trPr>
          <w:trHeight w:val="284" w:hRule="exact"/>
        </w:trPr>
        <w:tc>
          <w:tcPr>
            <w:tcW w:w="117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8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291"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 xml:space="preserve">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19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111"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 xml:space="preserve">2.12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972"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pPr>
              <w:widowControl/>
              <w:jc w:val="left"/>
              <w:rPr>
                <w:rFonts w:hint="eastAsia" w:ascii="宋体" w:hAnsi="宋体" w:eastAsia="宋体" w:cs="宋体"/>
                <w:color w:val="000000"/>
                <w:kern w:val="0"/>
                <w:szCs w:val="20"/>
              </w:rPr>
            </w:pPr>
          </w:p>
          <w:tbl>
            <w:tblPr>
              <w:tblStyle w:val="8"/>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hint="eastAsia" w:ascii="宋体" w:hAnsi="宋体" w:eastAsia="宋体" w:cs="宋体"/>
                <w:color w:val="000000"/>
                <w:kern w:val="0"/>
                <w:szCs w:val="20"/>
              </w:rPr>
            </w:pPr>
          </w:p>
          <w:tbl>
            <w:tblPr>
              <w:tblStyle w:val="8"/>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ascii="宋体" w:hAnsi="宋体" w:eastAsia="宋体" w:cs="宋体"/>
                <w:color w:val="000000"/>
                <w:kern w:val="0"/>
                <w:szCs w:val="20"/>
              </w:rPr>
            </w:pPr>
          </w:p>
        </w:tc>
        <w:tc>
          <w:tcPr>
            <w:tcW w:w="1263"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0.00</w:t>
            </w:r>
          </w:p>
        </w:tc>
      </w:tr>
      <w:tr>
        <w:tblPrEx>
          <w:tblCellMar>
            <w:top w:w="0" w:type="dxa"/>
            <w:left w:w="108" w:type="dxa"/>
            <w:bottom w:w="0" w:type="dxa"/>
            <w:right w:w="108" w:type="dxa"/>
          </w:tblCellMar>
        </w:tblPrEx>
        <w:trPr>
          <w:trHeight w:val="284" w:hRule="exact"/>
        </w:trPr>
        <w:tc>
          <w:tcPr>
            <w:tcW w:w="117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8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291" w:type="dxa"/>
            <w:gridSpan w:val="2"/>
            <w:tcBorders>
              <w:top w:val="nil"/>
              <w:left w:val="nil"/>
              <w:bottom w:val="single" w:color="auto" w:sz="4" w:space="0"/>
              <w:right w:val="single" w:color="auto" w:sz="4" w:space="0"/>
            </w:tcBorders>
            <w:shd w:val="clear" w:color="auto" w:fill="auto"/>
            <w:noWrap/>
            <w:vAlign w:val="center"/>
          </w:tcP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19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111"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 xml:space="preserve">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972"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263"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0.00</w:t>
            </w:r>
          </w:p>
        </w:tc>
      </w:tr>
      <w:tr>
        <w:tblPrEx>
          <w:tblCellMar>
            <w:top w:w="0" w:type="dxa"/>
            <w:left w:w="108" w:type="dxa"/>
            <w:bottom w:w="0" w:type="dxa"/>
            <w:right w:w="108" w:type="dxa"/>
          </w:tblCellMar>
        </w:tblPrEx>
        <w:trPr>
          <w:trHeight w:val="284" w:hRule="exact"/>
        </w:trPr>
        <w:tc>
          <w:tcPr>
            <w:tcW w:w="117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8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291"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 xml:space="preserve">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19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111"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 xml:space="preserve">4.60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97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263"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0.00</w:t>
            </w:r>
          </w:p>
        </w:tc>
      </w:tr>
      <w:tr>
        <w:tblPrEx>
          <w:tblCellMar>
            <w:top w:w="0" w:type="dxa"/>
            <w:left w:w="108" w:type="dxa"/>
            <w:bottom w:w="0" w:type="dxa"/>
            <w:right w:w="108" w:type="dxa"/>
          </w:tblCellMar>
        </w:tblPrEx>
        <w:trPr>
          <w:trHeight w:val="284" w:hRule="exact"/>
        </w:trPr>
        <w:tc>
          <w:tcPr>
            <w:tcW w:w="117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8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291"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 xml:space="preserve">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19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111" w:type="dxa"/>
            <w:gridSpan w:val="2"/>
            <w:tcBorders>
              <w:top w:val="nil"/>
              <w:left w:val="nil"/>
              <w:bottom w:val="single" w:color="auto" w:sz="4" w:space="0"/>
              <w:right w:val="single" w:color="auto" w:sz="4" w:space="0"/>
            </w:tcBorders>
            <w:shd w:val="clear" w:color="auto" w:fill="auto"/>
            <w:noWrap/>
            <w:vAlign w:val="center"/>
          </w:tcP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7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63" w:type="dxa"/>
            <w:gridSpan w:val="2"/>
            <w:tcBorders>
              <w:top w:val="nil"/>
              <w:left w:val="nil"/>
              <w:bottom w:val="single" w:color="auto" w:sz="4" w:space="0"/>
              <w:right w:val="single" w:color="auto" w:sz="4" w:space="0"/>
            </w:tcBorders>
            <w:shd w:val="clear" w:color="auto" w:fill="auto"/>
            <w:noWrap/>
            <w:vAlign w:val="center"/>
          </w:tcPr>
          <w:p/>
        </w:tc>
      </w:tr>
      <w:tr>
        <w:tblPrEx>
          <w:tblCellMar>
            <w:top w:w="0" w:type="dxa"/>
            <w:left w:w="108" w:type="dxa"/>
            <w:bottom w:w="0" w:type="dxa"/>
            <w:right w:w="108" w:type="dxa"/>
          </w:tblCellMar>
        </w:tblPrEx>
        <w:trPr>
          <w:trHeight w:val="284" w:hRule="exact"/>
        </w:trPr>
        <w:tc>
          <w:tcPr>
            <w:tcW w:w="117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8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91"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 xml:space="preserve">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19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111"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 xml:space="preserve">26.09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72"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63" w:type="dxa"/>
            <w:gridSpan w:val="2"/>
            <w:tcBorders>
              <w:top w:val="nil"/>
              <w:left w:val="nil"/>
              <w:bottom w:val="single" w:color="auto" w:sz="4" w:space="0"/>
              <w:right w:val="single" w:color="auto" w:sz="4" w:space="0"/>
            </w:tcBorders>
            <w:shd w:val="clear" w:color="auto" w:fill="auto"/>
            <w:noWrap/>
            <w:vAlign w:val="center"/>
          </w:tcPr>
          <w:p/>
        </w:tc>
      </w:tr>
      <w:tr>
        <w:tblPrEx>
          <w:tblCellMar>
            <w:top w:w="0" w:type="dxa"/>
            <w:left w:w="108" w:type="dxa"/>
            <w:bottom w:w="0" w:type="dxa"/>
            <w:right w:w="108" w:type="dxa"/>
          </w:tblCellMar>
        </w:tblPrEx>
        <w:trPr>
          <w:trHeight w:val="284" w:hRule="exact"/>
        </w:trPr>
        <w:tc>
          <w:tcPr>
            <w:tcW w:w="398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291" w:type="dxa"/>
            <w:gridSpan w:val="2"/>
            <w:tcBorders>
              <w:top w:val="nil"/>
              <w:left w:val="nil"/>
              <w:bottom w:val="single" w:color="auto" w:sz="4" w:space="0"/>
              <w:right w:val="single" w:color="auto" w:sz="4" w:space="0"/>
            </w:tcBorders>
            <w:shd w:val="clear" w:color="auto" w:fill="auto"/>
            <w:noWrap/>
            <w:vAlign w:val="center"/>
          </w:tcPr>
          <w:p>
            <w:r>
              <w:rPr>
                <w:rFonts w:hint="eastAsia"/>
                <w:lang w:val="en-US" w:eastAsia="zh-CN"/>
              </w:rPr>
              <w:t xml:space="preserve">143.74 </w:t>
            </w:r>
          </w:p>
        </w:tc>
        <w:tc>
          <w:tcPr>
            <w:tcW w:w="9077"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263" w:type="dxa"/>
            <w:gridSpan w:val="2"/>
            <w:tcBorders>
              <w:top w:val="nil"/>
              <w:left w:val="nil"/>
              <w:bottom w:val="single" w:color="auto" w:sz="4" w:space="0"/>
              <w:right w:val="single" w:color="auto" w:sz="4" w:space="0"/>
            </w:tcBorders>
            <w:shd w:val="clear" w:color="auto" w:fill="auto"/>
            <w:noWrap/>
            <w:vAlign w:val="center"/>
          </w:tcPr>
          <w:p>
            <w:pPr>
              <w:rPr>
                <w:rFonts w:hint="default"/>
                <w:lang w:val="en-US"/>
              </w:rPr>
            </w:pPr>
            <w:r>
              <w:rPr>
                <w:rFonts w:hint="eastAsia"/>
                <w:lang w:val="en-US" w:eastAsia="zh-CN"/>
              </w:rPr>
              <w:t>86.98</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4" w:type="dxa"/>
          <w:trHeight w:val="690" w:hRule="atLeast"/>
        </w:trPr>
        <w:tc>
          <w:tcPr>
            <w:tcW w:w="15120"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4" w:type="dxa"/>
          <w:trHeight w:val="345" w:hRule="atLeast"/>
        </w:trPr>
        <w:tc>
          <w:tcPr>
            <w:tcW w:w="855"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3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181"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831"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463"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860"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90"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1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387"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4" w:type="dxa"/>
          <w:trHeight w:val="690" w:hRule="atLeast"/>
        </w:trPr>
        <w:tc>
          <w:tcPr>
            <w:tcW w:w="2272" w:type="dxa"/>
            <w:gridSpan w:val="4"/>
            <w:tcBorders>
              <w:top w:val="nil"/>
              <w:left w:val="nil"/>
              <w:bottom w:val="nil"/>
              <w:right w:val="nil"/>
            </w:tcBorders>
            <w:shd w:val="clear" w:color="auto" w:fill="FFFFFF"/>
            <w:noWrap/>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部门：烤烟事务中心</w:t>
            </w:r>
          </w:p>
        </w:tc>
        <w:tc>
          <w:tcPr>
            <w:tcW w:w="1831"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463"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860"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90"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1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387"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4" w:type="dxa"/>
          <w:trHeight w:val="459" w:hRule="atLeast"/>
        </w:trPr>
        <w:tc>
          <w:tcPr>
            <w:tcW w:w="22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5"/>
                <w:lang w:val="en-US" w:eastAsia="zh-CN" w:bidi="ar"/>
              </w:rPr>
              <w:t xml:space="preserve">   </w:t>
            </w:r>
            <w:r>
              <w:rPr>
                <w:rStyle w:val="16"/>
                <w:lang w:val="en-US" w:eastAsia="zh-CN" w:bidi="ar"/>
              </w:rPr>
              <w:t>目</w:t>
            </w:r>
          </w:p>
        </w:tc>
        <w:tc>
          <w:tcPr>
            <w:tcW w:w="18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46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1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3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4" w:type="dxa"/>
          <w:trHeight w:val="609" w:hRule="atLeast"/>
        </w:trPr>
        <w:tc>
          <w:tcPr>
            <w:tcW w:w="10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1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8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2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3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4" w:type="dxa"/>
          <w:trHeight w:val="409" w:hRule="atLeast"/>
        </w:trPr>
        <w:tc>
          <w:tcPr>
            <w:tcW w:w="1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4" w:type="dxa"/>
          <w:trHeight w:val="509" w:hRule="atLeast"/>
        </w:trPr>
        <w:tc>
          <w:tcPr>
            <w:tcW w:w="10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4" w:type="dxa"/>
          <w:trHeight w:val="509" w:hRule="atLeast"/>
        </w:trPr>
        <w:tc>
          <w:tcPr>
            <w:tcW w:w="22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4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4" w:type="dxa"/>
          <w:trHeight w:val="509" w:hRule="atLeast"/>
        </w:trPr>
        <w:tc>
          <w:tcPr>
            <w:tcW w:w="22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4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center" w:pos="1183"/>
                <w:tab w:val="right" w:pos="2247"/>
              </w:tabs>
              <w:jc w:val="left"/>
              <w:rPr>
                <w:rFonts w:hint="default" w:ascii="宋体" w:hAnsi="宋体" w:eastAsia="宋体" w:cs="宋体"/>
                <w:i w:val="0"/>
                <w:color w:val="000000"/>
                <w:sz w:val="24"/>
                <w:szCs w:val="24"/>
                <w:u w:val="none"/>
                <w:lang w:val="en-US" w:eastAsia="zh-CN"/>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4" w:type="dxa"/>
          <w:trHeight w:val="509" w:hRule="atLeast"/>
        </w:trPr>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4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4" w:type="dxa"/>
          <w:trHeight w:val="509" w:hRule="atLeast"/>
        </w:trPr>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4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4" w:type="dxa"/>
          <w:trHeight w:val="509" w:hRule="atLeast"/>
        </w:trPr>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4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4" w:type="dxa"/>
          <w:trHeight w:val="509" w:hRule="atLeast"/>
        </w:trPr>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4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4" w:type="dxa"/>
          <w:trHeight w:val="509" w:hRule="atLeast"/>
        </w:trPr>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4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4" w:type="dxa"/>
          <w:trHeight w:val="509" w:hRule="atLeast"/>
        </w:trPr>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4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94" w:type="dxa"/>
          <w:trHeight w:val="725" w:hRule="atLeast"/>
        </w:trPr>
        <w:tc>
          <w:tcPr>
            <w:tcW w:w="1512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8"/>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2027" w:type="dxa"/>
            <w:gridSpan w:val="2"/>
            <w:tcBorders>
              <w:top w:val="nil"/>
              <w:left w:val="nil"/>
              <w:bottom w:val="nil"/>
              <w:right w:val="nil"/>
            </w:tcBorders>
            <w:shd w:val="clear" w:color="auto" w:fill="FFFFFF"/>
            <w:noWrap/>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部门：烤烟事务中心</w:t>
            </w: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7"/>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0.00</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both"/>
        <w:rPr>
          <w:rFonts w:hint="eastAsia" w:ascii="Times New Roman" w:hAnsi="Times New Roman" w:eastAsia="方正小标宋_GBK" w:cs="Times New Roman"/>
          <w:color w:val="000000"/>
          <w:kern w:val="0"/>
          <w:sz w:val="36"/>
          <w:szCs w:val="36"/>
        </w:rPr>
      </w:pPr>
    </w:p>
    <w:tbl>
      <w:tblPr>
        <w:tblStyle w:val="8"/>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521" w:type="dxa"/>
            <w:gridSpan w:val="2"/>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部门：烤烟事务中心</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3.24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3.24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3.24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第三部分</w:t>
      </w: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年度部门决算情况说明</w:t>
      </w: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br w:type="page"/>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一、收入支出决算总体情况说明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年度收</w:t>
      </w:r>
      <w:r>
        <w:rPr>
          <w:rFonts w:hint="eastAsia" w:ascii="Times New Roman" w:hAnsi="Times New Roman" w:eastAsia="仿宋_GB2312"/>
          <w:sz w:val="32"/>
          <w:szCs w:val="32"/>
          <w:highlight w:val="none"/>
          <w:lang w:eastAsia="zh-CN"/>
        </w:rPr>
        <w:t>入</w:t>
      </w:r>
      <w:r>
        <w:rPr>
          <w:rFonts w:hint="eastAsia" w:ascii="Times New Roman" w:hAnsi="Times New Roman" w:eastAsia="仿宋_GB2312"/>
          <w:sz w:val="32"/>
          <w:szCs w:val="32"/>
          <w:highlight w:val="none"/>
        </w:rPr>
        <w:t>总计1,869.03 万元。与上年相比，增加</w:t>
      </w:r>
      <w:r>
        <w:rPr>
          <w:rFonts w:hint="eastAsia" w:ascii="Times New Roman" w:hAnsi="Times New Roman" w:eastAsia="仿宋_GB2312"/>
          <w:sz w:val="32"/>
          <w:szCs w:val="32"/>
          <w:highlight w:val="none"/>
          <w:lang w:val="en-US" w:eastAsia="zh-CN"/>
        </w:rPr>
        <w:t>578.66</w:t>
      </w:r>
      <w:r>
        <w:rPr>
          <w:rFonts w:hint="eastAsia" w:ascii="Times New Roman" w:hAnsi="Times New Roman" w:eastAsia="仿宋_GB2312"/>
          <w:sz w:val="32"/>
          <w:szCs w:val="32"/>
          <w:highlight w:val="none"/>
        </w:rPr>
        <w:t>万元，增长</w:t>
      </w:r>
      <w:r>
        <w:rPr>
          <w:rFonts w:hint="eastAsia" w:ascii="Times New Roman" w:hAnsi="Times New Roman" w:eastAsia="仿宋_GB2312"/>
          <w:sz w:val="32"/>
          <w:szCs w:val="32"/>
          <w:highlight w:val="none"/>
          <w:lang w:val="en-US" w:eastAsia="zh-CN"/>
        </w:rPr>
        <w:t>44.84</w:t>
      </w:r>
      <w:r>
        <w:rPr>
          <w:rFonts w:hint="eastAsia" w:ascii="Times New Roman" w:hAnsi="Times New Roman" w:eastAsia="仿宋_GB2312"/>
          <w:sz w:val="32"/>
          <w:szCs w:val="32"/>
          <w:highlight w:val="none"/>
        </w:rPr>
        <w:t>%，主要是因为</w:t>
      </w:r>
      <w:r>
        <w:rPr>
          <w:rFonts w:hint="eastAsia" w:ascii="Times New Roman" w:hAnsi="Times New Roman" w:eastAsia="仿宋_GB2312"/>
          <w:sz w:val="32"/>
          <w:szCs w:val="32"/>
          <w:highlight w:val="none"/>
          <w:lang w:eastAsia="zh-CN"/>
        </w:rPr>
        <w:t>对烟农的补贴列入了本部门预算。</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年度</w:t>
      </w:r>
      <w:r>
        <w:rPr>
          <w:rFonts w:hint="eastAsia" w:ascii="Times New Roman" w:hAnsi="Times New Roman" w:eastAsia="仿宋_GB2312"/>
          <w:sz w:val="32"/>
          <w:szCs w:val="32"/>
          <w:highlight w:val="none"/>
          <w:lang w:eastAsia="zh-CN"/>
        </w:rPr>
        <w:t>支出</w:t>
      </w:r>
      <w:r>
        <w:rPr>
          <w:rFonts w:hint="eastAsia" w:ascii="Times New Roman" w:hAnsi="Times New Roman" w:eastAsia="仿宋_GB2312"/>
          <w:sz w:val="32"/>
          <w:szCs w:val="32"/>
          <w:highlight w:val="none"/>
        </w:rPr>
        <w:t>总计1,869.03 万元。与上年相比，增加</w:t>
      </w:r>
      <w:r>
        <w:rPr>
          <w:rFonts w:hint="eastAsia" w:ascii="Times New Roman" w:hAnsi="Times New Roman" w:eastAsia="仿宋_GB2312"/>
          <w:sz w:val="32"/>
          <w:szCs w:val="32"/>
          <w:highlight w:val="none"/>
          <w:lang w:val="en-US" w:eastAsia="zh-CN"/>
        </w:rPr>
        <w:t>578.66</w:t>
      </w:r>
      <w:r>
        <w:rPr>
          <w:rFonts w:hint="eastAsia" w:ascii="Times New Roman" w:hAnsi="Times New Roman" w:eastAsia="仿宋_GB2312"/>
          <w:sz w:val="32"/>
          <w:szCs w:val="32"/>
          <w:highlight w:val="none"/>
        </w:rPr>
        <w:t>万元，增长</w:t>
      </w:r>
      <w:r>
        <w:rPr>
          <w:rFonts w:hint="eastAsia" w:ascii="Times New Roman" w:hAnsi="Times New Roman" w:eastAsia="仿宋_GB2312"/>
          <w:sz w:val="32"/>
          <w:szCs w:val="32"/>
          <w:highlight w:val="none"/>
          <w:lang w:val="en-US" w:eastAsia="zh-CN"/>
        </w:rPr>
        <w:t>44.84</w:t>
      </w:r>
      <w:r>
        <w:rPr>
          <w:rFonts w:hint="eastAsia" w:ascii="Times New Roman" w:hAnsi="Times New Roman" w:eastAsia="仿宋_GB2312"/>
          <w:sz w:val="32"/>
          <w:szCs w:val="32"/>
          <w:highlight w:val="none"/>
        </w:rPr>
        <w:t>%，主要是因为主要是因为</w:t>
      </w:r>
      <w:r>
        <w:rPr>
          <w:rFonts w:hint="eastAsia" w:ascii="Times New Roman" w:hAnsi="Times New Roman" w:eastAsia="仿宋_GB2312"/>
          <w:sz w:val="32"/>
          <w:szCs w:val="32"/>
          <w:highlight w:val="none"/>
          <w:lang w:eastAsia="zh-CN"/>
        </w:rPr>
        <w:t>对烟农的补贴列入了本部门预算。</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二、收入决算情况说明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年度收入合计1,869.03 万元，其中：财政拨款收入1,869.03 万元，占</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 xml:space="preserve">              </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三、支出决算情况说明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年度支出合计1,869.03 万元，其中：基本支出230.72 万元，占</w:t>
      </w:r>
      <w:r>
        <w:rPr>
          <w:rFonts w:hint="eastAsia" w:ascii="Times New Roman" w:hAnsi="Times New Roman" w:eastAsia="仿宋_GB2312"/>
          <w:sz w:val="32"/>
          <w:szCs w:val="32"/>
          <w:highlight w:val="none"/>
          <w:lang w:val="en-US" w:eastAsia="zh-CN"/>
        </w:rPr>
        <w:t>12.34</w:t>
      </w:r>
      <w:r>
        <w:rPr>
          <w:rFonts w:hint="eastAsia" w:ascii="Times New Roman" w:hAnsi="Times New Roman" w:eastAsia="仿宋_GB2312"/>
          <w:sz w:val="32"/>
          <w:szCs w:val="32"/>
          <w:highlight w:val="none"/>
        </w:rPr>
        <w:t>%；项目支出1,638.31 万元，占</w:t>
      </w:r>
      <w:r>
        <w:rPr>
          <w:rFonts w:hint="eastAsia" w:ascii="Times New Roman" w:hAnsi="Times New Roman" w:eastAsia="仿宋_GB2312"/>
          <w:sz w:val="32"/>
          <w:szCs w:val="32"/>
          <w:highlight w:val="none"/>
          <w:lang w:val="en-US" w:eastAsia="zh-CN"/>
        </w:rPr>
        <w:t>87.66</w:t>
      </w:r>
      <w:r>
        <w:rPr>
          <w:rFonts w:hint="eastAsia" w:ascii="Times New Roman" w:hAnsi="Times New Roman" w:eastAsia="仿宋_GB2312"/>
          <w:sz w:val="32"/>
          <w:szCs w:val="32"/>
          <w:highlight w:val="none"/>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四、财政拨款收入支出决算总体情况说明</w:t>
      </w:r>
    </w:p>
    <w:p>
      <w:pPr>
        <w:pStyle w:val="12"/>
        <w:keepNext w:val="0"/>
        <w:keepLines w:val="0"/>
        <w:pageBreakBefore w:val="0"/>
        <w:widowControl w:val="0"/>
        <w:kinsoku/>
        <w:wordWrap/>
        <w:overflowPunct/>
        <w:topLinePunct w:val="0"/>
        <w:bidi w:val="0"/>
        <w:snapToGrid/>
        <w:spacing w:line="600" w:lineRule="exact"/>
        <w:ind w:firstLine="64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年度财政拨款收</w:t>
      </w:r>
      <w:r>
        <w:rPr>
          <w:rFonts w:hint="eastAsia" w:ascii="Times New Roman" w:hAnsi="Times New Roman" w:eastAsia="仿宋_GB2312"/>
          <w:sz w:val="32"/>
          <w:szCs w:val="32"/>
          <w:highlight w:val="none"/>
          <w:lang w:eastAsia="zh-CN"/>
        </w:rPr>
        <w:t>入</w:t>
      </w:r>
      <w:r>
        <w:rPr>
          <w:rFonts w:hint="eastAsia" w:ascii="Times New Roman" w:hAnsi="Times New Roman" w:eastAsia="仿宋_GB2312"/>
          <w:sz w:val="32"/>
          <w:szCs w:val="32"/>
          <w:highlight w:val="none"/>
        </w:rPr>
        <w:t>总计1,869.03万元，与上年相比，增加578.66万元，增长44.84%，主要是因为主要是因为</w:t>
      </w:r>
      <w:r>
        <w:rPr>
          <w:rFonts w:hint="eastAsia" w:ascii="Times New Roman" w:hAnsi="Times New Roman" w:eastAsia="仿宋_GB2312"/>
          <w:sz w:val="32"/>
          <w:szCs w:val="32"/>
          <w:highlight w:val="none"/>
          <w:lang w:eastAsia="zh-CN"/>
        </w:rPr>
        <w:t>对烟农的补贴列入了本部门预算。</w:t>
      </w:r>
    </w:p>
    <w:p>
      <w:pPr>
        <w:pStyle w:val="12"/>
        <w:keepNext w:val="0"/>
        <w:keepLines w:val="0"/>
        <w:pageBreakBefore w:val="0"/>
        <w:widowControl w:val="0"/>
        <w:kinsoku/>
        <w:wordWrap/>
        <w:overflowPunct/>
        <w:topLinePunct w:val="0"/>
        <w:bidi w:val="0"/>
        <w:snapToGrid/>
        <w:spacing w:line="600" w:lineRule="exact"/>
        <w:ind w:firstLine="64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 xml:space="preserve"> 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年度财政拨款</w:t>
      </w:r>
      <w:r>
        <w:rPr>
          <w:rFonts w:hint="eastAsia" w:ascii="Times New Roman" w:hAnsi="Times New Roman" w:eastAsia="仿宋_GB2312"/>
          <w:sz w:val="32"/>
          <w:szCs w:val="32"/>
          <w:highlight w:val="none"/>
          <w:lang w:eastAsia="zh-CN"/>
        </w:rPr>
        <w:t>支出</w:t>
      </w:r>
      <w:r>
        <w:rPr>
          <w:rFonts w:hint="eastAsia" w:ascii="Times New Roman" w:hAnsi="Times New Roman" w:eastAsia="仿宋_GB2312"/>
          <w:sz w:val="32"/>
          <w:szCs w:val="32"/>
          <w:highlight w:val="none"/>
        </w:rPr>
        <w:t>总计1,869.03万元，与上年相比，增加578.66万元，增长44.84%，主要是因为主要是因为</w:t>
      </w:r>
      <w:r>
        <w:rPr>
          <w:rFonts w:hint="eastAsia" w:ascii="Times New Roman" w:hAnsi="Times New Roman" w:eastAsia="仿宋_GB2312"/>
          <w:sz w:val="32"/>
          <w:szCs w:val="32"/>
          <w:highlight w:val="none"/>
          <w:lang w:eastAsia="zh-CN"/>
        </w:rPr>
        <w:t>对烟农的补贴列入了本部门预算。</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五、一般公共预算财政拨款支出决算情况说明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highlight w:val="none"/>
        </w:rPr>
        <w:t>1,869.03</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w:t>
      </w:r>
      <w:r>
        <w:rPr>
          <w:rFonts w:hint="eastAsia" w:ascii="Times New Roman" w:hAnsi="Times New Roman" w:eastAsia="仿宋_GB2312"/>
          <w:sz w:val="32"/>
          <w:szCs w:val="32"/>
          <w:highlight w:val="none"/>
        </w:rPr>
        <w:t>增加578.66</w:t>
      </w:r>
      <w:r>
        <w:rPr>
          <w:rFonts w:hint="eastAsia" w:ascii="Times New Roman" w:hAnsi="Times New Roman" w:eastAsia="仿宋_GB2312"/>
          <w:sz w:val="32"/>
          <w:szCs w:val="32"/>
        </w:rPr>
        <w:t>万元，</w:t>
      </w:r>
      <w:r>
        <w:rPr>
          <w:rFonts w:hint="eastAsia" w:ascii="Times New Roman" w:hAnsi="Times New Roman" w:eastAsia="仿宋_GB2312"/>
          <w:sz w:val="32"/>
          <w:szCs w:val="32"/>
          <w:highlight w:val="none"/>
        </w:rPr>
        <w:t>增长44.84%</w:t>
      </w:r>
      <w:r>
        <w:rPr>
          <w:rFonts w:hint="eastAsia" w:ascii="Times New Roman" w:hAnsi="Times New Roman" w:eastAsia="仿宋_GB2312"/>
          <w:sz w:val="32"/>
          <w:szCs w:val="32"/>
        </w:rPr>
        <w:t>，主要是因为对烟农的补贴列入了本部门预算。</w:t>
      </w:r>
    </w:p>
    <w:p>
      <w:pPr>
        <w:pStyle w:val="12"/>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highlight w:val="none"/>
        </w:rPr>
        <w:t>1,8</w:t>
      </w:r>
      <w:bookmarkStart w:id="4" w:name="_GoBack"/>
      <w:bookmarkEnd w:id="4"/>
      <w:r>
        <w:rPr>
          <w:rFonts w:hint="eastAsia" w:ascii="Times New Roman" w:hAnsi="Times New Roman" w:eastAsia="仿宋_GB2312"/>
          <w:sz w:val="32"/>
          <w:szCs w:val="32"/>
          <w:highlight w:val="none"/>
        </w:rPr>
        <w:t>69.03</w:t>
      </w:r>
      <w:r>
        <w:rPr>
          <w:rFonts w:hint="eastAsia" w:ascii="Times New Roman" w:hAnsi="Times New Roman" w:eastAsia="仿宋_GB2312"/>
          <w:sz w:val="32"/>
          <w:szCs w:val="32"/>
        </w:rPr>
        <w:t>万元，主要用于以下方面：一般公共服务（类）支出201.61 万元，占</w:t>
      </w:r>
      <w:r>
        <w:rPr>
          <w:rFonts w:hint="eastAsia" w:ascii="Times New Roman" w:hAnsi="Times New Roman" w:eastAsia="仿宋_GB2312"/>
          <w:sz w:val="32"/>
          <w:szCs w:val="32"/>
          <w:lang w:val="en-US" w:eastAsia="zh-CN"/>
        </w:rPr>
        <w:t>10.79</w:t>
      </w:r>
      <w:r>
        <w:rPr>
          <w:rFonts w:hint="eastAsia" w:ascii="Times New Roman" w:hAnsi="Times New Roman" w:eastAsia="仿宋_GB2312"/>
          <w:sz w:val="32"/>
          <w:szCs w:val="32"/>
        </w:rPr>
        <w:t>%；社会保障和就业支出20.55 万元，占</w:t>
      </w:r>
      <w:r>
        <w:rPr>
          <w:rFonts w:hint="eastAsia" w:ascii="Times New Roman" w:hAnsi="Times New Roman" w:eastAsia="仿宋_GB2312"/>
          <w:sz w:val="32"/>
          <w:szCs w:val="32"/>
          <w:lang w:val="en-US" w:eastAsia="zh-CN"/>
        </w:rPr>
        <w:t>1.10</w:t>
      </w:r>
      <w:r>
        <w:rPr>
          <w:rFonts w:hint="eastAsia" w:ascii="Times New Roman" w:hAnsi="Times New Roman" w:eastAsia="仿宋_GB2312"/>
          <w:sz w:val="32"/>
          <w:szCs w:val="32"/>
        </w:rPr>
        <w:t xml:space="preserve">%;卫生健康支出4.68 </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0.25</w:t>
      </w:r>
      <w:r>
        <w:rPr>
          <w:rFonts w:hint="eastAsia" w:ascii="Times New Roman" w:hAnsi="Times New Roman" w:eastAsia="仿宋_GB2312"/>
          <w:sz w:val="32"/>
          <w:szCs w:val="32"/>
          <w:lang w:eastAsia="zh-CN"/>
        </w:rPr>
        <w:t>%；农林水支出1,638.31 万元，占</w:t>
      </w:r>
      <w:r>
        <w:rPr>
          <w:rFonts w:hint="eastAsia" w:ascii="Times New Roman" w:hAnsi="Times New Roman" w:eastAsia="仿宋_GB2312"/>
          <w:sz w:val="32"/>
          <w:szCs w:val="32"/>
          <w:lang w:val="en-US" w:eastAsia="zh-CN"/>
        </w:rPr>
        <w:t>87.66</w:t>
      </w:r>
      <w:r>
        <w:rPr>
          <w:rFonts w:hint="eastAsia" w:ascii="Times New Roman" w:hAnsi="Times New Roman" w:eastAsia="仿宋_GB2312"/>
          <w:sz w:val="32"/>
          <w:szCs w:val="32"/>
          <w:lang w:eastAsia="zh-CN"/>
        </w:rPr>
        <w:t>%住房保障支出3.88 万元</w:t>
      </w:r>
      <w:r>
        <w:rPr>
          <w:rFonts w:hint="eastAsia" w:ascii="Times New Roman" w:hAnsi="Times New Roman" w:eastAsia="仿宋_GB2312"/>
          <w:sz w:val="32"/>
          <w:szCs w:val="32"/>
          <w:highlight w:val="none"/>
          <w:lang w:eastAsia="zh-CN"/>
        </w:rPr>
        <w:t>，占</w:t>
      </w:r>
      <w:r>
        <w:rPr>
          <w:rFonts w:hint="eastAsia" w:ascii="Times New Roman" w:hAnsi="Times New Roman" w:eastAsia="仿宋_GB2312"/>
          <w:sz w:val="32"/>
          <w:szCs w:val="32"/>
          <w:highlight w:val="none"/>
          <w:lang w:val="en-US" w:eastAsia="zh-CN"/>
        </w:rPr>
        <w:t>0.21</w:t>
      </w:r>
      <w:r>
        <w:rPr>
          <w:rFonts w:hint="eastAsia" w:ascii="Times New Roman" w:hAnsi="Times New Roman" w:eastAsia="仿宋_GB2312"/>
          <w:sz w:val="32"/>
          <w:szCs w:val="32"/>
          <w:highlight w:val="none"/>
          <w:lang w:eastAsia="zh-CN"/>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highlight w:val="none"/>
        </w:rPr>
      </w:pPr>
      <w:r>
        <w:rPr>
          <w:rFonts w:hint="eastAsia" w:ascii="楷体" w:hAnsi="楷体" w:eastAsia="楷体" w:cs="楷体"/>
          <w:b w:val="0"/>
          <w:bCs/>
          <w:sz w:val="32"/>
          <w:szCs w:val="32"/>
          <w:highlight w:val="none"/>
        </w:rPr>
        <w:t>（三）一般公共预算财政拨款支出决算具体情况</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年度财政拨款支出年初预算数为1495.24万元，支出决算数为1,869.03万元，完成年初预算的</w:t>
      </w:r>
      <w:r>
        <w:rPr>
          <w:rFonts w:hint="eastAsia" w:ascii="Times New Roman" w:hAnsi="Times New Roman" w:eastAsia="仿宋_GB2312"/>
          <w:sz w:val="32"/>
          <w:szCs w:val="32"/>
          <w:highlight w:val="none"/>
          <w:lang w:val="en-US" w:eastAsia="zh-CN"/>
        </w:rPr>
        <w:t>125</w:t>
      </w:r>
      <w:r>
        <w:rPr>
          <w:rFonts w:hint="eastAsia" w:ascii="Times New Roman" w:hAnsi="Times New Roman" w:eastAsia="仿宋_GB2312"/>
          <w:sz w:val="32"/>
          <w:szCs w:val="32"/>
          <w:highlight w:val="none"/>
        </w:rPr>
        <w:t>%，其中：</w:t>
      </w: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1、一般公共服务（类）</w:t>
      </w:r>
      <w:r>
        <w:rPr>
          <w:rFonts w:hint="eastAsia" w:ascii="Times New Roman" w:hAnsi="Times New Roman" w:eastAsia="仿宋_GB2312"/>
          <w:color w:val="auto"/>
          <w:sz w:val="32"/>
          <w:szCs w:val="32"/>
          <w:highlight w:val="none"/>
          <w:lang w:eastAsia="zh-CN"/>
        </w:rPr>
        <w:t>财政事务</w:t>
      </w:r>
      <w:r>
        <w:rPr>
          <w:rFonts w:hint="eastAsia" w:ascii="Times New Roman" w:hAnsi="Times New Roman" w:eastAsia="仿宋_GB2312"/>
          <w:color w:val="auto"/>
          <w:sz w:val="32"/>
          <w:szCs w:val="32"/>
          <w:highlight w:val="none"/>
        </w:rPr>
        <w:t>（款）</w:t>
      </w:r>
      <w:r>
        <w:rPr>
          <w:rFonts w:hint="eastAsia" w:ascii="Times New Roman" w:hAnsi="Times New Roman" w:eastAsia="仿宋_GB2312"/>
          <w:color w:val="auto"/>
          <w:sz w:val="32"/>
          <w:szCs w:val="32"/>
          <w:highlight w:val="none"/>
          <w:lang w:eastAsia="zh-CN"/>
        </w:rPr>
        <w:t>事业运行</w:t>
      </w:r>
      <w:r>
        <w:rPr>
          <w:rFonts w:hint="eastAsia" w:ascii="Times New Roman" w:hAnsi="Times New Roman" w:eastAsia="仿宋_GB2312"/>
          <w:color w:val="auto"/>
          <w:sz w:val="32"/>
          <w:szCs w:val="32"/>
          <w:highlight w:val="none"/>
        </w:rPr>
        <w:t>（项）。</w:t>
      </w: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1467.29</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201.61</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13.74</w:t>
      </w:r>
      <w:r>
        <w:rPr>
          <w:rFonts w:hint="eastAsia" w:ascii="Times New Roman" w:hAnsi="Times New Roman" w:eastAsia="仿宋_GB2312"/>
          <w:sz w:val="32"/>
          <w:szCs w:val="32"/>
          <w:highlight w:val="none"/>
        </w:rPr>
        <w:t>%，决算数小于年初预算数的主要原因是：</w:t>
      </w:r>
      <w:r>
        <w:rPr>
          <w:rFonts w:hint="eastAsia" w:ascii="Times New Roman" w:hAnsi="Times New Roman" w:eastAsia="仿宋_GB2312"/>
          <w:sz w:val="32"/>
          <w:szCs w:val="32"/>
          <w:highlight w:val="none"/>
          <w:lang w:eastAsia="zh-CN"/>
        </w:rPr>
        <w:t>预算科目调整。</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2、社会保障和就业支出（类）</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行政事业单位养老支出</w:t>
      </w:r>
      <w:r>
        <w:rPr>
          <w:rFonts w:hint="eastAsia" w:ascii="Times New Roman" w:hAnsi="Times New Roman" w:eastAsia="仿宋_GB2312"/>
          <w:color w:val="000000" w:themeColor="text1"/>
          <w:sz w:val="32"/>
          <w:szCs w:val="32"/>
          <w:highlight w:val="none"/>
          <w14:textFill>
            <w14:solidFill>
              <w14:schemeClr w14:val="tx1"/>
            </w14:solidFill>
          </w14:textFill>
        </w:rPr>
        <w:t>（款）</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事业单位基本养老保险缴费支出</w:t>
      </w:r>
      <w:r>
        <w:rPr>
          <w:rFonts w:hint="eastAsia" w:ascii="Times New Roman" w:hAnsi="Times New Roman" w:eastAsia="仿宋_GB2312"/>
          <w:color w:val="000000" w:themeColor="text1"/>
          <w:sz w:val="32"/>
          <w:szCs w:val="32"/>
          <w:highlight w:val="none"/>
          <w14:textFill>
            <w14:solidFill>
              <w14:schemeClr w14:val="tx1"/>
            </w14:solidFill>
          </w14:textFill>
        </w:rPr>
        <w:t>（项）。</w:t>
      </w: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12.18</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20.55</w:t>
      </w:r>
      <w:r>
        <w:rPr>
          <w:rFonts w:hint="eastAsia" w:ascii="Times New Roman" w:hAnsi="Times New Roman" w:eastAsia="仿宋_GB2312"/>
          <w:sz w:val="32"/>
          <w:szCs w:val="32"/>
          <w:highlight w:val="none"/>
        </w:rPr>
        <w:t>万元，完成年初预算的</w:t>
      </w:r>
      <w:r>
        <w:rPr>
          <w:rFonts w:hint="eastAsia" w:ascii="Times New Roman" w:hAnsi="Times New Roman" w:eastAsia="仿宋_GB2312"/>
          <w:sz w:val="32"/>
          <w:szCs w:val="32"/>
          <w:highlight w:val="none"/>
          <w:lang w:val="en-US" w:eastAsia="zh-CN"/>
        </w:rPr>
        <w:t>168.72</w:t>
      </w:r>
      <w:r>
        <w:rPr>
          <w:rFonts w:hint="eastAsia" w:ascii="Times New Roman" w:hAnsi="Times New Roman" w:eastAsia="仿宋_GB2312"/>
          <w:sz w:val="32"/>
          <w:szCs w:val="32"/>
          <w:highlight w:val="none"/>
        </w:rPr>
        <w:t>%，决算数大于年初预算数的主要原因是：</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预算科目调整。</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3、卫生健康支出（类）行政事业单位医疗（款）事业单位医疗（项）。</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sz w:val="32"/>
          <w:szCs w:val="32"/>
          <w:highlight w:val="none"/>
          <w:lang w:val="en-US" w:eastAsia="zh-CN"/>
        </w:rPr>
        <w:t>年初预算为</w:t>
      </w:r>
      <w:r>
        <w:rPr>
          <w:rFonts w:hint="eastAsia" w:ascii="Times New Roman" w:hAnsi="Times New Roman" w:eastAsia="仿宋_GB2312"/>
          <w:sz w:val="32"/>
          <w:szCs w:val="32"/>
          <w:highlight w:val="none"/>
          <w:lang w:val="en-US" w:eastAsia="zh-CN"/>
        </w:rPr>
        <w:t>6.62</w:t>
      </w:r>
      <w:r>
        <w:rPr>
          <w:rFonts w:hint="default" w:ascii="Times New Roman" w:hAnsi="Times New Roman" w:eastAsia="仿宋_GB2312"/>
          <w:sz w:val="32"/>
          <w:szCs w:val="32"/>
          <w:highlight w:val="none"/>
          <w:lang w:val="en-US" w:eastAsia="zh-CN"/>
        </w:rPr>
        <w:t>万元，支出决算为</w:t>
      </w:r>
      <w:r>
        <w:rPr>
          <w:rFonts w:hint="eastAsia" w:ascii="Times New Roman" w:hAnsi="Times New Roman" w:eastAsia="仿宋_GB2312"/>
          <w:sz w:val="32"/>
          <w:szCs w:val="32"/>
          <w:highlight w:val="none"/>
          <w:lang w:val="en-US" w:eastAsia="zh-CN"/>
        </w:rPr>
        <w:t>4.68</w:t>
      </w:r>
      <w:r>
        <w:rPr>
          <w:rFonts w:hint="default" w:ascii="Times New Roman" w:hAnsi="Times New Roman" w:eastAsia="仿宋_GB2312"/>
          <w:sz w:val="32"/>
          <w:szCs w:val="32"/>
          <w:highlight w:val="none"/>
          <w:lang w:val="en-US" w:eastAsia="zh-CN"/>
        </w:rPr>
        <w:t>万元，完成年初预算的</w:t>
      </w:r>
      <w:r>
        <w:rPr>
          <w:rFonts w:hint="eastAsia" w:ascii="Times New Roman" w:hAnsi="Times New Roman" w:eastAsia="仿宋_GB2312"/>
          <w:sz w:val="32"/>
          <w:szCs w:val="32"/>
          <w:highlight w:val="none"/>
          <w:lang w:val="en-US" w:eastAsia="zh-CN"/>
        </w:rPr>
        <w:t>70.69</w:t>
      </w:r>
      <w:r>
        <w:rPr>
          <w:rFonts w:hint="default" w:ascii="Times New Roman" w:hAnsi="Times New Roman" w:eastAsia="仿宋_GB2312"/>
          <w:sz w:val="32"/>
          <w:szCs w:val="32"/>
          <w:highlight w:val="none"/>
          <w:lang w:val="en-US" w:eastAsia="zh-CN"/>
        </w:rPr>
        <w:t>%，决算数小于年初预算数的主要原因是：</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预算科目调整。</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color w:val="auto"/>
          <w:sz w:val="32"/>
          <w:szCs w:val="32"/>
          <w:highlight w:val="none"/>
          <w:lang w:val="en-US" w:eastAsia="zh-CN"/>
        </w:rPr>
        <w:t>4、农林水支出（类）农林水支出（款）其他农林水（项）。</w:t>
      </w: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sz w:val="32"/>
          <w:szCs w:val="32"/>
          <w:highlight w:val="none"/>
          <w:lang w:val="en-US" w:eastAsia="zh-CN"/>
        </w:rPr>
        <w:t>年初预算为0万元，支出决算为1,638.31万元，</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无法计算完成比率</w:t>
      </w:r>
      <w:r>
        <w:rPr>
          <w:rFonts w:hint="eastAsia" w:ascii="Times New Roman" w:hAnsi="Times New Roman" w:eastAsia="仿宋_GB2312"/>
          <w:color w:val="000000" w:themeColor="text1"/>
          <w:sz w:val="32"/>
          <w:szCs w:val="32"/>
          <w:highlight w:val="none"/>
          <w14:textFill>
            <w14:solidFill>
              <w14:schemeClr w14:val="tx1"/>
            </w14:solidFill>
          </w14:textFill>
        </w:rPr>
        <w:t>，决算数大于年初预算数的主要原因是：</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预算科目调整。</w:t>
      </w: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5、住房保障支出（类）住房改革支出（款）住房公积金（项）。</w:t>
      </w:r>
    </w:p>
    <w:p>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年初预算为9.14万元，支出决算为3.88万元，完成年初预算的42.45%，决算数小于年初预算数的主要原因是：</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预算科目调</w:t>
      </w:r>
      <w:r>
        <w:rPr>
          <w:rFonts w:hint="eastAsia" w:ascii="Times New Roman" w:hAnsi="Times New Roman" w:eastAsia="仿宋_GB2312"/>
          <w:color w:val="000000" w:themeColor="text1"/>
          <w:sz w:val="32"/>
          <w:szCs w:val="32"/>
          <w:lang w:val="en-US" w:eastAsia="zh-CN"/>
          <w14:textFill>
            <w14:solidFill>
              <w14:schemeClr w14:val="tx1"/>
            </w14:solidFill>
          </w14:textFill>
        </w:rPr>
        <w:t>整。</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年度财政拨款基本支出230.72 万元，其中：</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b/>
          <w:bCs/>
          <w:sz w:val="32"/>
          <w:szCs w:val="32"/>
          <w:highlight w:val="none"/>
        </w:rPr>
        <w:t>人员经费</w:t>
      </w:r>
      <w:r>
        <w:rPr>
          <w:rFonts w:hint="eastAsia" w:ascii="Times New Roman" w:hAnsi="Times New Roman" w:eastAsia="仿宋_GB2312"/>
          <w:sz w:val="32"/>
          <w:szCs w:val="32"/>
          <w:highlight w:val="none"/>
        </w:rPr>
        <w:t>143.74 万元，占基本支出的</w:t>
      </w:r>
      <w:r>
        <w:rPr>
          <w:rFonts w:hint="eastAsia" w:ascii="Times New Roman" w:hAnsi="Times New Roman" w:eastAsia="仿宋_GB2312"/>
          <w:sz w:val="32"/>
          <w:szCs w:val="32"/>
          <w:highlight w:val="none"/>
          <w:lang w:val="en-US" w:eastAsia="zh-CN"/>
        </w:rPr>
        <w:t>62.30</w:t>
      </w:r>
      <w:r>
        <w:rPr>
          <w:rFonts w:hint="eastAsia" w:ascii="Times New Roman" w:hAnsi="Times New Roman" w:eastAsia="仿宋_GB2312"/>
          <w:sz w:val="32"/>
          <w:szCs w:val="32"/>
          <w:highlight w:val="none"/>
        </w:rPr>
        <w:t>%,主要包括基本工资、津贴补贴、奖金、伙食补助费</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绩效工资</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机关事业单位基本养老保险缴费</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职业年金缴费</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职工基本医疗保险缴费</w:t>
      </w:r>
      <w:r>
        <w:rPr>
          <w:rFonts w:hint="eastAsia" w:ascii="Times New Roman" w:hAnsi="Times New Roman" w:eastAsia="仿宋_GB2312"/>
          <w:sz w:val="32"/>
          <w:szCs w:val="32"/>
          <w:highlight w:val="none"/>
          <w:lang w:eastAsia="zh-CN"/>
        </w:rPr>
        <w:t>、其他社会保障缴费、住房公积金、对个人和家庭的补助、生活补助。</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b/>
          <w:bCs/>
          <w:sz w:val="32"/>
          <w:szCs w:val="32"/>
          <w:highlight w:val="none"/>
        </w:rPr>
        <w:t>公用经费</w:t>
      </w:r>
      <w:r>
        <w:rPr>
          <w:rFonts w:hint="eastAsia" w:ascii="Times New Roman" w:hAnsi="Times New Roman" w:eastAsia="仿宋_GB2312"/>
          <w:sz w:val="32"/>
          <w:szCs w:val="32"/>
          <w:highlight w:val="none"/>
        </w:rPr>
        <w:t>86.98万元，占基本支出的</w:t>
      </w:r>
      <w:r>
        <w:rPr>
          <w:rFonts w:hint="eastAsia" w:ascii="Times New Roman" w:hAnsi="Times New Roman" w:eastAsia="仿宋_GB2312"/>
          <w:sz w:val="32"/>
          <w:szCs w:val="32"/>
          <w:highlight w:val="none"/>
          <w:lang w:val="en-US" w:eastAsia="zh-CN"/>
        </w:rPr>
        <w:t>37.70</w:t>
      </w:r>
      <w:r>
        <w:rPr>
          <w:rFonts w:hint="eastAsia" w:ascii="Times New Roman" w:hAnsi="Times New Roman" w:eastAsia="仿宋_GB2312"/>
          <w:sz w:val="32"/>
          <w:szCs w:val="32"/>
          <w:highlight w:val="none"/>
        </w:rPr>
        <w:t>%，主要包括办公费、电费</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差旅费</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会议费</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培训费</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公务接待费</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劳务费</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工会经费</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福利费</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其他交通费用</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其他商品和服务支出。</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“三公”经费财政拨款支出预算为3.24 万元，支出决算为3.24 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0.76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%,减少的主要原因是</w:t>
      </w:r>
      <w:r>
        <w:rPr>
          <w:rFonts w:hint="eastAsia" w:ascii="Times New Roman" w:hAnsi="Times New Roman" w:eastAsia="仿宋_GB2312"/>
          <w:color w:val="000000" w:themeColor="text1"/>
          <w:sz w:val="32"/>
          <w:szCs w:val="32"/>
          <w:lang w:val="en-US" w:eastAsia="zh-CN"/>
          <w14:textFill>
            <w14:solidFill>
              <w14:schemeClr w14:val="tx1"/>
            </w14:solidFill>
          </w14:textFill>
        </w:rPr>
        <w:t>严格落实过紧日子要求</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规范管理公务接待，压缩公务接待开支</w:t>
      </w:r>
      <w:r>
        <w:rPr>
          <w:rFonts w:hint="eastAsia" w:ascii="Times New Roman" w:hAnsi="Times New Roman" w:eastAsia="仿宋_GB2312"/>
          <w:sz w:val="32"/>
          <w:szCs w:val="32"/>
        </w:rPr>
        <w:t>。其中：</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公务接待费支出预算为3.24 万元，支出决算为3.24 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0.76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%,减少（增长）的主要原因是</w:t>
      </w:r>
      <w:r>
        <w:rPr>
          <w:rFonts w:hint="eastAsia" w:ascii="Times New Roman" w:hAnsi="Times New Roman" w:eastAsia="仿宋_GB2312"/>
          <w:color w:val="000000" w:themeColor="text1"/>
          <w:sz w:val="32"/>
          <w:szCs w:val="32"/>
          <w:lang w:val="en-US" w:eastAsia="zh-CN"/>
          <w14:textFill>
            <w14:solidFill>
              <w14:schemeClr w14:val="tx1"/>
            </w14:solidFill>
          </w14:textFill>
        </w:rPr>
        <w:t>严格落实过紧日子要求</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规范管理公务接待，压缩公务接待开支</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本单位无公车，没有</w:t>
      </w:r>
      <w:r>
        <w:rPr>
          <w:rFonts w:hint="eastAsia" w:ascii="Times New Roman" w:hAnsi="Times New Roman" w:eastAsia="仿宋_GB2312"/>
          <w:color w:val="000000" w:themeColor="text1"/>
          <w:sz w:val="32"/>
          <w:szCs w:val="32"/>
          <w14:textFill>
            <w14:solidFill>
              <w14:schemeClr w14:val="tx1"/>
            </w14:solidFill>
          </w14:textFill>
        </w:rPr>
        <w:t>公务用车购置费支出</w:t>
      </w:r>
      <w:r>
        <w:rPr>
          <w:rFonts w:hint="eastAsia" w:ascii="Times New Roman" w:hAnsi="Times New Roman" w:eastAsia="仿宋_GB2312"/>
          <w:color w:val="000000" w:themeColor="text1"/>
          <w:sz w:val="32"/>
          <w:szCs w:val="32"/>
          <w:lang w:val="en-US" w:eastAsia="zh-CN"/>
          <w14:textFill>
            <w14:solidFill>
              <w14:schemeClr w14:val="tx1"/>
            </w14:solidFill>
          </w14:textFill>
        </w:rPr>
        <w:t>及</w:t>
      </w:r>
      <w:r>
        <w:rPr>
          <w:rFonts w:hint="eastAsia" w:ascii="Times New Roman" w:hAnsi="Times New Roman" w:eastAsia="仿宋_GB2312"/>
          <w:color w:val="000000" w:themeColor="text1"/>
          <w:sz w:val="32"/>
          <w:szCs w:val="32"/>
          <w14:textFill>
            <w14:solidFill>
              <w14:schemeClr w14:val="tx1"/>
            </w14:solidFill>
          </w14:textFill>
        </w:rPr>
        <w:t>公务用车运行维护费支出。</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年度“三公”经费财政拨款支出决算中，公务接待费支出决算</w:t>
      </w:r>
      <w:r>
        <w:rPr>
          <w:rFonts w:hint="eastAsia" w:ascii="Times New Roman" w:hAnsi="Times New Roman" w:eastAsia="仿宋_GB2312"/>
          <w:sz w:val="32"/>
          <w:szCs w:val="32"/>
        </w:rPr>
        <w:t xml:space="preserve">3.24 </w:t>
      </w:r>
      <w:r>
        <w:rPr>
          <w:rFonts w:hint="eastAsia" w:ascii="Times New Roman" w:hAnsi="Times New Roman" w:eastAsia="仿宋_GB2312"/>
          <w:sz w:val="32"/>
          <w:szCs w:val="32"/>
          <w:highlight w:val="none"/>
        </w:rPr>
        <w:t>万元，占</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%。其中：</w:t>
      </w: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1、因公出国（境）费支出决算为 0.00 万元。</w:t>
      </w: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2、公务接待费支出决算为</w:t>
      </w:r>
      <w:r>
        <w:rPr>
          <w:rFonts w:hint="eastAsia" w:ascii="Times New Roman" w:hAnsi="Times New Roman" w:eastAsia="仿宋_GB2312"/>
          <w:sz w:val="32"/>
          <w:szCs w:val="32"/>
          <w:highlight w:val="none"/>
          <w:lang w:val="en-US" w:eastAsia="zh-CN"/>
        </w:rPr>
        <w:t>3.24</w:t>
      </w:r>
      <w:r>
        <w:rPr>
          <w:rFonts w:hint="eastAsia" w:ascii="Times New Roman" w:hAnsi="Times New Roman" w:eastAsia="仿宋_GB2312"/>
          <w:sz w:val="32"/>
          <w:szCs w:val="32"/>
          <w:highlight w:val="none"/>
        </w:rPr>
        <w:t>万元，全年共接待来访团组</w:t>
      </w:r>
      <w:r>
        <w:rPr>
          <w:rFonts w:hint="eastAsia" w:ascii="Times New Roman" w:hAnsi="Times New Roman" w:eastAsia="仿宋_GB2312"/>
          <w:sz w:val="32"/>
          <w:szCs w:val="32"/>
          <w:highlight w:val="none"/>
          <w:lang w:val="en-US" w:eastAsia="zh-CN"/>
        </w:rPr>
        <w:t>37</w:t>
      </w:r>
      <w:r>
        <w:rPr>
          <w:rFonts w:hint="eastAsia" w:ascii="Times New Roman" w:hAnsi="Times New Roman" w:eastAsia="仿宋_GB2312"/>
          <w:sz w:val="32"/>
          <w:szCs w:val="32"/>
          <w:highlight w:val="none"/>
        </w:rPr>
        <w:t>个、来宾</w:t>
      </w:r>
      <w:r>
        <w:rPr>
          <w:rFonts w:hint="eastAsia" w:ascii="Times New Roman" w:hAnsi="Times New Roman" w:eastAsia="仿宋_GB2312"/>
          <w:sz w:val="32"/>
          <w:szCs w:val="32"/>
          <w:highlight w:val="none"/>
          <w:lang w:val="en-US" w:eastAsia="zh-CN"/>
        </w:rPr>
        <w:t>208</w:t>
      </w:r>
      <w:r>
        <w:rPr>
          <w:rFonts w:hint="eastAsia" w:ascii="Times New Roman" w:hAnsi="Times New Roman" w:eastAsia="仿宋_GB2312"/>
          <w:sz w:val="32"/>
          <w:szCs w:val="32"/>
          <w:highlight w:val="none"/>
        </w:rPr>
        <w:t>人次，主要是用于日常公务发生的接待支出。</w:t>
      </w: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3、公务用车购置费及运行维护费支出决算为 0.00 万元。</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color w:val="000000" w:themeColor="text1"/>
          <w:sz w:val="32"/>
          <w:szCs w:val="32"/>
          <w:lang w:val="en-US" w:eastAsia="zh-CN"/>
          <w14:textFill>
            <w14:solidFill>
              <w14:schemeClr w14:val="tx1"/>
            </w14:solidFill>
          </w14:textFill>
        </w:rPr>
        <w:t>本部门</w:t>
      </w:r>
      <w:r>
        <w:rPr>
          <w:rFonts w:hint="eastAsia"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lang w:val="en-US" w:eastAsia="zh-CN"/>
          <w14:textFill>
            <w14:solidFill>
              <w14:schemeClr w14:val="tx1"/>
            </w14:solidFill>
          </w14:textFill>
        </w:rPr>
        <w:t>3</w:t>
      </w:r>
      <w:r>
        <w:rPr>
          <w:rFonts w:hint="eastAsia" w:ascii="Times New Roman" w:hAnsi="Times New Roman" w:eastAsia="仿宋_GB2312"/>
          <w:color w:val="000000" w:themeColor="text1"/>
          <w:sz w:val="32"/>
          <w:szCs w:val="32"/>
          <w14:textFill>
            <w14:solidFill>
              <w14:schemeClr w14:val="tx1"/>
            </w14:solidFill>
          </w14:textFill>
        </w:rPr>
        <w:t>年度</w:t>
      </w:r>
      <w:bookmarkStart w:id="3" w:name="DIS_MARK_PAY_ZFXJJZC"/>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未发生政府性基金预算财政拨款收支。</w:t>
      </w:r>
      <w:bookmarkEnd w:id="3"/>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86.98</w:t>
      </w:r>
      <w:r>
        <w:rPr>
          <w:rFonts w:hint="eastAsia" w:ascii="Times New Roman" w:hAnsi="Times New Roman" w:eastAsia="仿宋_GB2312"/>
          <w:sz w:val="32"/>
          <w:szCs w:val="32"/>
        </w:rPr>
        <w:t>万元，比年初预算数</w:t>
      </w:r>
      <w:r>
        <w:rPr>
          <w:rFonts w:hint="eastAsia" w:ascii="Times New Roman" w:hAnsi="Times New Roman" w:eastAsia="仿宋_GB2312"/>
          <w:sz w:val="32"/>
          <w:szCs w:val="32"/>
          <w:lang w:val="en-US" w:eastAsia="zh-CN"/>
        </w:rPr>
        <w:t>4.3万元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82.68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主要原因是</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预算科目调整</w:t>
      </w:r>
      <w:r>
        <w:rPr>
          <w:rFonts w:hint="eastAsia" w:ascii="Times New Roman" w:hAnsi="Times New Roman" w:eastAsia="仿宋_GB2312"/>
          <w:sz w:val="32"/>
          <w:szCs w:val="32"/>
          <w:highlight w:val="none"/>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年本部门开支会议费</w:t>
      </w:r>
      <w:r>
        <w:rPr>
          <w:rFonts w:hint="eastAsia" w:ascii="Times New Roman" w:hAnsi="Times New Roman" w:eastAsia="仿宋_GB2312"/>
          <w:sz w:val="32"/>
          <w:szCs w:val="32"/>
          <w:highlight w:val="none"/>
          <w:lang w:val="en-US" w:eastAsia="zh-CN"/>
        </w:rPr>
        <w:t>0.58</w:t>
      </w:r>
      <w:r>
        <w:rPr>
          <w:rFonts w:hint="eastAsia" w:ascii="Times New Roman" w:hAnsi="Times New Roman" w:eastAsia="仿宋_GB2312"/>
          <w:sz w:val="32"/>
          <w:szCs w:val="32"/>
          <w:highlight w:val="none"/>
        </w:rPr>
        <w:t>万元，用于召开</w:t>
      </w:r>
      <w:r>
        <w:rPr>
          <w:rFonts w:hint="eastAsia" w:ascii="Times New Roman" w:hAnsi="Times New Roman" w:eastAsia="仿宋_GB2312"/>
          <w:sz w:val="32"/>
          <w:szCs w:val="32"/>
          <w:highlight w:val="none"/>
          <w:lang w:eastAsia="zh-CN"/>
        </w:rPr>
        <w:t>烟叶相关工作</w:t>
      </w:r>
      <w:r>
        <w:rPr>
          <w:rFonts w:hint="eastAsia" w:ascii="Times New Roman" w:hAnsi="Times New Roman" w:eastAsia="仿宋_GB2312"/>
          <w:sz w:val="32"/>
          <w:szCs w:val="32"/>
          <w:highlight w:val="none"/>
        </w:rPr>
        <w:t>会议，人数</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人，内容为</w:t>
      </w:r>
      <w:r>
        <w:rPr>
          <w:rFonts w:hint="eastAsia" w:ascii="Times New Roman" w:hAnsi="Times New Roman" w:eastAsia="仿宋_GB2312"/>
          <w:sz w:val="32"/>
          <w:szCs w:val="32"/>
          <w:highlight w:val="none"/>
          <w:lang w:eastAsia="zh-CN"/>
        </w:rPr>
        <w:t>烟叶收购等</w:t>
      </w:r>
      <w:r>
        <w:rPr>
          <w:rFonts w:hint="eastAsia" w:ascii="Times New Roman" w:hAnsi="Times New Roman" w:eastAsia="仿宋_GB2312"/>
          <w:sz w:val="32"/>
          <w:szCs w:val="32"/>
          <w:highlight w:val="none"/>
        </w:rPr>
        <w:t>；开支培训费</w:t>
      </w:r>
      <w:r>
        <w:rPr>
          <w:rFonts w:hint="eastAsia" w:ascii="Times New Roman" w:hAnsi="Times New Roman" w:eastAsia="仿宋_GB2312"/>
          <w:sz w:val="32"/>
          <w:szCs w:val="32"/>
          <w:highlight w:val="none"/>
          <w:lang w:val="en-US" w:eastAsia="zh-CN"/>
        </w:rPr>
        <w:t>0.05</w:t>
      </w:r>
      <w:r>
        <w:rPr>
          <w:rFonts w:hint="eastAsia" w:ascii="Times New Roman" w:hAnsi="Times New Roman" w:eastAsia="仿宋_GB2312"/>
          <w:sz w:val="32"/>
          <w:szCs w:val="32"/>
          <w:highlight w:val="none"/>
        </w:rPr>
        <w:t>万元，用于开展</w:t>
      </w:r>
      <w:r>
        <w:rPr>
          <w:rFonts w:hint="eastAsia" w:ascii="Times New Roman" w:hAnsi="Times New Roman" w:eastAsia="仿宋_GB2312"/>
          <w:sz w:val="32"/>
          <w:szCs w:val="32"/>
          <w:highlight w:val="none"/>
          <w:lang w:eastAsia="zh-CN"/>
        </w:rPr>
        <w:t>事业人员培训</w:t>
      </w:r>
      <w:r>
        <w:rPr>
          <w:rFonts w:hint="eastAsia" w:ascii="Times New Roman" w:hAnsi="Times New Roman" w:eastAsia="仿宋_GB2312"/>
          <w:sz w:val="32"/>
          <w:szCs w:val="32"/>
          <w:highlight w:val="none"/>
        </w:rPr>
        <w:t>培训，人数</w:t>
      </w: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rPr>
        <w:t>人，内容为</w:t>
      </w:r>
      <w:r>
        <w:rPr>
          <w:rFonts w:hint="eastAsia" w:ascii="Times New Roman" w:hAnsi="Times New Roman" w:eastAsia="仿宋_GB2312"/>
          <w:sz w:val="32"/>
          <w:szCs w:val="32"/>
          <w:highlight w:val="none"/>
          <w:lang w:eastAsia="zh-CN"/>
        </w:rPr>
        <w:t>事业人员培训</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 xml:space="preserve">   </w:t>
      </w:r>
    </w:p>
    <w:p>
      <w:pPr>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十一、关于政府采购支出说明</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sz w:val="32"/>
          <w:szCs w:val="32"/>
          <w:highlight w:val="none"/>
        </w:rPr>
        <w:t>本部门202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年度政府采购支出总额</w:t>
      </w:r>
      <w:r>
        <w:rPr>
          <w:rFonts w:hint="eastAsia" w:ascii="Times New Roman" w:hAnsi="Times New Roman" w:eastAsia="仿宋_GB2312"/>
          <w:sz w:val="32"/>
          <w:szCs w:val="32"/>
          <w:highlight w:val="none"/>
          <w:lang w:val="en-US" w:eastAsia="zh-CN"/>
        </w:rPr>
        <w:t>3.75</w:t>
      </w:r>
      <w:r>
        <w:rPr>
          <w:rFonts w:hint="eastAsia" w:ascii="Times New Roman" w:hAnsi="Times New Roman" w:eastAsia="仿宋_GB2312"/>
          <w:sz w:val="32"/>
          <w:szCs w:val="32"/>
          <w:highlight w:val="none"/>
        </w:rPr>
        <w:t>万元，其中：政府采购货物支出</w:t>
      </w:r>
      <w:r>
        <w:rPr>
          <w:rFonts w:hint="eastAsia" w:ascii="Times New Roman" w:hAnsi="Times New Roman" w:eastAsia="仿宋_GB2312"/>
          <w:sz w:val="32"/>
          <w:szCs w:val="32"/>
          <w:highlight w:val="none"/>
          <w:lang w:val="en-US" w:eastAsia="zh-CN"/>
        </w:rPr>
        <w:t>3.75</w:t>
      </w:r>
      <w:r>
        <w:rPr>
          <w:rFonts w:hint="eastAsia" w:ascii="Times New Roman" w:hAnsi="Times New Roman" w:eastAsia="仿宋_GB2312"/>
          <w:sz w:val="32"/>
          <w:szCs w:val="32"/>
          <w:highlight w:val="none"/>
        </w:rPr>
        <w:t>万元、政府采购工程支出</w:t>
      </w:r>
      <w:r>
        <w:rPr>
          <w:rFonts w:hint="eastAsia" w:ascii="Times New Roman" w:hAnsi="Times New Roman" w:eastAsia="仿宋_GB2312"/>
          <w:sz w:val="32"/>
          <w:szCs w:val="32"/>
          <w:highlight w:val="none"/>
          <w:lang w:val="en-US" w:eastAsia="zh-CN"/>
        </w:rPr>
        <w:t>0.00</w:t>
      </w:r>
      <w:r>
        <w:rPr>
          <w:rFonts w:hint="eastAsia" w:ascii="Times New Roman" w:hAnsi="Times New Roman" w:eastAsia="仿宋_GB2312"/>
          <w:sz w:val="32"/>
          <w:szCs w:val="32"/>
          <w:highlight w:val="none"/>
        </w:rPr>
        <w:t>万元、政府采购服务支出</w:t>
      </w:r>
      <w:r>
        <w:rPr>
          <w:rFonts w:hint="eastAsia" w:ascii="Times New Roman" w:hAnsi="Times New Roman" w:eastAsia="仿宋_GB2312"/>
          <w:sz w:val="32"/>
          <w:szCs w:val="32"/>
          <w:highlight w:val="none"/>
          <w:lang w:val="en-US" w:eastAsia="zh-CN"/>
        </w:rPr>
        <w:t>0.00</w:t>
      </w:r>
      <w:r>
        <w:rPr>
          <w:rFonts w:hint="eastAsia" w:ascii="Times New Roman" w:hAnsi="Times New Roman" w:eastAsia="仿宋_GB2312"/>
          <w:sz w:val="32"/>
          <w:szCs w:val="32"/>
          <w:highlight w:val="none"/>
        </w:rPr>
        <w:t>万元。授予中小企业合同金额</w:t>
      </w:r>
      <w:r>
        <w:rPr>
          <w:rFonts w:hint="eastAsia" w:ascii="Times New Roman" w:hAnsi="Times New Roman" w:eastAsia="仿宋_GB2312"/>
          <w:sz w:val="32"/>
          <w:szCs w:val="32"/>
          <w:highlight w:val="none"/>
          <w:lang w:val="en-US" w:eastAsia="zh-CN"/>
        </w:rPr>
        <w:t>3.75</w:t>
      </w:r>
      <w:r>
        <w:rPr>
          <w:rFonts w:hint="eastAsia" w:ascii="Times New Roman" w:hAnsi="Times New Roman" w:eastAsia="仿宋_GB2312"/>
          <w:sz w:val="32"/>
          <w:szCs w:val="32"/>
          <w:highlight w:val="none"/>
        </w:rPr>
        <w:t>万元，占政府采购支出总额的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%，其中：授予小微企业合同金额</w:t>
      </w:r>
      <w:r>
        <w:rPr>
          <w:rFonts w:hint="eastAsia" w:ascii="Times New Roman" w:hAnsi="Times New Roman" w:eastAsia="仿宋_GB2312"/>
          <w:sz w:val="32"/>
          <w:szCs w:val="32"/>
          <w:highlight w:val="none"/>
          <w:lang w:val="en-US" w:eastAsia="zh-CN"/>
        </w:rPr>
        <w:t>3.75</w:t>
      </w:r>
      <w:r>
        <w:rPr>
          <w:rFonts w:hint="eastAsia" w:ascii="Times New Roman" w:hAnsi="Times New Roman" w:eastAsia="仿宋_GB2312"/>
          <w:sz w:val="32"/>
          <w:szCs w:val="32"/>
          <w:highlight w:val="none"/>
        </w:rPr>
        <w:t>万元，</w:t>
      </w:r>
      <w:r>
        <w:rPr>
          <w:rFonts w:hint="eastAsia" w:ascii="Times New Roman" w:hAnsi="Times New Roman" w:eastAsia="仿宋_GB2312"/>
          <w:color w:val="auto"/>
          <w:sz w:val="32"/>
          <w:szCs w:val="32"/>
          <w:highlight w:val="none"/>
        </w:rPr>
        <w:t>占</w:t>
      </w:r>
      <w:r>
        <w:rPr>
          <w:rFonts w:hint="eastAsia" w:ascii="Times New Roman" w:hAnsi="Times New Roman" w:eastAsia="仿宋_GB2312"/>
          <w:color w:val="auto"/>
          <w:sz w:val="32"/>
          <w:szCs w:val="32"/>
          <w:highlight w:val="none"/>
          <w:lang w:eastAsia="zh-CN"/>
        </w:rPr>
        <w:t>授予中小企业合同金额</w:t>
      </w:r>
      <w:r>
        <w:rPr>
          <w:rFonts w:hint="eastAsia" w:ascii="Times New Roman" w:hAnsi="Times New Roman" w:eastAsia="仿宋_GB2312"/>
          <w:color w:val="auto"/>
          <w:sz w:val="32"/>
          <w:szCs w:val="32"/>
          <w:highlight w:val="none"/>
        </w:rPr>
        <w:t>的</w:t>
      </w:r>
      <w:r>
        <w:rPr>
          <w:rFonts w:hint="eastAsia" w:ascii="Times New Roman" w:hAnsi="Times New Roman" w:eastAsia="仿宋_GB2312"/>
          <w:color w:val="auto"/>
          <w:sz w:val="32"/>
          <w:szCs w:val="32"/>
          <w:highlight w:val="none"/>
          <w:lang w:val="en-US" w:eastAsia="zh-CN"/>
        </w:rPr>
        <w:t>100</w:t>
      </w:r>
      <w:r>
        <w:rPr>
          <w:rFonts w:hint="eastAsia" w:ascii="Times New Roman" w:hAnsi="Times New Roman" w:eastAsia="仿宋_GB2312"/>
          <w:color w:val="auto"/>
          <w:sz w:val="32"/>
          <w:szCs w:val="32"/>
          <w:highlight w:val="none"/>
        </w:rPr>
        <w:t>%。货物采购授予中小企业合同金额占货物支出金额的</w:t>
      </w:r>
      <w:r>
        <w:rPr>
          <w:rFonts w:hint="eastAsia" w:ascii="Times New Roman" w:hAnsi="Times New Roman" w:eastAsia="仿宋_GB2312"/>
          <w:color w:val="auto"/>
          <w:sz w:val="32"/>
          <w:szCs w:val="32"/>
          <w:highlight w:val="none"/>
          <w:lang w:val="en-US" w:eastAsia="zh-CN"/>
        </w:rPr>
        <w:t>100</w:t>
      </w:r>
      <w:r>
        <w:rPr>
          <w:rFonts w:hint="eastAsia" w:ascii="Times New Roman" w:hAnsi="Times New Roman" w:eastAsia="仿宋_GB2312"/>
          <w:color w:val="auto"/>
          <w:sz w:val="32"/>
          <w:szCs w:val="32"/>
          <w:highlight w:val="none"/>
        </w:rPr>
        <w:t>%，工程采购授予中小企业合同金额占工程支出金额的</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%，服务采购授予中小企业合同金额占服务支出金额的</w:t>
      </w:r>
      <w:r>
        <w:rPr>
          <w:rFonts w:hint="eastAsia" w:ascii="Times New Roman" w:hAnsi="Times New Roman" w:eastAsia="仿宋_GB2312"/>
          <w:color w:val="auto"/>
          <w:sz w:val="32"/>
          <w:szCs w:val="32"/>
          <w:highlight w:val="none"/>
          <w:lang w:val="en-US" w:eastAsia="zh-CN"/>
        </w:rPr>
        <w:t>100</w:t>
      </w:r>
      <w:r>
        <w:rPr>
          <w:rFonts w:hint="eastAsia" w:ascii="Times New Roman" w:hAnsi="Times New Roman" w:eastAsia="仿宋_GB2312"/>
          <w:color w:val="auto"/>
          <w:sz w:val="32"/>
          <w:szCs w:val="32"/>
          <w:highlight w:val="none"/>
        </w:rPr>
        <w:t>%。</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十二、关于国有资产占用情况说明</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截至202</w:t>
      </w:r>
      <w:r>
        <w:rPr>
          <w:rFonts w:hint="eastAsia" w:ascii="Times New Roman" w:hAnsi="Times New Roman" w:eastAsia="仿宋_GB2312"/>
          <w:color w:val="000000" w:themeColor="text1"/>
          <w:sz w:val="32"/>
          <w:szCs w:val="32"/>
          <w:lang w:val="en-US" w:eastAsia="zh-CN"/>
          <w14:textFill>
            <w14:solidFill>
              <w14:schemeClr w14:val="tx1"/>
            </w14:solidFill>
          </w14:textFill>
        </w:rPr>
        <w:t>3</w:t>
      </w:r>
      <w:r>
        <w:rPr>
          <w:rFonts w:hint="eastAsia" w:ascii="Times New Roman" w:hAnsi="Times New Roman" w:eastAsia="仿宋_GB2312"/>
          <w:color w:val="000000" w:themeColor="text1"/>
          <w:sz w:val="32"/>
          <w:szCs w:val="32"/>
          <w14:textFill>
            <w14:solidFill>
              <w14:schemeClr w14:val="tx1"/>
            </w14:solidFill>
          </w14:textFill>
        </w:rPr>
        <w:t>年12月31日，</w:t>
      </w:r>
      <w:r>
        <w:rPr>
          <w:rFonts w:hint="eastAsia" w:ascii="Times New Roman" w:hAnsi="Times New Roman" w:eastAsia="仿宋_GB2312"/>
          <w:color w:val="000000" w:themeColor="text1"/>
          <w:sz w:val="32"/>
          <w:szCs w:val="32"/>
          <w:lang w:val="en-US" w:eastAsia="zh-CN"/>
          <w14:textFill>
            <w14:solidFill>
              <w14:schemeClr w14:val="tx1"/>
            </w14:solidFill>
          </w14:textFill>
        </w:rPr>
        <w:t>本部门</w:t>
      </w:r>
      <w:r>
        <w:rPr>
          <w:rFonts w:hint="eastAsia" w:ascii="Times New Roman" w:hAnsi="Times New Roman" w:eastAsia="仿宋_GB2312"/>
          <w:color w:val="000000" w:themeColor="text1"/>
          <w:sz w:val="32"/>
          <w:szCs w:val="32"/>
          <w14:textFill>
            <w14:solidFill>
              <w14:schemeClr w14:val="tx1"/>
            </w14:solidFill>
          </w14:textFill>
        </w:rPr>
        <w:t>共有车辆</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辆；单位价值100万元以上设备</w:t>
      </w:r>
      <w:r>
        <w:rPr>
          <w:rFonts w:hint="eastAsia" w:ascii="Times New Roman" w:hAnsi="Times New Roman" w:eastAsia="仿宋_GB2312"/>
          <w:color w:val="000000" w:themeColor="text1"/>
          <w:sz w:val="32"/>
          <w:szCs w:val="32"/>
          <w:lang w:eastAsia="zh-CN"/>
          <w14:textFill>
            <w14:solidFill>
              <w14:schemeClr w14:val="tx1"/>
            </w14:solidFill>
          </w14:textFill>
        </w:rPr>
        <w:t>（不含车辆）</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台（套）。</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十三、关于</w:t>
      </w:r>
      <w:r>
        <w:rPr>
          <w:rFonts w:hint="eastAsia"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lang w:val="en-US" w:eastAsia="zh-CN"/>
          <w14:textFill>
            <w14:solidFill>
              <w14:schemeClr w14:val="tx1"/>
            </w14:solidFill>
          </w14:textFill>
        </w:rPr>
        <w:t>3</w:t>
      </w:r>
      <w:r>
        <w:rPr>
          <w:rFonts w:hint="eastAsia" w:ascii="黑体" w:hAnsi="黑体" w:eastAsia="黑体" w:cs="黑体"/>
          <w:b w:val="0"/>
          <w:bCs/>
          <w:color w:val="000000" w:themeColor="text1"/>
          <w:sz w:val="32"/>
          <w:szCs w:val="32"/>
          <w14:textFill>
            <w14:solidFill>
              <w14:schemeClr w14:val="tx1"/>
            </w14:solidFill>
          </w14:textFill>
        </w:rPr>
        <w:t>年度</w:t>
      </w:r>
      <w:r>
        <w:rPr>
          <w:rFonts w:hint="eastAsia" w:hAnsi="黑体" w:cs="黑体"/>
          <w:b w:val="0"/>
          <w:bCs/>
          <w:color w:val="000000" w:themeColor="text1"/>
          <w:sz w:val="32"/>
          <w:szCs w:val="32"/>
          <w:lang w:eastAsia="zh-CN"/>
          <w14:textFill>
            <w14:solidFill>
              <w14:schemeClr w14:val="tx1"/>
            </w14:solidFill>
          </w14:textFill>
        </w:rPr>
        <w:t>预算</w:t>
      </w:r>
      <w:r>
        <w:rPr>
          <w:rFonts w:hint="eastAsia" w:ascii="黑体" w:hAnsi="黑体" w:eastAsia="黑体" w:cs="黑体"/>
          <w:b w:val="0"/>
          <w:bCs/>
          <w:color w:val="000000" w:themeColor="text1"/>
          <w:sz w:val="32"/>
          <w:szCs w:val="32"/>
          <w14:textFill>
            <w14:solidFill>
              <w14:schemeClr w14:val="tx1"/>
            </w14:solidFill>
          </w14:textFill>
        </w:rPr>
        <w:t>绩效情况的说明</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本部门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绩效管理工作开展、</w:t>
      </w:r>
      <w:r>
        <w:rPr>
          <w:rFonts w:hint="eastAsia" w:ascii="仿宋_GB2312" w:hAnsi="仿宋_GB2312" w:eastAsia="仿宋_GB2312" w:cs="仿宋_GB2312"/>
          <w:b w:val="0"/>
          <w:bCs w:val="0"/>
          <w:color w:val="000000" w:themeColor="text1"/>
          <w:sz w:val="32"/>
          <w:szCs w:val="32"/>
          <w14:textFill>
            <w14:solidFill>
              <w14:schemeClr w14:val="tx1"/>
            </w14:solidFill>
          </w14:textFill>
        </w:rPr>
        <w:t>整体支出绩效情况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及</w:t>
      </w:r>
      <w:r>
        <w:rPr>
          <w:rFonts w:hint="eastAsia" w:ascii="仿宋_GB2312" w:hAnsi="仿宋_GB2312" w:eastAsia="仿宋_GB2312" w:cs="仿宋_GB2312"/>
          <w:b w:val="0"/>
          <w:bCs w:val="0"/>
          <w:color w:val="000000" w:themeColor="text1"/>
          <w:sz w:val="32"/>
          <w:szCs w:val="32"/>
          <w14:textFill>
            <w14:solidFill>
              <w14:schemeClr w14:val="tx1"/>
            </w14:solidFill>
          </w14:textFill>
        </w:rPr>
        <w:t>存在的问题及原因分析</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等见第五部分附件。</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p>
    <w:p>
      <w:pPr>
        <w:pStyle w:val="12"/>
        <w:jc w:val="both"/>
        <w:rPr>
          <w:sz w:val="72"/>
          <w:szCs w:val="72"/>
        </w:rPr>
      </w:pPr>
    </w:p>
    <w:p>
      <w:pPr>
        <w:pStyle w:val="12"/>
        <w:jc w:val="center"/>
        <w:rPr>
          <w:sz w:val="72"/>
          <w:szCs w:val="72"/>
        </w:rPr>
      </w:pPr>
    </w:p>
    <w:p>
      <w:pPr>
        <w:pStyle w:val="12"/>
        <w:jc w:val="center"/>
        <w:rPr>
          <w:sz w:val="72"/>
          <w:szCs w:val="72"/>
        </w:rPr>
      </w:pPr>
    </w:p>
    <w:p>
      <w:pPr>
        <w:pStyle w:val="12"/>
        <w:jc w:val="both"/>
        <w:rPr>
          <w:rFonts w:hint="eastAsia" w:ascii="方正小标宋_GBK" w:hAnsi="方正小标宋_GBK" w:eastAsia="方正小标宋_GBK" w:cs="方正小标宋_GBK"/>
          <w:sz w:val="72"/>
          <w:szCs w:val="72"/>
        </w:rPr>
      </w:pPr>
    </w:p>
    <w:p>
      <w:pPr>
        <w:pStyle w:val="12"/>
        <w:jc w:val="both"/>
        <w:rPr>
          <w:rFonts w:hint="eastAsia" w:ascii="方正小标宋_GBK" w:hAnsi="方正小标宋_GBK" w:eastAsia="方正小标宋_GBK" w:cs="方正小标宋_GBK"/>
          <w:sz w:val="72"/>
          <w:szCs w:val="72"/>
        </w:rPr>
      </w:pPr>
    </w:p>
    <w:p>
      <w:pPr>
        <w:pStyle w:val="12"/>
        <w:jc w:val="both"/>
        <w:rPr>
          <w:rFonts w:hint="eastAsia" w:ascii="方正小标宋_GBK" w:hAnsi="方正小标宋_GBK" w:eastAsia="方正小标宋_GBK" w:cs="方正小标宋_GBK"/>
          <w:sz w:val="72"/>
          <w:szCs w:val="72"/>
        </w:rPr>
      </w:pPr>
    </w:p>
    <w:p>
      <w:pPr>
        <w:pStyle w:val="12"/>
        <w:jc w:val="both"/>
        <w:rPr>
          <w:rFonts w:hint="eastAsia" w:ascii="方正小标宋_GBK" w:hAnsi="方正小标宋_GBK" w:eastAsia="方正小标宋_GBK" w:cs="方正小标宋_GBK"/>
          <w:sz w:val="72"/>
          <w:szCs w:val="72"/>
        </w:rPr>
      </w:pPr>
    </w:p>
    <w:p>
      <w:pPr>
        <w:pStyle w:val="12"/>
        <w:jc w:val="both"/>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第四部分</w:t>
      </w: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keepNext w:val="0"/>
        <w:keepLines w:val="0"/>
        <w:widowControl/>
        <w:suppressLineNumbers w:val="0"/>
        <w:jc w:val="left"/>
      </w:pPr>
      <w:r>
        <w:rPr>
          <w:rFonts w:ascii="仿宋" w:hAnsi="仿宋" w:eastAsia="仿宋" w:cs="仿宋"/>
          <w:color w:val="000000"/>
          <w:kern w:val="0"/>
          <w:sz w:val="32"/>
          <w:szCs w:val="32"/>
          <w:lang w:val="en-US" w:eastAsia="zh-CN" w:bidi="ar"/>
        </w:rPr>
        <w:t>1．财政拨款收入：指单位本年度从同级财政部门取得的各类财政</w:t>
      </w:r>
      <w:r>
        <w:rPr>
          <w:rFonts w:hint="eastAsia" w:ascii="仿宋" w:hAnsi="仿宋" w:eastAsia="仿宋" w:cs="仿宋"/>
          <w:color w:val="000000"/>
          <w:kern w:val="0"/>
          <w:sz w:val="32"/>
          <w:szCs w:val="32"/>
          <w:lang w:val="en-US" w:eastAsia="zh-CN" w:bidi="ar"/>
        </w:rPr>
        <w:t xml:space="preserve">拨款。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2．机关运行经费：指行政单位（含参照公务员法管理的事业单位）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使用一般公共预算安排的基本支出中的公用经费支出，包括办公及印刷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费、邮电费、差旅费、会议费、福利费、日常维修费、专用材料及一般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设备购置费、办公用房水电费、办公用房取暖费、办公用房物业管理费、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公务用车运行维护费及其他费用。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3．事业收入：指事业单位开展专业业务活动及其辅助活动取得的收入，事业单位收到的财政专户实际核拨的教育收费等资金在此反映。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4．经营收入：指事业单位在专业业务活动及其辅助活动之外开展非独立核算经营活动取得的收入。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5．附属单位上缴收入：指事业单位附属独立核算单位按照有关规定上缴的收入。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6．其他收入：指单位取得的除上述“财政拨款收入”、“事业收入”、“经营收入”等以外的各项收入。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7．使用非财政拨款结余：指事业单位使用非财政拨款结余（原事业基金）弥补当年收支差额的数额。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8．年初结转和结余：指单位上年结转本年使用的基本支出结转、项目支出结转和结余和经营结余。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9．结余分配：指事业单位按规定对非财政拨款结余资金提取的专用基金、缴纳的所得税和转入非财政拨款结余等。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10．年末结转和结余资金：指本年度或以前年度预算安排、因客观条件发生变化无法按原计划实施，需要延迟到以后年度按有关规定继续使用的资金。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11．基本支出：指为保障机构正常运转、完成日常工作任务而发生的支出，包括人员经费和公用经费。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12．项目支出：指在为完成特定的工作任务和事业发展目标所发生的支出。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13．上缴上级支出：指事业单位按照财政部门和主管部门的规定上缴上级单位的支出。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14．经营支出：指事业单位在专业业务活动及其辅助活动之外开展非独立核算经营活动发生的支出。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15．对附属单位补助支出：指事业单位用财政拨款收入之外的收入对附属单位补助发生的支出。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16．“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 </w:t>
      </w:r>
    </w:p>
    <w:p>
      <w:pPr>
        <w:keepNext w:val="0"/>
        <w:keepLines w:val="0"/>
        <w:widowControl/>
        <w:suppressLineNumbers w:val="0"/>
        <w:jc w:val="left"/>
      </w:pPr>
      <w:r>
        <w:rPr>
          <w:rFonts w:hint="eastAsia" w:ascii="仿宋" w:hAnsi="仿宋" w:eastAsia="仿宋" w:cs="仿宋"/>
          <w:color w:val="000000"/>
          <w:kern w:val="0"/>
          <w:sz w:val="32"/>
          <w:szCs w:val="32"/>
          <w:lang w:val="en-US" w:eastAsia="zh-CN" w:bidi="ar"/>
        </w:rPr>
        <w:t>17．上级补助收入：指事业单位从主管部门和上级单位取得的非财政补助收入</w:t>
      </w:r>
    </w:p>
    <w:p>
      <w:pPr>
        <w:rPr>
          <w:sz w:val="72"/>
          <w:szCs w:val="72"/>
        </w:rPr>
      </w:pPr>
    </w:p>
    <w:p>
      <w:pPr>
        <w:pStyle w:val="12"/>
        <w:jc w:val="both"/>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2"/>
        <w:jc w:val="center"/>
        <w:rPr>
          <w:rFonts w:hint="eastAsia" w:ascii="方正小标宋_GBK" w:hAnsi="方正小标宋_GBK" w:eastAsia="方正小标宋_GBK" w:cs="方正小标宋_GBK"/>
          <w:sz w:val="70"/>
          <w:szCs w:val="70"/>
        </w:rPr>
      </w:pPr>
    </w:p>
    <w:p>
      <w:pPr>
        <w:pStyle w:val="12"/>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sz w:val="72"/>
          <w:szCs w:val="72"/>
        </w:rPr>
      </w:pPr>
      <w:r>
        <w:rPr>
          <w:sz w:val="72"/>
          <w:szCs w:val="72"/>
        </w:rPr>
        <w:br w:type="page"/>
      </w:r>
    </w:p>
    <w:p>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2023年度烤烟事务中心部门整体支出绩效自评报告。</w:t>
      </w:r>
    </w:p>
    <w:p>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pPr>
        <w:pStyle w:val="12"/>
        <w:jc w:val="center"/>
        <w:rPr>
          <w:sz w:val="72"/>
          <w:szCs w:val="72"/>
        </w:rPr>
      </w:pPr>
    </w:p>
    <w:p>
      <w:pPr>
        <w:pStyle w:val="12"/>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mZDI0OGE1N2RjZjZjMTk1OGFhMGNjM2IxODAzZmE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3D665BD"/>
    <w:rsid w:val="072F28B2"/>
    <w:rsid w:val="0C8F023A"/>
    <w:rsid w:val="11255EA9"/>
    <w:rsid w:val="118938C8"/>
    <w:rsid w:val="11F271B5"/>
    <w:rsid w:val="13EC5CCF"/>
    <w:rsid w:val="14AD5B4A"/>
    <w:rsid w:val="19200475"/>
    <w:rsid w:val="1D97DEFF"/>
    <w:rsid w:val="1DFF72E5"/>
    <w:rsid w:val="1EFC6F07"/>
    <w:rsid w:val="1F563A7B"/>
    <w:rsid w:val="22880F1C"/>
    <w:rsid w:val="22E92FC6"/>
    <w:rsid w:val="24341885"/>
    <w:rsid w:val="2570657C"/>
    <w:rsid w:val="25896C56"/>
    <w:rsid w:val="269723F0"/>
    <w:rsid w:val="2882718D"/>
    <w:rsid w:val="29BB2411"/>
    <w:rsid w:val="2BE14820"/>
    <w:rsid w:val="2FDF85B8"/>
    <w:rsid w:val="2FFFEE04"/>
    <w:rsid w:val="32F253A6"/>
    <w:rsid w:val="34DF85B0"/>
    <w:rsid w:val="35067341"/>
    <w:rsid w:val="382F2708"/>
    <w:rsid w:val="383F31C0"/>
    <w:rsid w:val="3B8F36BC"/>
    <w:rsid w:val="3F696545"/>
    <w:rsid w:val="45302371"/>
    <w:rsid w:val="46B14BAE"/>
    <w:rsid w:val="47A73B06"/>
    <w:rsid w:val="48DD19A3"/>
    <w:rsid w:val="491FF225"/>
    <w:rsid w:val="49C63C1D"/>
    <w:rsid w:val="4A1B519B"/>
    <w:rsid w:val="4A276A49"/>
    <w:rsid w:val="4A836DE0"/>
    <w:rsid w:val="4FFD214C"/>
    <w:rsid w:val="518E73B3"/>
    <w:rsid w:val="53CA3FE0"/>
    <w:rsid w:val="540D3061"/>
    <w:rsid w:val="541456FA"/>
    <w:rsid w:val="54434EE1"/>
    <w:rsid w:val="5777D4F5"/>
    <w:rsid w:val="57DF44B3"/>
    <w:rsid w:val="59C02414"/>
    <w:rsid w:val="59DD8326"/>
    <w:rsid w:val="5B29597B"/>
    <w:rsid w:val="5DEF592A"/>
    <w:rsid w:val="5FC6BB1E"/>
    <w:rsid w:val="5FF720F1"/>
    <w:rsid w:val="633B4F71"/>
    <w:rsid w:val="64254601"/>
    <w:rsid w:val="67FF5C0B"/>
    <w:rsid w:val="6B7C78B7"/>
    <w:rsid w:val="6D0A7CE9"/>
    <w:rsid w:val="6D7D02CA"/>
    <w:rsid w:val="6DA4688B"/>
    <w:rsid w:val="6EFC0924"/>
    <w:rsid w:val="6F631046"/>
    <w:rsid w:val="6F7B5355"/>
    <w:rsid w:val="6FB74722"/>
    <w:rsid w:val="6FEF8B7E"/>
    <w:rsid w:val="71105F71"/>
    <w:rsid w:val="71A6591B"/>
    <w:rsid w:val="737D59BA"/>
    <w:rsid w:val="73B13659"/>
    <w:rsid w:val="760E0F8F"/>
    <w:rsid w:val="769A2893"/>
    <w:rsid w:val="77C37683"/>
    <w:rsid w:val="77CC3C2D"/>
    <w:rsid w:val="79166218"/>
    <w:rsid w:val="792A50E3"/>
    <w:rsid w:val="79FF515B"/>
    <w:rsid w:val="7AED10D1"/>
    <w:rsid w:val="7B333805"/>
    <w:rsid w:val="7B3D051E"/>
    <w:rsid w:val="7C3F770A"/>
    <w:rsid w:val="7CD6204C"/>
    <w:rsid w:val="7D025722"/>
    <w:rsid w:val="7E9E1962"/>
    <w:rsid w:val="7E9F11B4"/>
    <w:rsid w:val="7EC641E6"/>
    <w:rsid w:val="7F37EC1E"/>
    <w:rsid w:val="7F7DCD9D"/>
    <w:rsid w:val="7F970A6F"/>
    <w:rsid w:val="7FC1FFF3"/>
    <w:rsid w:val="7FC69637"/>
    <w:rsid w:val="7FDF8620"/>
    <w:rsid w:val="7FE231CE"/>
    <w:rsid w:val="7FFB242F"/>
    <w:rsid w:val="7FFDB408"/>
    <w:rsid w:val="7FFE4EEB"/>
    <w:rsid w:val="95FB2B98"/>
    <w:rsid w:val="9A639BC2"/>
    <w:rsid w:val="9FF7D786"/>
    <w:rsid w:val="ABBFB23D"/>
    <w:rsid w:val="C3B4DA5A"/>
    <w:rsid w:val="CBFF70E0"/>
    <w:rsid w:val="CFF50B82"/>
    <w:rsid w:val="CFFFAD89"/>
    <w:rsid w:val="DFFE359E"/>
    <w:rsid w:val="DFFE4FFD"/>
    <w:rsid w:val="E8DF3CDF"/>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footnote text"/>
    <w:basedOn w:val="1"/>
    <w:next w:val="3"/>
    <w:autoRedefine/>
    <w:semiHidden/>
    <w:qFormat/>
    <w:uiPriority w:val="0"/>
    <w:pPr>
      <w:snapToGrid w:val="0"/>
      <w:jc w:val="left"/>
    </w:pPr>
    <w:rPr>
      <w:sz w:val="18"/>
      <w:szCs w:val="18"/>
    </w:rPr>
  </w:style>
  <w:style w:type="paragraph" w:styleId="3">
    <w:name w:val="Body Text First Indent 2"/>
    <w:basedOn w:val="4"/>
    <w:next w:val="1"/>
    <w:autoRedefine/>
    <w:unhideWhenUsed/>
    <w:qFormat/>
    <w:uiPriority w:val="99"/>
    <w:pPr>
      <w:ind w:firstLine="420" w:firstLineChars="200"/>
    </w:pPr>
  </w:style>
  <w:style w:type="paragraph" w:styleId="4">
    <w:name w:val="Body Text Indent"/>
    <w:basedOn w:val="1"/>
    <w:next w:val="3"/>
    <w:autoRedefine/>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4"/>
    <w:autoRedefine/>
    <w:semiHidden/>
    <w:unhideWhenUsed/>
    <w:qFormat/>
    <w:uiPriority w:val="99"/>
    <w:rPr>
      <w:sz w:val="18"/>
      <w:szCs w:val="18"/>
    </w:rPr>
  </w:style>
  <w:style w:type="paragraph" w:styleId="6">
    <w:name w:val="footer"/>
    <w:basedOn w:val="1"/>
    <w:link w:val="11"/>
    <w:autoRedefine/>
    <w:unhideWhenUsed/>
    <w:qFormat/>
    <w:uiPriority w:val="99"/>
    <w:pPr>
      <w:tabs>
        <w:tab w:val="center" w:pos="4153"/>
        <w:tab w:val="right" w:pos="8306"/>
      </w:tabs>
      <w:snapToGrid w:val="0"/>
      <w:jc w:val="left"/>
    </w:pPr>
    <w:rPr>
      <w:sz w:val="18"/>
      <w:szCs w:val="18"/>
    </w:rPr>
  </w:style>
  <w:style w:type="paragraph" w:styleId="7">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autoRedefine/>
    <w:qFormat/>
    <w:uiPriority w:val="99"/>
    <w:rPr>
      <w:sz w:val="18"/>
      <w:szCs w:val="18"/>
    </w:rPr>
  </w:style>
  <w:style w:type="character" w:customStyle="1" w:styleId="11">
    <w:name w:val="页脚 Char"/>
    <w:basedOn w:val="9"/>
    <w:link w:val="6"/>
    <w:autoRedefine/>
    <w:qFormat/>
    <w:uiPriority w:val="99"/>
    <w:rPr>
      <w:sz w:val="18"/>
      <w:szCs w:val="18"/>
    </w:rPr>
  </w:style>
  <w:style w:type="paragraph" w:customStyle="1" w:styleId="12">
    <w:name w:val="Default"/>
    <w:autoRedefine/>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autoRedefine/>
    <w:qFormat/>
    <w:uiPriority w:val="0"/>
    <w:rPr>
      <w:rFonts w:hint="eastAsia" w:ascii="宋体" w:hAnsi="宋体" w:eastAsia="宋体" w:cs="宋体"/>
      <w:color w:val="000000"/>
      <w:sz w:val="22"/>
      <w:szCs w:val="22"/>
      <w:u w:val="none"/>
    </w:rPr>
  </w:style>
  <w:style w:type="character" w:customStyle="1" w:styleId="16">
    <w:name w:val="font21"/>
    <w:basedOn w:val="9"/>
    <w:autoRedefine/>
    <w:qFormat/>
    <w:uiPriority w:val="0"/>
    <w:rPr>
      <w:rFonts w:hint="eastAsia" w:ascii="宋体" w:hAnsi="宋体" w:eastAsia="宋体" w:cs="宋体"/>
      <w:color w:val="000000"/>
      <w:sz w:val="24"/>
      <w:szCs w:val="24"/>
      <w:u w:val="none"/>
    </w:rPr>
  </w:style>
  <w:style w:type="character" w:customStyle="1" w:styleId="17">
    <w:name w:val="font11"/>
    <w:basedOn w:val="9"/>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1347</Words>
  <Characters>7679</Characters>
  <Lines>63</Lines>
  <Paragraphs>18</Paragraphs>
  <TotalTime>35</TotalTime>
  <ScaleCrop>false</ScaleCrop>
  <LinksUpToDate>false</LinksUpToDate>
  <CharactersWithSpaces>9008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2020-07-08T10:32:00Z</dcterms:created>
  <dc:creator>李航 null</dc:creator>
  <cp:lastModifiedBy>lenovo</cp:lastModifiedBy>
  <cp:lastPrinted>2024-08-08T18:20:00Z</cp:lastPrinted>
  <dcterms:modified xsi:type="dcterms:W3CDTF">2024-08-29T03:31:09Z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905261268E3540D39C8E4AD5022AF815_13</vt:lpwstr>
  </property>
</Properties>
</file>