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8D5D">
      <w:pPr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060000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060000" w:fill="auto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060000" w:fill="auto"/>
        </w:rPr>
        <w:t>年度道县县委网信办整体支出绩效</w:t>
      </w:r>
    </w:p>
    <w:p w14:paraId="5745EDFB">
      <w:pPr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060000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060000" w:fill="auto"/>
        </w:rPr>
        <w:t>评价报告</w:t>
      </w:r>
    </w:p>
    <w:p w14:paraId="3EF95A96">
      <w:pPr>
        <w:spacing w:line="600" w:lineRule="auto"/>
        <w:rPr>
          <w:rFonts w:ascii="Times New Roman" w:hAnsi="Times New Roman" w:eastAsia="Times New Roman" w:cs="Times New Roman"/>
          <w:sz w:val="48"/>
          <w:shd w:val="clear" w:color="050000" w:fill="auto"/>
        </w:rPr>
      </w:pPr>
    </w:p>
    <w:p w14:paraId="5C40C0FB">
      <w:pPr>
        <w:numPr>
          <w:ilvl w:val="0"/>
          <w:numId w:val="1"/>
        </w:numPr>
        <w:spacing w:line="600" w:lineRule="auto"/>
        <w:ind w:firstLine="640"/>
        <w:rPr>
          <w:rFonts w:ascii="仿宋_GB2312" w:hAnsi="仿宋_GB2312" w:eastAsia="仿宋_GB2312" w:cs="仿宋_GB2312"/>
          <w:b/>
          <w:bCs/>
          <w:sz w:val="32"/>
          <w:szCs w:val="32"/>
          <w:shd w:val="clear" w:color="060000" w:fill="auto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060000" w:fill="auto"/>
        </w:rPr>
        <w:t>部门概况</w:t>
      </w:r>
    </w:p>
    <w:p w14:paraId="6908D6E9">
      <w:pPr>
        <w:autoSpaceDN w:val="0"/>
        <w:spacing w:line="30" w:lineRule="atLeast"/>
        <w:ind w:firstLine="64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内设：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综合室、网络舆情管理与网络传播室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、网络安全协调与信息化发展室（网络执法与监督室）、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网络舆情研究中心、信息化研究中心等5个职能室、中心。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本单位有行政编制6名，事业编8名，现在实有在编人数行政编5人，事业编7人。</w:t>
      </w:r>
    </w:p>
    <w:p w14:paraId="4AA9417C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二、部门整体支出使用情况</w:t>
      </w:r>
    </w:p>
    <w:p w14:paraId="75F7506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支出：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417.11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万元；其中：</w:t>
      </w:r>
      <w:r>
        <w:rPr>
          <w:rFonts w:hint="eastAsia" w:ascii="仿宋_GB2312" w:hAnsi="仿宋_GB2312" w:eastAsia="仿宋_GB2312"/>
          <w:sz w:val="32"/>
        </w:rPr>
        <w:t>基本支出</w:t>
      </w:r>
      <w:r>
        <w:rPr>
          <w:rFonts w:hint="eastAsia" w:ascii="仿宋_GB2312" w:hAnsi="仿宋_GB2312" w:eastAsia="仿宋_GB2312"/>
          <w:sz w:val="32"/>
          <w:lang w:val="en-US" w:eastAsia="zh-CN"/>
        </w:rPr>
        <w:t>256.09</w:t>
      </w:r>
      <w:r>
        <w:rPr>
          <w:rFonts w:hint="eastAsia" w:ascii="仿宋_GB2312" w:hAnsi="仿宋_GB2312" w:eastAsia="仿宋_GB2312"/>
          <w:sz w:val="32"/>
        </w:rPr>
        <w:t>万元，项目支出</w:t>
      </w:r>
      <w:r>
        <w:rPr>
          <w:rFonts w:hint="eastAsia" w:ascii="仿宋_GB2312" w:hAnsi="仿宋_GB2312" w:eastAsia="仿宋_GB2312"/>
          <w:sz w:val="32"/>
          <w:lang w:val="en-US" w:eastAsia="zh-CN"/>
        </w:rPr>
        <w:t>161.02</w:t>
      </w:r>
      <w:r>
        <w:rPr>
          <w:rFonts w:hint="eastAsia" w:ascii="仿宋_GB2312" w:hAnsi="仿宋_GB2312" w:eastAsia="仿宋_GB2312"/>
          <w:sz w:val="32"/>
        </w:rPr>
        <w:t>万元。</w:t>
      </w:r>
    </w:p>
    <w:p w14:paraId="537668B5"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（一）基本支出</w:t>
      </w:r>
    </w:p>
    <w:p w14:paraId="3FEAC90F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256.09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 w14:paraId="13997939"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（二）项目支出</w:t>
      </w:r>
    </w:p>
    <w:p w14:paraId="0AFA0EE5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161.02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万元，用于全县网络舆情处置。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其中主要包括网络舆情处置经费5.64万元、签购舆情软件10万元、网络统战工作经费4万元、网络安全宣传周5万元，新建简易用房及附加项目15.08万元，网络安全执法工作经费1万元，办公区安全防护及必要检修40万元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网络安全应急指挥平台和网上群众工作平台建设经费80.3万元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 w14:paraId="08B316BE">
      <w:pPr>
        <w:widowControl/>
        <w:ind w:right="11" w:firstLine="643" w:firstLineChars="200"/>
        <w:jc w:val="left"/>
        <w:rPr>
          <w:rFonts w:ascii="仿宋_GB2312" w:hAnsi="仿宋_GB2312" w:eastAsia="仿宋_GB2312" w:cs="仿宋_GB2312"/>
          <w:b/>
          <w:bCs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</w:rPr>
        <w:t>三、政府性基金预算支出情况</w:t>
      </w:r>
    </w:p>
    <w:p w14:paraId="4ADD1DE8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/>
          <w:bCs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道县县委网信办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预算共计120.3万元：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办公区安全防护及必要检修40万元，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网络安全应急指挥平台和网上群众工作平台建设经费80.3万元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。</w:t>
      </w:r>
    </w:p>
    <w:p w14:paraId="196E8152">
      <w:pPr>
        <w:ind w:right="11" w:firstLine="643" w:firstLineChars="200"/>
        <w:rPr>
          <w:rFonts w:ascii="仿宋_GB2312" w:hAnsi="仿宋_GB2312" w:eastAsia="仿宋_GB2312" w:cs="仿宋_GB2312"/>
          <w:b/>
          <w:bCs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</w:rPr>
        <w:t>四、国有资本经营预算支出情况</w:t>
      </w:r>
    </w:p>
    <w:p w14:paraId="680E8555">
      <w:pPr>
        <w:ind w:right="11" w:firstLine="640" w:firstLineChars="200"/>
        <w:rPr>
          <w:rFonts w:ascii="仿宋_GB2312" w:hAnsi="仿宋_GB2312" w:eastAsia="仿宋_GB2312" w:cs="仿宋_GB2312"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道县县委网信办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无国有资本经营预算支出。</w:t>
      </w:r>
    </w:p>
    <w:p w14:paraId="39026D31">
      <w:pPr>
        <w:ind w:right="11" w:firstLine="643" w:firstLineChars="200"/>
        <w:rPr>
          <w:rFonts w:ascii="仿宋_GB2312" w:hAnsi="仿宋_GB2312" w:eastAsia="仿宋_GB2312" w:cs="仿宋_GB2312"/>
          <w:b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Cs/>
          <w:color w:val="01010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010101"/>
          <w:sz w:val="32"/>
          <w:szCs w:val="32"/>
        </w:rPr>
        <w:t>社会保险基金预算支出情况</w:t>
      </w:r>
    </w:p>
    <w:p w14:paraId="1047F9A3">
      <w:pPr>
        <w:ind w:firstLine="640" w:firstLineChars="200"/>
        <w:rPr>
          <w:rFonts w:ascii="仿宋_GB2312" w:hAnsi="仿宋_GB2312" w:eastAsia="仿宋_GB2312" w:cs="仿宋_GB2312"/>
          <w:b/>
          <w:color w:val="5A5A5A"/>
          <w:sz w:val="32"/>
          <w:szCs w:val="32"/>
          <w:shd w:val="clear" w:color="070000" w:fill="auto"/>
        </w:rPr>
      </w:pPr>
      <w:r>
        <w:rPr>
          <w:rFonts w:hint="eastAsia" w:ascii="仿宋_GB2312" w:hAnsi="仿宋_GB2312" w:eastAsia="仿宋_GB2312" w:cs="仿宋_GB2312"/>
          <w:bCs/>
          <w:color w:val="010101"/>
          <w:sz w:val="32"/>
          <w:szCs w:val="32"/>
        </w:rPr>
        <w:t>道县县委网信办</w:t>
      </w:r>
      <w:r>
        <w:rPr>
          <w:rFonts w:hint="eastAsia" w:ascii="仿宋_GB2312" w:hAnsi="仿宋_GB2312" w:eastAsia="仿宋_GB2312" w:cs="仿宋_GB2312"/>
          <w:bCs/>
          <w:color w:val="01010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bCs/>
          <w:color w:val="010101"/>
          <w:sz w:val="32"/>
          <w:szCs w:val="32"/>
        </w:rPr>
        <w:t>无社会保险基金预算支出。</w:t>
      </w:r>
    </w:p>
    <w:p w14:paraId="4456A396">
      <w:pPr>
        <w:numPr>
          <w:ilvl w:val="0"/>
          <w:numId w:val="2"/>
        </w:num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>部门整体支出绩效情况</w:t>
      </w:r>
    </w:p>
    <w:p w14:paraId="6FB1F7EB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1010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10101"/>
          <w:kern w:val="0"/>
          <w:sz w:val="32"/>
          <w:szCs w:val="32"/>
          <w:lang w:val="en-US" w:eastAsia="zh-CN" w:bidi="ar-SA"/>
        </w:rPr>
        <w:t>本年持续加强了政治建设和从严治党工作；深入推进了网络媒体传播矩阵体系建设；健全完善了网络安全和数据安全保障体系；大力推进了网络信息化和数字化工作；全面提高了网信队伍建设水平。</w:t>
      </w:r>
    </w:p>
    <w:p w14:paraId="17903BD5">
      <w:pPr>
        <w:numPr>
          <w:ilvl w:val="0"/>
          <w:numId w:val="2"/>
        </w:num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部门整体支出管理情况</w:t>
      </w:r>
    </w:p>
    <w:p w14:paraId="51F024C1"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领导高度重视，制度执行比较到位，资金使用效益进一步提高。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度加强了财务管理，落实厉行节约的各项规定，“三公”经费实现了有效压缩。</w:t>
      </w:r>
    </w:p>
    <w:p w14:paraId="4618348C"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八、存在的主要问题</w:t>
      </w:r>
    </w:p>
    <w:p w14:paraId="372EF01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、由于财政紧张，部分款项未能及时支付。</w:t>
      </w:r>
    </w:p>
    <w:p w14:paraId="4FFAA1C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相关管理制度有待进一步完善。</w:t>
      </w:r>
    </w:p>
    <w:p w14:paraId="7C5212D6"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九、改进措施和有关建议</w:t>
      </w:r>
    </w:p>
    <w:p w14:paraId="109BAE4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1、加强与财政对接，剩余款项及时支付。</w:t>
      </w:r>
      <w:bookmarkStart w:id="0" w:name="_GoBack"/>
      <w:bookmarkEnd w:id="0"/>
    </w:p>
    <w:p w14:paraId="3F9A8C10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shd w:val="clear" w:color="060000" w:fill="auto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落实管理制度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  <w:lang w:eastAsia="zh-CN"/>
        </w:rPr>
        <w:t>。</w:t>
      </w:r>
    </w:p>
    <w:p w14:paraId="70641E26">
      <w:pPr>
        <w:ind w:firstLine="5140" w:firstLineChars="1600"/>
        <w:rPr>
          <w:rFonts w:ascii="仿宋_GB2312" w:hAnsi="仿宋_GB2312" w:eastAsia="仿宋_GB2312" w:cs="仿宋_GB2312"/>
          <w:b/>
          <w:sz w:val="32"/>
          <w:szCs w:val="32"/>
          <w:shd w:val="clear" w:color="070000" w:fil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 xml:space="preserve">道县县委网信办    </w:t>
      </w:r>
    </w:p>
    <w:p w14:paraId="3B24941C">
      <w:pPr>
        <w:spacing w:line="600" w:lineRule="auto"/>
        <w:ind w:firstLine="5140"/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70000" w:fill="auto"/>
        </w:rPr>
        <w:t>日</w:t>
      </w:r>
    </w:p>
    <w:p w14:paraId="4DFADCD0">
      <w:pPr>
        <w:spacing w:line="600" w:lineRule="auto"/>
        <w:ind w:firstLine="482"/>
        <w:rPr>
          <w:rFonts w:ascii="仿宋_GB2312" w:hAnsi="仿宋_GB2312" w:eastAsia="仿宋_GB2312" w:cs="仿宋_GB2312"/>
          <w:b/>
          <w:sz w:val="32"/>
          <w:szCs w:val="32"/>
          <w:shd w:val="clear" w:color="070000" w:fill="auto"/>
        </w:rPr>
      </w:pPr>
    </w:p>
    <w:p w14:paraId="109A2F26"/>
    <w:p w14:paraId="0B260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03E9A"/>
    <w:multiLevelType w:val="singleLevel"/>
    <w:tmpl w:val="EE803E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B29C50"/>
    <w:multiLevelType w:val="singleLevel"/>
    <w:tmpl w:val="5DB29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2025-08-21T01:49:47Z</dcterms:created>
  <dc:creator>Administrator</dc:creator>
  <cp:lastModifiedBy>chenlian</cp:lastModifiedBy>
  <dcterms:modified xsi:type="dcterms:W3CDTF">2025-08-21T02:11:40Z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eyJoZGlkIjoiM2MyN2E3YWZmMTg5ODQ2ZDE5YWU2NDgxZWZjYzJkZTciLCJ1c2VySWQiOiIzNjM1NDIzNDEifQ==</vt:lpwstr>
  </property>
  <property fmtid="{D5CDD505-2E9C-101B-9397-08002B2CF9AE}" pid="4" name="ICV">
    <vt:lpwstr>4A791C5ED5D84319BFDC3F46934D9477_12</vt:lpwstr>
  </property>
</Properties>
</file>