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b/>
          <w:spacing w:val="-10"/>
          <w:sz w:val="44"/>
          <w:szCs w:val="44"/>
        </w:rPr>
      </w:pPr>
      <w:r>
        <w:rPr>
          <w:rFonts w:hint="eastAsia" w:ascii="宋体" w:hAnsi="宋体"/>
          <w:b/>
          <w:spacing w:val="-10"/>
          <w:sz w:val="44"/>
          <w:szCs w:val="4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-350520</wp:posOffset>
                </wp:positionV>
                <wp:extent cx="1943100" cy="792480"/>
                <wp:effectExtent l="0" t="0" r="0" b="7620"/>
                <wp:wrapNone/>
                <wp:docPr id="1" name="文本框 1"/>
                <wp:cNvGraphicFramePr/>
                <a:graphic xmlns:a="http://schemas.openxmlformats.org/drawingml/2006/main">
                  <a:graphicData uri="http://schemas.microsoft.com/office/word/2010/wordprocessingShape">
                    <wps:wsp>
                      <wps:cNvSpPr txBox="1"/>
                      <wps:spPr>
                        <a:xfrm>
                          <a:off x="0" y="0"/>
                          <a:ext cx="1943100" cy="792480"/>
                        </a:xfrm>
                        <a:prstGeom prst="rect">
                          <a:avLst/>
                        </a:prstGeom>
                        <a:solidFill>
                          <a:srgbClr val="FFFFFF"/>
                        </a:solidFill>
                        <a:ln>
                          <a:noFill/>
                        </a:ln>
                      </wps:spPr>
                      <wps:txbx>
                        <w:txbxContent>
                          <w:p>
                            <w:pPr>
                              <w:spacing w:line="560" w:lineRule="exact"/>
                              <w:rPr>
                                <w:rFonts w:hint="eastAsia" w:ascii="宋体" w:hAnsi="宋体" w:eastAsia="宋体" w:cs="宋体"/>
                                <w:b/>
                                <w:spacing w:val="-8"/>
                                <w:sz w:val="32"/>
                                <w:szCs w:val="32"/>
                              </w:rPr>
                            </w:pPr>
                            <w:r>
                              <w:rPr>
                                <w:rFonts w:hint="eastAsia" w:ascii="宋体" w:hAnsi="宋体" w:eastAsia="宋体" w:cs="宋体"/>
                                <w:b/>
                                <w:spacing w:val="-8"/>
                                <w:sz w:val="32"/>
                                <w:szCs w:val="32"/>
                              </w:rPr>
                              <w:t>县 十 八 届 人 大</w:t>
                            </w:r>
                          </w:p>
                          <w:p>
                            <w:pPr>
                              <w:spacing w:line="560" w:lineRule="exact"/>
                              <w:rPr>
                                <w:rFonts w:hint="eastAsia" w:ascii="宋体" w:hAnsi="宋体" w:eastAsia="宋体" w:cs="宋体"/>
                                <w:b/>
                                <w:spacing w:val="-6"/>
                                <w:sz w:val="32"/>
                                <w:szCs w:val="32"/>
                              </w:rPr>
                            </w:pPr>
                            <w:r>
                              <w:rPr>
                                <w:rFonts w:hint="eastAsia" w:ascii="宋体" w:hAnsi="宋体" w:eastAsia="宋体" w:cs="宋体"/>
                                <w:b/>
                                <w:spacing w:val="-6"/>
                                <w:sz w:val="32"/>
                                <w:szCs w:val="32"/>
                                <w:lang w:val="en-US" w:eastAsia="zh-CN"/>
                              </w:rPr>
                              <w:t>三</w:t>
                            </w:r>
                            <w:r>
                              <w:rPr>
                                <w:rFonts w:hint="eastAsia" w:ascii="宋体" w:hAnsi="宋体" w:eastAsia="宋体" w:cs="宋体"/>
                                <w:b/>
                                <w:spacing w:val="-6"/>
                                <w:sz w:val="32"/>
                                <w:szCs w:val="32"/>
                              </w:rPr>
                              <w:t>次会议</w:t>
                            </w:r>
                            <w:r>
                              <w:rPr>
                                <w:rFonts w:hint="eastAsia" w:ascii="宋体" w:hAnsi="宋体" w:eastAsia="宋体" w:cs="宋体"/>
                                <w:b/>
                                <w:spacing w:val="-6"/>
                                <w:sz w:val="32"/>
                                <w:szCs w:val="32"/>
                                <w:lang w:val="en-US" w:eastAsia="zh-CN"/>
                              </w:rPr>
                              <w:t>文件</w:t>
                            </w:r>
                            <w:r>
                              <w:rPr>
                                <w:rFonts w:hint="eastAsia" w:ascii="宋体" w:hAnsi="宋体" w:eastAsia="宋体" w:cs="宋体"/>
                                <w:b/>
                                <w:spacing w:val="-6"/>
                                <w:sz w:val="32"/>
                                <w:szCs w:val="32"/>
                              </w:rPr>
                              <w:t>（</w:t>
                            </w:r>
                            <w:r>
                              <w:rPr>
                                <w:rFonts w:hint="eastAsia" w:ascii="宋体" w:hAnsi="宋体" w:eastAsia="宋体" w:cs="宋体"/>
                                <w:b/>
                                <w:spacing w:val="-6"/>
                                <w:sz w:val="32"/>
                                <w:szCs w:val="32"/>
                                <w:lang w:val="en-US" w:eastAsia="zh-CN"/>
                              </w:rPr>
                              <w:t>2</w:t>
                            </w:r>
                            <w:r>
                              <w:rPr>
                                <w:rFonts w:hint="eastAsia" w:ascii="宋体" w:hAnsi="宋体" w:cs="宋体"/>
                                <w:b/>
                                <w:spacing w:val="-6"/>
                                <w:sz w:val="32"/>
                                <w:szCs w:val="32"/>
                                <w:lang w:val="en-US" w:eastAsia="zh-CN"/>
                              </w:rPr>
                              <w:t>5</w:t>
                            </w:r>
                            <w:r>
                              <w:rPr>
                                <w:rFonts w:hint="eastAsia" w:ascii="宋体" w:hAnsi="宋体" w:eastAsia="宋体" w:cs="宋体"/>
                                <w:b/>
                                <w:spacing w:val="-6"/>
                                <w:sz w:val="32"/>
                                <w:szCs w:val="32"/>
                              </w:rPr>
                              <w:t>）</w:t>
                            </w:r>
                          </w:p>
                          <w:p>
                            <w:pPr>
                              <w:rPr>
                                <w:rFonts w:hint="eastAsia"/>
                              </w:rPr>
                            </w:pPr>
                          </w:p>
                        </w:txbxContent>
                      </wps:txbx>
                      <wps:bodyPr upright="1"/>
                    </wps:wsp>
                  </a:graphicData>
                </a:graphic>
              </wp:anchor>
            </w:drawing>
          </mc:Choice>
          <mc:Fallback>
            <w:pict>
              <v:shape id="_x0000_s1026" o:spid="_x0000_s1026" o:spt="202" type="#_x0000_t202" style="position:absolute;left:0pt;margin-left:2.25pt;margin-top:-27.6pt;height:62.4pt;width:153pt;z-index:251659264;mso-width-relative:page;mso-height-relative:page;" fillcolor="#FFFFFF" filled="t" stroked="f" coordsize="21600,21600" o:gfxdata="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nyn5bXAAAACAEAAA8AAAAAAAAAAQAgAAAAIgAAAGRycy9kb3ducmV2Lnht&#10;bFBLAQIUABQAAAAIAIdO4kAONJqPwQEAAHcDAAAOAAAAAAAAAAEAIAAAACYBAABkcnMvZTJvRG9j&#10;LnhtbFBLBQYAAAAABgAGAFkBAABZBQAAAAA=&#10;">
                <v:fill on="t" focussize="0,0"/>
                <v:stroke on="f"/>
                <v:imagedata o:title=""/>
                <o:lock v:ext="edit" aspectratio="f"/>
                <v:textbox>
                  <w:txbxContent>
                    <w:p>
                      <w:pPr>
                        <w:spacing w:line="560" w:lineRule="exact"/>
                        <w:rPr>
                          <w:rFonts w:hint="eastAsia" w:ascii="宋体" w:hAnsi="宋体" w:eastAsia="宋体" w:cs="宋体"/>
                          <w:b/>
                          <w:spacing w:val="-8"/>
                          <w:sz w:val="32"/>
                          <w:szCs w:val="32"/>
                        </w:rPr>
                      </w:pPr>
                      <w:r>
                        <w:rPr>
                          <w:rFonts w:hint="eastAsia" w:ascii="宋体" w:hAnsi="宋体" w:eastAsia="宋体" w:cs="宋体"/>
                          <w:b/>
                          <w:spacing w:val="-8"/>
                          <w:sz w:val="32"/>
                          <w:szCs w:val="32"/>
                        </w:rPr>
                        <w:t>县 十 八 届 人 大</w:t>
                      </w:r>
                    </w:p>
                    <w:p>
                      <w:pPr>
                        <w:spacing w:line="560" w:lineRule="exact"/>
                        <w:rPr>
                          <w:rFonts w:hint="eastAsia" w:ascii="宋体" w:hAnsi="宋体" w:eastAsia="宋体" w:cs="宋体"/>
                          <w:b/>
                          <w:spacing w:val="-6"/>
                          <w:sz w:val="32"/>
                          <w:szCs w:val="32"/>
                        </w:rPr>
                      </w:pPr>
                      <w:r>
                        <w:rPr>
                          <w:rFonts w:hint="eastAsia" w:ascii="宋体" w:hAnsi="宋体" w:eastAsia="宋体" w:cs="宋体"/>
                          <w:b/>
                          <w:spacing w:val="-6"/>
                          <w:sz w:val="32"/>
                          <w:szCs w:val="32"/>
                          <w:lang w:val="en-US" w:eastAsia="zh-CN"/>
                        </w:rPr>
                        <w:t>三</w:t>
                      </w:r>
                      <w:r>
                        <w:rPr>
                          <w:rFonts w:hint="eastAsia" w:ascii="宋体" w:hAnsi="宋体" w:eastAsia="宋体" w:cs="宋体"/>
                          <w:b/>
                          <w:spacing w:val="-6"/>
                          <w:sz w:val="32"/>
                          <w:szCs w:val="32"/>
                        </w:rPr>
                        <w:t>次会议</w:t>
                      </w:r>
                      <w:r>
                        <w:rPr>
                          <w:rFonts w:hint="eastAsia" w:ascii="宋体" w:hAnsi="宋体" w:eastAsia="宋体" w:cs="宋体"/>
                          <w:b/>
                          <w:spacing w:val="-6"/>
                          <w:sz w:val="32"/>
                          <w:szCs w:val="32"/>
                          <w:lang w:val="en-US" w:eastAsia="zh-CN"/>
                        </w:rPr>
                        <w:t>文件</w:t>
                      </w:r>
                      <w:r>
                        <w:rPr>
                          <w:rFonts w:hint="eastAsia" w:ascii="宋体" w:hAnsi="宋体" w:eastAsia="宋体" w:cs="宋体"/>
                          <w:b/>
                          <w:spacing w:val="-6"/>
                          <w:sz w:val="32"/>
                          <w:szCs w:val="32"/>
                        </w:rPr>
                        <w:t>（</w:t>
                      </w:r>
                      <w:r>
                        <w:rPr>
                          <w:rFonts w:hint="eastAsia" w:ascii="宋体" w:hAnsi="宋体" w:eastAsia="宋体" w:cs="宋体"/>
                          <w:b/>
                          <w:spacing w:val="-6"/>
                          <w:sz w:val="32"/>
                          <w:szCs w:val="32"/>
                          <w:lang w:val="en-US" w:eastAsia="zh-CN"/>
                        </w:rPr>
                        <w:t>2</w:t>
                      </w:r>
                      <w:r>
                        <w:rPr>
                          <w:rFonts w:hint="eastAsia" w:ascii="宋体" w:hAnsi="宋体" w:cs="宋体"/>
                          <w:b/>
                          <w:spacing w:val="-6"/>
                          <w:sz w:val="32"/>
                          <w:szCs w:val="32"/>
                          <w:lang w:val="en-US" w:eastAsia="zh-CN"/>
                        </w:rPr>
                        <w:t>5</w:t>
                      </w:r>
                      <w:r>
                        <w:rPr>
                          <w:rFonts w:hint="eastAsia" w:ascii="宋体" w:hAnsi="宋体" w:eastAsia="宋体" w:cs="宋体"/>
                          <w:b/>
                          <w:spacing w:val="-6"/>
                          <w:sz w:val="32"/>
                          <w:szCs w:val="32"/>
                        </w:rPr>
                        <w:t>）</w:t>
                      </w:r>
                    </w:p>
                    <w:p>
                      <w:pPr>
                        <w:rPr>
                          <w:rFonts w:hint="eastAsia"/>
                        </w:rPr>
                      </w:pPr>
                    </w:p>
                  </w:txbxContent>
                </v:textbox>
              </v:shape>
            </w:pict>
          </mc:Fallback>
        </mc:AlternateContent>
      </w:r>
    </w:p>
    <w:p>
      <w:pPr>
        <w:rPr>
          <w:rFonts w:hint="eastAsia" w:eastAsia="黑体"/>
          <w:sz w:val="44"/>
        </w:rPr>
      </w:pPr>
    </w:p>
    <w:p>
      <w:pPr>
        <w:spacing w:line="600" w:lineRule="exact"/>
        <w:jc w:val="center"/>
        <w:rPr>
          <w:rFonts w:hint="eastAsia" w:ascii="方正小标宋简体" w:hAnsi="华文中宋" w:eastAsia="方正小标宋简体" w:cs="Times New Roman"/>
          <w:b w:val="0"/>
          <w:bCs w:val="0"/>
          <w:color w:val="000000"/>
          <w:sz w:val="44"/>
          <w:szCs w:val="44"/>
        </w:rPr>
      </w:pPr>
    </w:p>
    <w:p>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道县2022年预算执行</w:t>
      </w:r>
      <w:r>
        <w:rPr>
          <w:rFonts w:hint="eastAsia" w:ascii="方正小标宋简体" w:hAnsi="方正小标宋简体" w:eastAsia="方正小标宋简体" w:cs="方正小标宋简体"/>
          <w:b w:val="0"/>
          <w:bCs w:val="0"/>
          <w:sz w:val="44"/>
          <w:szCs w:val="44"/>
          <w:lang w:val="en-US" w:eastAsia="zh-CN"/>
        </w:rPr>
        <w:t>情况</w:t>
      </w:r>
      <w:r>
        <w:rPr>
          <w:rFonts w:hint="eastAsia" w:ascii="方正小标宋简体" w:hAnsi="方正小标宋简体" w:eastAsia="方正小标宋简体" w:cs="方正小标宋简体"/>
          <w:b w:val="0"/>
          <w:bCs w:val="0"/>
          <w:sz w:val="44"/>
          <w:szCs w:val="44"/>
        </w:rPr>
        <w:t>与</w:t>
      </w:r>
    </w:p>
    <w:p>
      <w:pPr>
        <w:spacing w:line="56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2023年预算草案的</w:t>
      </w:r>
      <w:r>
        <w:rPr>
          <w:rFonts w:hint="eastAsia" w:ascii="方正小标宋简体" w:hAnsi="方正小标宋简体" w:eastAsia="方正小标宋简体" w:cs="方正小标宋简体"/>
          <w:b w:val="0"/>
          <w:bCs w:val="0"/>
          <w:sz w:val="44"/>
          <w:szCs w:val="44"/>
          <w:lang w:val="en-US" w:eastAsia="zh-CN"/>
        </w:rPr>
        <w:t>报告</w:t>
      </w:r>
    </w:p>
    <w:p>
      <w:pPr>
        <w:shd w:val="clear"/>
        <w:spacing w:line="680" w:lineRule="exact"/>
        <w:jc w:val="center"/>
        <w:rPr>
          <w:rFonts w:ascii="楷体_GB2312" w:hAnsi="楷体" w:eastAsia="楷体_GB2312"/>
          <w:spacing w:val="-16"/>
          <w:sz w:val="32"/>
          <w:szCs w:val="32"/>
        </w:rPr>
      </w:pPr>
      <w:r>
        <w:rPr>
          <w:rFonts w:ascii="楷体" w:hAnsi="楷体" w:eastAsia="楷体" w:cs="楷体"/>
          <w:sz w:val="32"/>
          <w:szCs w:val="32"/>
        </w:rPr>
        <w:t>——</w:t>
      </w:r>
      <w:r>
        <w:rPr>
          <w:rFonts w:ascii="楷体_GB2312" w:hAnsi="楷体" w:eastAsia="楷体_GB2312" w:cs="楷体_GB2312"/>
          <w:spacing w:val="-14"/>
          <w:sz w:val="32"/>
          <w:szCs w:val="32"/>
        </w:rPr>
        <w:t>202</w:t>
      </w:r>
      <w:r>
        <w:rPr>
          <w:rFonts w:hint="eastAsia" w:ascii="楷体_GB2312" w:hAnsi="楷体" w:eastAsia="楷体_GB2312" w:cs="楷体_GB2312"/>
          <w:spacing w:val="-14"/>
          <w:sz w:val="32"/>
          <w:szCs w:val="32"/>
          <w:lang w:val="en-US" w:eastAsia="zh-CN"/>
        </w:rPr>
        <w:t>3</w:t>
      </w:r>
      <w:r>
        <w:rPr>
          <w:rFonts w:hint="eastAsia" w:ascii="楷体_GB2312" w:hAnsi="楷体" w:eastAsia="楷体_GB2312" w:cs="楷体_GB2312"/>
          <w:spacing w:val="-14"/>
          <w:sz w:val="32"/>
          <w:szCs w:val="32"/>
        </w:rPr>
        <w:t>年</w:t>
      </w:r>
      <w:r>
        <w:rPr>
          <w:rFonts w:hint="eastAsia" w:ascii="楷体_GB2312" w:hAnsi="楷体" w:eastAsia="楷体_GB2312" w:cs="楷体_GB2312"/>
          <w:spacing w:val="-14"/>
          <w:sz w:val="32"/>
          <w:szCs w:val="32"/>
          <w:u w:val="none"/>
          <w:lang w:val="en-US" w:eastAsia="zh-CN"/>
        </w:rPr>
        <w:t>3</w:t>
      </w:r>
      <w:r>
        <w:rPr>
          <w:rFonts w:hint="eastAsia" w:ascii="楷体_GB2312" w:hAnsi="楷体" w:eastAsia="楷体_GB2312" w:cs="楷体_GB2312"/>
          <w:spacing w:val="-14"/>
          <w:sz w:val="32"/>
          <w:szCs w:val="32"/>
          <w:u w:val="none"/>
        </w:rPr>
        <w:t>月</w:t>
      </w:r>
      <w:r>
        <w:rPr>
          <w:rFonts w:hint="eastAsia" w:ascii="楷体_GB2312" w:hAnsi="楷体" w:eastAsia="楷体_GB2312" w:cs="楷体_GB2312"/>
          <w:spacing w:val="-14"/>
          <w:sz w:val="32"/>
          <w:szCs w:val="32"/>
          <w:u w:val="none"/>
          <w:lang w:val="en-US" w:eastAsia="zh-CN"/>
        </w:rPr>
        <w:t>22</w:t>
      </w:r>
      <w:r>
        <w:rPr>
          <w:rFonts w:hint="eastAsia" w:ascii="楷体_GB2312" w:hAnsi="楷体" w:eastAsia="楷体_GB2312" w:cs="楷体_GB2312"/>
          <w:spacing w:val="-14"/>
          <w:sz w:val="32"/>
          <w:szCs w:val="32"/>
        </w:rPr>
        <w:t>日在道县第十</w:t>
      </w:r>
      <w:r>
        <w:rPr>
          <w:rFonts w:hint="eastAsia" w:ascii="楷体_GB2312" w:hAnsi="楷体" w:eastAsia="楷体_GB2312" w:cs="楷体_GB2312"/>
          <w:spacing w:val="-14"/>
          <w:sz w:val="32"/>
          <w:szCs w:val="32"/>
          <w:lang w:eastAsia="zh-CN"/>
        </w:rPr>
        <w:t>八</w:t>
      </w:r>
      <w:r>
        <w:rPr>
          <w:rFonts w:hint="eastAsia" w:ascii="楷体_GB2312" w:hAnsi="楷体" w:eastAsia="楷体_GB2312" w:cs="楷体_GB2312"/>
          <w:spacing w:val="-14"/>
          <w:sz w:val="32"/>
          <w:szCs w:val="32"/>
        </w:rPr>
        <w:t>届人民代表大会第</w:t>
      </w:r>
      <w:r>
        <w:rPr>
          <w:rFonts w:hint="eastAsia" w:ascii="楷体_GB2312" w:hAnsi="楷体" w:eastAsia="楷体_GB2312" w:cs="楷体_GB2312"/>
          <w:spacing w:val="-14"/>
          <w:sz w:val="32"/>
          <w:szCs w:val="32"/>
          <w:lang w:eastAsia="zh-CN"/>
        </w:rPr>
        <w:t>三</w:t>
      </w:r>
      <w:r>
        <w:rPr>
          <w:rFonts w:hint="eastAsia" w:ascii="楷体_GB2312" w:hAnsi="楷体" w:eastAsia="楷体_GB2312" w:cs="楷体_GB2312"/>
          <w:spacing w:val="-14"/>
          <w:sz w:val="32"/>
          <w:szCs w:val="32"/>
        </w:rPr>
        <w:t>次会议上</w:t>
      </w:r>
    </w:p>
    <w:p>
      <w:pPr>
        <w:shd w:val="clear"/>
        <w:autoSpaceDE w:val="0"/>
        <w:autoSpaceDN w:val="0"/>
        <w:spacing w:line="680" w:lineRule="exact"/>
        <w:jc w:val="center"/>
        <w:rPr>
          <w:rFonts w:hint="default" w:ascii="Times New Roman" w:hAnsi="Times New Roman" w:cs="Times New Roman"/>
          <w:bCs/>
          <w:sz w:val="30"/>
          <w:szCs w:val="30"/>
        </w:rPr>
      </w:pPr>
      <w:r>
        <w:rPr>
          <w:rFonts w:hint="eastAsia" w:ascii="楷体_GB2312" w:hAnsi="楷体_GB2312" w:eastAsia="楷体_GB2312" w:cs="楷体_GB2312"/>
          <w:sz w:val="32"/>
          <w:szCs w:val="32"/>
        </w:rPr>
        <w:t>县财政局局长</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lang w:eastAsia="zh-CN"/>
        </w:rPr>
        <w:t>潘高旺</w:t>
      </w:r>
    </w:p>
    <w:p>
      <w:pPr>
        <w:pStyle w:val="6"/>
        <w:shd w:val="clear"/>
        <w:autoSpaceDE w:val="0"/>
        <w:autoSpaceDN w:val="0"/>
        <w:spacing w:line="580" w:lineRule="exact"/>
        <w:rPr>
          <w:rFonts w:ascii="仿宋_GB2312" w:eastAsia="仿宋_GB2312" w:cs="Times New Roman"/>
          <w:sz w:val="32"/>
          <w:szCs w:val="32"/>
        </w:rPr>
      </w:pPr>
      <w:r>
        <w:rPr>
          <w:rFonts w:hint="eastAsia" w:ascii="仿宋_GB2312" w:eastAsia="仿宋_GB2312" w:cs="仿宋_GB2312"/>
          <w:sz w:val="32"/>
          <w:szCs w:val="32"/>
        </w:rPr>
        <w:t>各位代表：</w:t>
      </w:r>
    </w:p>
    <w:p>
      <w:pPr>
        <w:pStyle w:val="6"/>
        <w:shd w:val="clear"/>
        <w:autoSpaceDE w:val="0"/>
        <w:autoSpaceDN w:val="0"/>
        <w:spacing w:line="580" w:lineRule="exact"/>
        <w:ind w:firstLine="6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根据预算法规定，受县人民政府委托，向大会报告202</w:t>
      </w:r>
      <w:r>
        <w:rPr>
          <w:rFonts w:hint="eastAsia" w:ascii="仿宋_GB2312" w:eastAsia="仿宋_GB2312" w:cs="仿宋_GB2312"/>
          <w:sz w:val="32"/>
          <w:szCs w:val="32"/>
          <w:highlight w:val="none"/>
          <w:lang w:val="en-US" w:eastAsia="zh-CN"/>
        </w:rPr>
        <w:t>2</w:t>
      </w:r>
      <w:r>
        <w:rPr>
          <w:rFonts w:hint="eastAsia" w:ascii="仿宋_GB2312" w:eastAsia="仿宋_GB2312" w:cs="仿宋_GB2312"/>
          <w:sz w:val="32"/>
          <w:szCs w:val="32"/>
          <w:highlight w:val="none"/>
        </w:rPr>
        <w:t>年全县财政预算执行情况和</w:t>
      </w: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3</w:t>
      </w:r>
      <w:r>
        <w:rPr>
          <w:rFonts w:hint="eastAsia" w:ascii="仿宋_GB2312" w:eastAsia="仿宋_GB2312" w:cs="仿宋_GB2312"/>
          <w:sz w:val="32"/>
          <w:szCs w:val="32"/>
          <w:highlight w:val="none"/>
        </w:rPr>
        <w:t>年财政预算草案，请予审查，并请各位政协委员、特邀和列席人员提出意见。</w:t>
      </w:r>
    </w:p>
    <w:p>
      <w:pPr>
        <w:keepNext w:val="0"/>
        <w:keepLines w:val="0"/>
        <w:pageBreakBefore w:val="0"/>
        <w:widowControl w:val="0"/>
        <w:kinsoku/>
        <w:wordWrap/>
        <w:overflowPunct/>
        <w:topLinePunct w:val="0"/>
        <w:bidi w:val="0"/>
        <w:adjustRightInd w:val="0"/>
        <w:snapToGrid w:val="0"/>
        <w:spacing w:line="580" w:lineRule="exact"/>
        <w:ind w:firstLine="600" w:firstLineChars="200"/>
        <w:textAlignment w:val="auto"/>
        <w:rPr>
          <w:rFonts w:hint="eastAsia" w:ascii="黑体" w:hAnsi="黑体" w:eastAsia="黑体" w:cs="黑体"/>
          <w:sz w:val="32"/>
          <w:szCs w:val="32"/>
        </w:rPr>
      </w:pPr>
      <w:r>
        <w:rPr>
          <w:rFonts w:hint="eastAsia" w:eastAsia="仿宋_GB2312"/>
          <w:sz w:val="30"/>
          <w:szCs w:val="30"/>
        </w:rPr>
        <w:t xml:space="preserve"> </w:t>
      </w:r>
      <w:r>
        <w:rPr>
          <w:rFonts w:hint="eastAsia" w:ascii="黑体" w:hAnsi="黑体" w:eastAsia="黑体" w:cs="黑体"/>
          <w:sz w:val="32"/>
          <w:szCs w:val="32"/>
        </w:rPr>
        <w:t>一、</w:t>
      </w:r>
      <w:r>
        <w:rPr>
          <w:rFonts w:ascii="黑体" w:hAnsi="黑体" w:eastAsia="黑体" w:cs="黑体"/>
          <w:sz w:val="32"/>
          <w:szCs w:val="32"/>
        </w:rPr>
        <w:t>202</w:t>
      </w:r>
      <w:r>
        <w:rPr>
          <w:rFonts w:hint="eastAsia" w:ascii="黑体" w:hAnsi="黑体" w:eastAsia="黑体" w:cs="黑体"/>
          <w:sz w:val="32"/>
          <w:szCs w:val="32"/>
        </w:rPr>
        <w:t>2年财政预算执行情况</w:t>
      </w:r>
    </w:p>
    <w:p>
      <w:pPr>
        <w:pStyle w:val="2"/>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2022年是党和国家历史上极为重要的一年。全县上下坚持以习近平新时代中国特色社会主义思想为指导，以迎接党的二十大胜利召开和学习宣传贯彻党的二十大精神为主线，在县委县政府坚强领导和县人大监督指导下，坚持稳中求进工作总基调，全面落实“三高四新”战略定位和使命任务，统筹疫情防控和经济社会发展，统筹发展和安全，坚决落实积极的财政政策要提质增效，锚定目标、迎难而上，加强财政运行调度，挖掘增收节支潜力，全力保障重点领域支出，全县经济运行稳中有进、稳中向好，预算执行情况总体良好。</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eastAsia="楷体_GB2312"/>
          <w:b/>
          <w:bCs/>
          <w:color w:val="000000"/>
          <w:kern w:val="0"/>
          <w:sz w:val="32"/>
          <w:szCs w:val="32"/>
        </w:rPr>
      </w:pPr>
      <w:r>
        <w:rPr>
          <w:rFonts w:hint="eastAsia" w:eastAsia="楷体_GB2312"/>
          <w:b/>
          <w:bCs/>
          <w:color w:val="000000"/>
          <w:kern w:val="0"/>
          <w:sz w:val="32"/>
          <w:szCs w:val="32"/>
        </w:rPr>
        <w:t>（一）2022年财政预算收支执行情况</w:t>
      </w:r>
    </w:p>
    <w:p>
      <w:pPr>
        <w:keepNext w:val="0"/>
        <w:keepLines w:val="0"/>
        <w:pageBreakBefore w:val="0"/>
        <w:widowControl w:val="0"/>
        <w:kinsoku/>
        <w:wordWrap/>
        <w:overflowPunct/>
        <w:topLinePunct w:val="0"/>
        <w:bidi w:val="0"/>
        <w:adjustRightInd w:val="0"/>
        <w:snapToGrid w:val="0"/>
        <w:spacing w:line="580" w:lineRule="exact"/>
        <w:ind w:firstLine="643" w:firstLineChars="200"/>
        <w:textAlignment w:val="auto"/>
        <w:rPr>
          <w:rFonts w:ascii="仿宋_GB2312" w:hAnsi="仿宋_GB2312" w:eastAsia="仿宋_GB2312"/>
          <w:b/>
          <w:bCs/>
          <w:sz w:val="32"/>
          <w:szCs w:val="32"/>
        </w:rPr>
      </w:pPr>
      <w:r>
        <w:rPr>
          <w:rFonts w:hint="eastAsia" w:ascii="仿宋_GB2312" w:hAnsi="仿宋_GB2312" w:eastAsia="仿宋_GB2312"/>
          <w:b/>
          <w:bCs/>
          <w:sz w:val="32"/>
          <w:szCs w:val="32"/>
        </w:rPr>
        <w:t>1.一般公共预算</w:t>
      </w:r>
    </w:p>
    <w:p>
      <w:pPr>
        <w:keepNext w:val="0"/>
        <w:keepLines w:val="0"/>
        <w:pageBreakBefore w:val="0"/>
        <w:widowControl w:val="0"/>
        <w:kinsoku/>
        <w:wordWrap/>
        <w:overflowPunct/>
        <w:topLinePunct w:val="0"/>
        <w:bidi w:val="0"/>
        <w:adjustRightInd w:val="0"/>
        <w:snapToGrid/>
        <w:spacing w:line="580" w:lineRule="exact"/>
        <w:ind w:firstLine="643" w:firstLineChars="200"/>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b/>
          <w:bCs/>
          <w:sz w:val="32"/>
          <w:szCs w:val="32"/>
        </w:rPr>
        <w:t>收入预算执行情</w:t>
      </w:r>
      <w:r>
        <w:rPr>
          <w:rFonts w:hint="eastAsia" w:ascii="仿宋_GB2312" w:hAnsi="仿宋_GB2312" w:eastAsia="仿宋_GB2312"/>
          <w:b/>
          <w:bCs/>
          <w:kern w:val="0"/>
          <w:sz w:val="32"/>
          <w:szCs w:val="32"/>
        </w:rPr>
        <w:t>况：</w:t>
      </w:r>
      <w:r>
        <w:rPr>
          <w:rFonts w:hint="eastAsia" w:ascii="仿宋_GB2312" w:hAnsi="仿宋_GB2312" w:eastAsia="仿宋_GB2312"/>
          <w:sz w:val="32"/>
          <w:szCs w:val="32"/>
        </w:rPr>
        <w:t>据简表数统计，2022年地方一般公共预算收入完成14.74亿元，比年初预算超收0.71亿元，比上年增加2.04亿元，增长16.06%，排全市第三。其中：地方税收收入11.12亿元，为预算的104.1%，增长15.3%；非税收入3.62</w:t>
      </w:r>
      <w:r>
        <w:rPr>
          <w:rFonts w:hint="eastAsia" w:ascii="仿宋_GB2312" w:hAnsi="仿宋_GB2312" w:eastAsia="仿宋_GB2312" w:cs="Times New Roman"/>
          <w:kern w:val="2"/>
          <w:sz w:val="32"/>
          <w:szCs w:val="32"/>
          <w:lang w:val="en-US" w:eastAsia="zh-CN" w:bidi="ar-SA"/>
        </w:rPr>
        <w:t>亿元，为预算的108%，增长18.32%。地方税收收入占地方一般公共预算收入的比重为75.4%，与上年基本持平。</w:t>
      </w:r>
    </w:p>
    <w:p>
      <w:pPr>
        <w:pStyle w:val="6"/>
        <w:keepNext w:val="0"/>
        <w:keepLines w:val="0"/>
        <w:pageBreakBefore w:val="0"/>
        <w:widowControl w:val="0"/>
        <w:kinsoku/>
        <w:wordWrap/>
        <w:overflowPunct/>
        <w:topLinePunct w:val="0"/>
        <w:autoSpaceDE w:val="0"/>
        <w:autoSpaceDN w:val="0"/>
        <w:bidi w:val="0"/>
        <w:snapToGrid/>
        <w:spacing w:line="580" w:lineRule="exact"/>
        <w:ind w:firstLine="643" w:firstLineChars="200"/>
        <w:textAlignment w:val="auto"/>
        <w:rPr>
          <w:rFonts w:hint="default" w:ascii="仿宋_GB2312" w:hAnsi="仿宋_GB2312" w:eastAsia="仿宋_GB2312"/>
          <w:sz w:val="32"/>
          <w:szCs w:val="32"/>
          <w:lang w:val="en-US" w:eastAsia="zh-CN"/>
        </w:rPr>
      </w:pPr>
      <w:r>
        <w:rPr>
          <w:rFonts w:hint="eastAsia" w:ascii="仿宋_GB2312" w:hAnsi="仿宋_GB2312" w:eastAsia="仿宋_GB2312" w:cs="Times New Roman"/>
          <w:b/>
          <w:bCs/>
          <w:kern w:val="2"/>
          <w:sz w:val="32"/>
          <w:szCs w:val="32"/>
          <w:lang w:val="en-US" w:eastAsia="zh-CN" w:bidi="ar-SA"/>
        </w:rPr>
        <w:t>支出预算执行情况：</w:t>
      </w:r>
      <w:r>
        <w:rPr>
          <w:rFonts w:hint="eastAsia" w:ascii="仿宋_GB2312" w:hAnsi="仿宋_GB2312" w:eastAsia="仿宋_GB2312" w:cs="Times New Roman"/>
          <w:kern w:val="2"/>
          <w:sz w:val="32"/>
          <w:szCs w:val="32"/>
          <w:lang w:val="en-US" w:eastAsia="zh-CN" w:bidi="ar-SA"/>
        </w:rPr>
        <w:t>据简表数统计，2022年全县一般公共预算支出完成51.6亿元，比上年增加4.32亿元，增长9.1%。支出按功能科目分类，主要项目完成情况：教育支出10.78亿元，</w:t>
      </w:r>
      <w:r>
        <w:rPr>
          <w:rFonts w:hint="eastAsia" w:ascii="仿宋_GB2312" w:hAnsi="仿宋_GB2312" w:eastAsia="仿宋_GB2312"/>
          <w:sz w:val="32"/>
          <w:szCs w:val="32"/>
        </w:rPr>
        <w:t>增长7.6%；公共安全支出0.97亿元，减少29.4%；文化体育与传媒支出0.87亿元，增长9.7%，科学技术支出1.7亿元，增长31.4%；社会保障和就业支出11.44亿元，增长26.1%；卫生健康支出9.42亿元，增长21.5%；节能环保支出0.41亿元，减少53.6%；交通运输支出1.14亿元，减少26.3%，农林水事务支出7.30亿元，增长0.2%。</w:t>
      </w:r>
      <w:r>
        <w:rPr>
          <w:rFonts w:hint="eastAsia" w:ascii="仿宋_GB2312" w:hAnsi="仿宋_GB2312" w:eastAsia="仿宋_GB2312"/>
          <w:sz w:val="32"/>
          <w:szCs w:val="32"/>
          <w:lang w:eastAsia="zh-CN"/>
        </w:rPr>
        <w:t>人均公共服务支出达</w:t>
      </w:r>
      <w:r>
        <w:rPr>
          <w:rFonts w:hint="eastAsia" w:ascii="仿宋_GB2312" w:hAnsi="仿宋_GB2312" w:eastAsia="仿宋_GB2312"/>
          <w:sz w:val="32"/>
          <w:szCs w:val="32"/>
          <w:lang w:val="en-US" w:eastAsia="zh-CN"/>
        </w:rPr>
        <w:t>6101元，排全市第二。</w:t>
      </w:r>
    </w:p>
    <w:p>
      <w:pPr>
        <w:pStyle w:val="6"/>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仿宋_GB2312" w:hAnsi="Times New Roman" w:eastAsia="仿宋_GB2312"/>
          <w:sz w:val="32"/>
          <w:szCs w:val="32"/>
        </w:rPr>
      </w:pPr>
      <w:r>
        <w:rPr>
          <w:rFonts w:hint="eastAsia" w:ascii="仿宋_GB2312" w:hAnsi="仿宋_GB2312" w:eastAsia="仿宋_GB2312"/>
          <w:b/>
          <w:bCs/>
          <w:kern w:val="0"/>
          <w:sz w:val="32"/>
          <w:szCs w:val="32"/>
        </w:rPr>
        <w:t>财政收支平衡情况：</w:t>
      </w:r>
      <w:r>
        <w:rPr>
          <w:rFonts w:hint="eastAsia" w:ascii="仿宋_GB2312" w:hAnsi="仿宋_GB2312" w:eastAsia="仿宋_GB2312"/>
          <w:sz w:val="32"/>
          <w:szCs w:val="32"/>
        </w:rPr>
        <w:t>据简表数统计，2022年县本级一般公共预算收入14.74亿元，返还性收入0.83亿元，一般性转移支付收入29.64亿元，专项转移支付收入2.59亿元，债券转贷收入3.5亿元，调入资金3亿元，上年结余0.64亿元。收入合计54.94亿元。减去一般公共预算支出51.6亿元，上解支出0.54亿元，地方政府债券还本支出1.74亿元</w:t>
      </w:r>
      <w:r>
        <w:rPr>
          <w:rFonts w:hint="eastAsia" w:ascii="仿宋_GB2312" w:hAnsi="仿宋_GB2312" w:eastAsia="仿宋_GB2312"/>
          <w:sz w:val="32"/>
          <w:szCs w:val="32"/>
          <w:lang w:eastAsia="zh-CN"/>
        </w:rPr>
        <w:t>，安排预算稳定调节基金</w:t>
      </w:r>
      <w:r>
        <w:rPr>
          <w:rFonts w:hint="eastAsia" w:ascii="仿宋_GB2312" w:hAnsi="仿宋_GB2312" w:eastAsia="仿宋_GB2312"/>
          <w:sz w:val="32"/>
          <w:szCs w:val="32"/>
          <w:lang w:val="en-US" w:eastAsia="zh-CN"/>
        </w:rPr>
        <w:t>0.7亿元</w:t>
      </w:r>
      <w:r>
        <w:rPr>
          <w:rFonts w:hint="eastAsia" w:ascii="仿宋_GB2312" w:hAnsi="仿宋_GB2312" w:eastAsia="仿宋_GB2312"/>
          <w:sz w:val="32"/>
          <w:szCs w:val="32"/>
        </w:rPr>
        <w:t>。2022年年终滚存结余</w:t>
      </w:r>
      <w:r>
        <w:rPr>
          <w:rFonts w:hint="eastAsia" w:ascii="仿宋_GB2312" w:hAnsi="仿宋_GB2312" w:eastAsia="仿宋_GB2312"/>
          <w:sz w:val="32"/>
          <w:szCs w:val="32"/>
          <w:lang w:val="en-US" w:eastAsia="zh-CN"/>
        </w:rPr>
        <w:t>0.35</w:t>
      </w:r>
      <w:r>
        <w:rPr>
          <w:rFonts w:hint="eastAsia" w:ascii="仿宋_GB2312" w:hAnsi="仿宋_GB2312" w:eastAsia="仿宋_GB2312"/>
          <w:sz w:val="32"/>
          <w:szCs w:val="32"/>
        </w:rPr>
        <w:t>亿元。</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仿宋_GB2312" w:hAnsi="仿宋_GB2312" w:eastAsia="仿宋_GB2312"/>
          <w:b/>
          <w:bCs/>
          <w:kern w:val="0"/>
          <w:sz w:val="32"/>
          <w:szCs w:val="32"/>
        </w:rPr>
      </w:pPr>
      <w:r>
        <w:rPr>
          <w:rFonts w:hint="eastAsia" w:ascii="仿宋_GB2312" w:hAnsi="仿宋_GB2312" w:eastAsia="仿宋_GB2312"/>
          <w:b/>
          <w:bCs/>
          <w:kern w:val="0"/>
          <w:sz w:val="32"/>
          <w:szCs w:val="32"/>
        </w:rPr>
        <w:t>2.政府性基金预算</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2022年县本级政府性基金收入完成22.62亿元，比年初预算减少3.68亿元，专项指标收入0.99亿元，专项债</w:t>
      </w:r>
      <w:r>
        <w:rPr>
          <w:rFonts w:hint="eastAsia" w:ascii="仿宋_GB2312" w:hAnsi="仿宋_GB2312" w:eastAsia="仿宋_GB2312" w:cs="仿宋_GB2312"/>
          <w:sz w:val="32"/>
          <w:szCs w:val="32"/>
          <w:lang w:val="en-US" w:eastAsia="zh-CN"/>
        </w:rPr>
        <w:t>券</w:t>
      </w:r>
      <w:r>
        <w:rPr>
          <w:rFonts w:hint="eastAsia" w:ascii="仿宋_GB2312" w:hAnsi="仿宋_GB2312" w:eastAsia="仿宋_GB2312" w:cs="仿宋_GB2312"/>
          <w:sz w:val="32"/>
          <w:szCs w:val="32"/>
        </w:rPr>
        <w:t>转贷收入9.68亿元，上年结余1.62</w:t>
      </w:r>
      <w:r>
        <w:rPr>
          <w:rFonts w:hint="eastAsia" w:ascii="仿宋_GB2312" w:hAnsi="仿宋_GB2312" w:eastAsia="仿宋_GB2312" w:cs="仿宋_GB2312"/>
          <w:sz w:val="32"/>
          <w:szCs w:val="32"/>
          <w:lang w:eastAsia="zh-CN"/>
        </w:rPr>
        <w:t>亿</w:t>
      </w:r>
      <w:r>
        <w:rPr>
          <w:rFonts w:hint="eastAsia" w:ascii="仿宋_GB2312" w:hAnsi="仿宋_GB2312" w:eastAsia="仿宋_GB2312" w:cs="仿宋_GB2312"/>
          <w:sz w:val="32"/>
          <w:szCs w:val="32"/>
        </w:rPr>
        <w:t>元，收入合计34.91亿元。减去政府性基金支出31.25亿元，上解支出 100万元，调出资金3亿元。2022年年终滚存结余0.65亿元。</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仿宋_GB2312" w:hAnsi="仿宋_GB2312" w:eastAsia="仿宋_GB2312"/>
          <w:b/>
          <w:bCs/>
          <w:kern w:val="0"/>
          <w:sz w:val="32"/>
          <w:szCs w:val="32"/>
        </w:rPr>
      </w:pPr>
      <w:r>
        <w:rPr>
          <w:rFonts w:hint="eastAsia" w:ascii="仿宋_GB2312" w:hAnsi="仿宋_GB2312" w:eastAsia="仿宋_GB2312"/>
          <w:b/>
          <w:bCs/>
          <w:kern w:val="0"/>
          <w:sz w:val="32"/>
          <w:szCs w:val="32"/>
        </w:rPr>
        <w:t>3.国有资本经营预算</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2022年我县国有资本经营预算收入</w:t>
      </w:r>
      <w:r>
        <w:rPr>
          <w:rFonts w:hint="eastAsia" w:ascii="仿宋_GB2312" w:hAnsi="仿宋_GB2312" w:eastAsia="仿宋_GB2312"/>
          <w:sz w:val="32"/>
          <w:szCs w:val="32"/>
          <w:lang w:val="en-US" w:eastAsia="zh-CN"/>
        </w:rPr>
        <w:t>861</w:t>
      </w:r>
      <w:r>
        <w:rPr>
          <w:rFonts w:hint="eastAsia" w:ascii="仿宋_GB2312" w:hAnsi="仿宋_GB2312" w:eastAsia="仿宋_GB2312"/>
          <w:sz w:val="32"/>
          <w:szCs w:val="32"/>
        </w:rPr>
        <w:t>万元，为国有企业退休人员社会化管理补助资金，比年初预算增加50万元。2022年国有资本经营预算支出858万元，</w:t>
      </w:r>
      <w:r>
        <w:rPr>
          <w:rFonts w:hint="eastAsia" w:ascii="仿宋_GB2312" w:hAnsi="仿宋_GB2312" w:eastAsia="仿宋_GB2312"/>
          <w:sz w:val="32"/>
          <w:szCs w:val="32"/>
          <w:lang w:val="en-US" w:eastAsia="zh-CN"/>
        </w:rPr>
        <w:t>2022年</w:t>
      </w:r>
      <w:r>
        <w:rPr>
          <w:rFonts w:hint="eastAsia" w:ascii="仿宋_GB2312" w:hAnsi="仿宋_GB2312" w:eastAsia="仿宋_GB2312"/>
          <w:sz w:val="32"/>
          <w:szCs w:val="32"/>
        </w:rPr>
        <w:t>年终</w:t>
      </w:r>
      <w:r>
        <w:rPr>
          <w:rFonts w:hint="eastAsia" w:ascii="仿宋_GB2312" w:hAnsi="仿宋_GB2312" w:eastAsia="仿宋_GB2312"/>
          <w:sz w:val="32"/>
          <w:szCs w:val="32"/>
          <w:lang w:eastAsia="zh-CN"/>
        </w:rPr>
        <w:t>滚存结余</w:t>
      </w:r>
      <w:r>
        <w:rPr>
          <w:rFonts w:hint="eastAsia" w:ascii="仿宋_GB2312" w:hAnsi="仿宋_GB2312" w:eastAsia="仿宋_GB2312"/>
          <w:sz w:val="32"/>
          <w:szCs w:val="32"/>
          <w:lang w:val="en-US" w:eastAsia="zh-CN"/>
        </w:rPr>
        <w:t>3万元</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仿宋_GB2312" w:hAnsi="仿宋_GB2312" w:eastAsia="仿宋_GB2312"/>
          <w:b/>
          <w:bCs/>
          <w:kern w:val="0"/>
          <w:sz w:val="32"/>
          <w:szCs w:val="32"/>
        </w:rPr>
      </w:pPr>
      <w:r>
        <w:rPr>
          <w:rFonts w:hint="eastAsia" w:ascii="仿宋_GB2312" w:hAnsi="仿宋_GB2312" w:eastAsia="仿宋_GB2312"/>
          <w:b/>
          <w:bCs/>
          <w:kern w:val="0"/>
          <w:sz w:val="32"/>
          <w:szCs w:val="32"/>
        </w:rPr>
        <w:t>4.社会保险基金预算</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2022年全县社会保险基金收入完成 5.92亿元，社会保险基金支出完成 5.41亿元，本年收支结余0.51亿元，上年结余</w:t>
      </w:r>
      <w:r>
        <w:rPr>
          <w:rFonts w:hint="eastAsia" w:ascii="仿宋_GB2312" w:hAnsi="仿宋_GB2312" w:eastAsia="仿宋_GB2312"/>
          <w:sz w:val="32"/>
          <w:szCs w:val="32"/>
          <w:lang w:val="en-US" w:eastAsia="zh-CN"/>
        </w:rPr>
        <w:t>4.77</w:t>
      </w:r>
      <w:r>
        <w:rPr>
          <w:rFonts w:hint="eastAsia" w:ascii="仿宋_GB2312" w:hAnsi="仿宋_GB2312" w:eastAsia="仿宋_GB2312"/>
          <w:sz w:val="32"/>
          <w:szCs w:val="32"/>
        </w:rPr>
        <w:t>亿元，2022年年末滚存结余5.28亿元。</w:t>
      </w:r>
    </w:p>
    <w:p>
      <w:pPr>
        <w:keepNext w:val="0"/>
        <w:keepLines w:val="0"/>
        <w:pageBreakBefore w:val="0"/>
        <w:widowControl w:val="0"/>
        <w:kinsoku/>
        <w:wordWrap/>
        <w:overflowPunct/>
        <w:topLinePunct w:val="0"/>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社会保险基金收支主要完成情况：城乡居民养老保险基金收入 2.06亿元，完成年初预算的 103.18％；支出 1.53亿元，完成年初预算的100.27％。机关养老保险基金收入3.82 亿元，完成年初预算的100.05％；支出3.85亿元，完成年初预算的100.80％</w:t>
      </w:r>
      <w:r>
        <w:rPr>
          <w:rFonts w:hint="eastAsia" w:ascii="仿宋_GB2312" w:hAnsi="仿宋_GB2312" w:eastAsia="仿宋_GB2312"/>
          <w:sz w:val="32"/>
          <w:szCs w:val="32"/>
          <w:lang w:val="en-US" w:eastAsia="zh-CN"/>
        </w:rPr>
        <w:t>.失业保险基金收入0.04亿元，完成年初预算的109.14%；支出0.04亿元，完成年初预算的219.1%</w:t>
      </w:r>
      <w:r>
        <w:rPr>
          <w:rFonts w:hint="eastAsia" w:ascii="仿宋_GB2312" w:hAnsi="仿宋_GB2312" w:eastAsia="仿宋_GB2312"/>
          <w:sz w:val="32"/>
          <w:szCs w:val="32"/>
        </w:rPr>
        <w:t>。</w:t>
      </w:r>
    </w:p>
    <w:p>
      <w:pPr>
        <w:keepNext w:val="0"/>
        <w:keepLines w:val="0"/>
        <w:pageBreakBefore w:val="0"/>
        <w:widowControl w:val="0"/>
        <w:kinsoku/>
        <w:wordWrap/>
        <w:overflowPunct/>
        <w:topLinePunct w:val="0"/>
        <w:autoSpaceDE w:val="0"/>
        <w:autoSpaceDN w:val="0"/>
        <w:bidi w:val="0"/>
        <w:adjustRightInd/>
        <w:snapToGrid/>
        <w:spacing w:line="580" w:lineRule="exact"/>
        <w:ind w:firstLine="643" w:firstLineChars="200"/>
        <w:textAlignment w:val="auto"/>
        <w:rPr>
          <w:rFonts w:ascii="仿宋_GB2312" w:hAnsi="仿宋_GB2312" w:eastAsia="仿宋_GB2312"/>
          <w:b/>
          <w:bCs/>
          <w:kern w:val="0"/>
          <w:sz w:val="32"/>
          <w:szCs w:val="32"/>
        </w:rPr>
      </w:pPr>
      <w:r>
        <w:rPr>
          <w:rFonts w:hint="eastAsia" w:ascii="仿宋_GB2312" w:hAnsi="仿宋_GB2312" w:eastAsia="仿宋_GB2312"/>
          <w:b/>
          <w:bCs/>
          <w:kern w:val="0"/>
          <w:sz w:val="32"/>
          <w:szCs w:val="32"/>
        </w:rPr>
        <w:t>5.地方政府债务情况</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省财政厅核定我县2022年底地方政府债务限额为57.81亿元。其中，一般债务27.45亿元，专项债务30.36亿元。</w:t>
      </w:r>
    </w:p>
    <w:p>
      <w:pPr>
        <w:keepNext w:val="0"/>
        <w:keepLines w:val="0"/>
        <w:pageBreakBefore w:val="0"/>
        <w:widowControl w:val="0"/>
        <w:kinsoku/>
        <w:wordWrap/>
        <w:overflowPunct/>
        <w:topLinePunct w:val="0"/>
        <w:autoSpaceDE w:val="0"/>
        <w:autoSpaceDN w:val="0"/>
        <w:bidi w:val="0"/>
        <w:adjustRightInd/>
        <w:snapToGrid/>
        <w:spacing w:line="58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rPr>
        <w:t>2022年全年争取新增政府债券11.44亿元，其中一般债券1.76亿元，专项债券9.68亿元，截至2022年底政府债务余额57.81亿元，</w:t>
      </w:r>
      <w:r>
        <w:rPr>
          <w:rFonts w:hint="eastAsia" w:ascii="仿宋_GB2312" w:hAnsi="仿宋_GB2312" w:eastAsia="仿宋_GB2312"/>
          <w:sz w:val="32"/>
          <w:szCs w:val="32"/>
          <w:lang w:eastAsia="zh-CN"/>
        </w:rPr>
        <w:t>其中，</w:t>
      </w:r>
      <w:r>
        <w:rPr>
          <w:rFonts w:hint="eastAsia" w:ascii="仿宋_GB2312" w:hAnsi="仿宋_GB2312" w:eastAsia="仿宋_GB2312"/>
          <w:sz w:val="32"/>
          <w:szCs w:val="32"/>
        </w:rPr>
        <w:t>一般债务27.45亿元，专项债务30.36亿元</w:t>
      </w:r>
      <w:r>
        <w:rPr>
          <w:rFonts w:hint="eastAsia" w:ascii="仿宋_GB2312" w:hAnsi="仿宋_GB2312" w:eastAsia="仿宋_GB2312"/>
          <w:sz w:val="32"/>
          <w:szCs w:val="32"/>
          <w:lang w:eastAsia="zh-CN"/>
        </w:rPr>
        <w:t>。债务余额</w:t>
      </w:r>
      <w:r>
        <w:rPr>
          <w:rFonts w:hint="eastAsia" w:ascii="仿宋_GB2312" w:hAnsi="仿宋_GB2312" w:eastAsia="仿宋_GB2312"/>
          <w:sz w:val="32"/>
          <w:szCs w:val="32"/>
        </w:rPr>
        <w:t>与债务限额持平。</w:t>
      </w:r>
    </w:p>
    <w:p>
      <w:pPr>
        <w:keepNext w:val="0"/>
        <w:keepLines w:val="0"/>
        <w:pageBreakBefore w:val="0"/>
        <w:numPr>
          <w:ilvl w:val="0"/>
          <w:numId w:val="1"/>
        </w:numPr>
        <w:wordWrap/>
        <w:overflowPunct/>
        <w:topLinePunct w:val="0"/>
        <w:bidi w:val="0"/>
        <w:spacing w:line="580" w:lineRule="exact"/>
        <w:ind w:firstLine="640" w:firstLineChars="200"/>
        <w:textAlignment w:val="auto"/>
        <w:rPr>
          <w:rFonts w:eastAsia="黑体"/>
          <w:color w:val="000000"/>
          <w:sz w:val="32"/>
          <w:szCs w:val="32"/>
        </w:rPr>
      </w:pPr>
      <w:r>
        <w:rPr>
          <w:rFonts w:eastAsia="黑体"/>
          <w:color w:val="000000"/>
          <w:sz w:val="32"/>
          <w:szCs w:val="32"/>
        </w:rPr>
        <w:t>人大预算决议和主要财政政策落实情况</w:t>
      </w:r>
    </w:p>
    <w:p>
      <w:pPr>
        <w:keepNext w:val="0"/>
        <w:keepLines w:val="0"/>
        <w:pageBreakBefore w:val="0"/>
        <w:wordWrap/>
        <w:overflowPunct/>
        <w:topLinePunct w:val="0"/>
        <w:bidi w:val="0"/>
        <w:spacing w:line="580" w:lineRule="exact"/>
        <w:ind w:firstLine="640" w:firstLineChars="200"/>
        <w:textAlignment w:val="auto"/>
        <w:rPr>
          <w:rFonts w:eastAsia="仿宋_GB2312"/>
          <w:color w:val="000000"/>
          <w:sz w:val="32"/>
          <w:szCs w:val="32"/>
        </w:rPr>
      </w:pPr>
      <w:r>
        <w:rPr>
          <w:rFonts w:eastAsia="仿宋_GB2312"/>
          <w:color w:val="000000"/>
          <w:sz w:val="32"/>
          <w:szCs w:val="32"/>
        </w:rPr>
        <w:t>2022年，我们认真贯彻党中央、国务院和上级决策部署，对照县人大有关决议要求和财经委员会审查意见，全面落实疫情要防住、经济要稳住、发展要安全</w:t>
      </w:r>
      <w:r>
        <w:rPr>
          <w:rFonts w:hint="eastAsia" w:eastAsia="仿宋_GB2312"/>
          <w:color w:val="000000"/>
          <w:sz w:val="32"/>
          <w:szCs w:val="32"/>
        </w:rPr>
        <w:t>的总体</w:t>
      </w:r>
      <w:r>
        <w:rPr>
          <w:rFonts w:eastAsia="仿宋_GB2312"/>
          <w:color w:val="000000"/>
          <w:sz w:val="32"/>
          <w:szCs w:val="32"/>
        </w:rPr>
        <w:t>要求，加大宏观调控力度，深化预算管理改革，防范化解重大风险，为全县经济社会稳健发展提供了有力支持。</w:t>
      </w:r>
    </w:p>
    <w:p>
      <w:pPr>
        <w:keepNext w:val="0"/>
        <w:keepLines w:val="0"/>
        <w:pageBreakBefore w:val="0"/>
        <w:wordWrap/>
        <w:overflowPunct/>
        <w:topLinePunct w:val="0"/>
        <w:bidi w:val="0"/>
        <w:spacing w:line="580" w:lineRule="exact"/>
        <w:ind w:firstLine="643" w:firstLineChars="200"/>
        <w:textAlignment w:val="auto"/>
      </w:pPr>
      <w:r>
        <w:rPr>
          <w:rFonts w:eastAsia="楷体_GB2312"/>
          <w:b/>
          <w:bCs/>
          <w:color w:val="000000"/>
          <w:kern w:val="0"/>
          <w:sz w:val="32"/>
          <w:szCs w:val="32"/>
        </w:rPr>
        <w:t>（</w:t>
      </w:r>
      <w:r>
        <w:rPr>
          <w:rFonts w:hint="eastAsia" w:eastAsia="楷体_GB2312"/>
          <w:b/>
          <w:bCs/>
          <w:color w:val="000000"/>
          <w:kern w:val="0"/>
          <w:sz w:val="32"/>
          <w:szCs w:val="32"/>
        </w:rPr>
        <w:t>一</w:t>
      </w:r>
      <w:r>
        <w:rPr>
          <w:rFonts w:eastAsia="楷体_GB2312"/>
          <w:b/>
          <w:bCs/>
          <w:color w:val="000000"/>
          <w:kern w:val="0"/>
          <w:sz w:val="32"/>
          <w:szCs w:val="32"/>
        </w:rPr>
        <w:t>）积极作为，全力以赴稳经济大盘。</w:t>
      </w:r>
      <w:r>
        <w:rPr>
          <w:rFonts w:eastAsia="仿宋_GB2312"/>
          <w:color w:val="000000"/>
          <w:sz w:val="32"/>
          <w:szCs w:val="32"/>
        </w:rPr>
        <w:t>面对需求收缩、供给冲击、预期转弱三重压力，财政部门按照中央和省稳经济一揽子政策和接续措施部署，</w:t>
      </w:r>
      <w:r>
        <w:rPr>
          <w:rFonts w:hint="eastAsia" w:ascii="仿宋_GB2312" w:hAnsi="仿宋_GB2312" w:eastAsia="仿宋_GB2312" w:cs="仿宋_GB2312"/>
          <w:color w:val="000000"/>
          <w:kern w:val="0"/>
          <w:sz w:val="32"/>
          <w:szCs w:val="32"/>
        </w:rPr>
        <w:t>主动作为，确保增值税留抵退税、小微企业缓缴税费、稳岗位提技能等政策措施落地见效。</w:t>
      </w:r>
      <w:r>
        <w:rPr>
          <w:rFonts w:eastAsia="仿宋_GB2312"/>
          <w:b/>
          <w:bCs/>
          <w:color w:val="000000"/>
          <w:sz w:val="32"/>
          <w:szCs w:val="32"/>
        </w:rPr>
        <w:t>一是落实税费支持政策。</w:t>
      </w:r>
      <w:r>
        <w:rPr>
          <w:rFonts w:eastAsia="仿宋_GB2312"/>
          <w:color w:val="000000"/>
          <w:sz w:val="32"/>
          <w:szCs w:val="32"/>
        </w:rPr>
        <w:t>扎实推进国家更大力度减税降费政策在我县落实落地，今年</w:t>
      </w:r>
      <w:r>
        <w:rPr>
          <w:rFonts w:hint="eastAsia" w:eastAsia="仿宋_GB2312"/>
          <w:color w:val="000000"/>
          <w:sz w:val="32"/>
          <w:szCs w:val="32"/>
          <w:lang w:val="en-US" w:eastAsia="zh-CN"/>
        </w:rPr>
        <w:t>以</w:t>
      </w:r>
      <w:r>
        <w:rPr>
          <w:rFonts w:eastAsia="仿宋_GB2312"/>
          <w:color w:val="000000"/>
          <w:sz w:val="32"/>
          <w:szCs w:val="32"/>
        </w:rPr>
        <w:t>来全县</w:t>
      </w:r>
      <w:r>
        <w:rPr>
          <w:rFonts w:hint="eastAsia" w:eastAsia="仿宋_GB2312"/>
          <w:color w:val="000000"/>
          <w:sz w:val="32"/>
          <w:szCs w:val="32"/>
        </w:rPr>
        <w:t>新增减税降费2.08亿</w:t>
      </w:r>
      <w:r>
        <w:rPr>
          <w:rFonts w:eastAsia="仿宋_GB2312"/>
          <w:color w:val="000000"/>
          <w:sz w:val="32"/>
          <w:szCs w:val="32"/>
        </w:rPr>
        <w:t>元，其中增值税留抵退税</w:t>
      </w:r>
      <w:r>
        <w:rPr>
          <w:rFonts w:hint="eastAsia" w:eastAsia="仿宋_GB2312"/>
          <w:color w:val="000000"/>
          <w:sz w:val="32"/>
          <w:szCs w:val="32"/>
        </w:rPr>
        <w:t>6793</w:t>
      </w:r>
      <w:r>
        <w:rPr>
          <w:rFonts w:eastAsia="仿宋_GB2312"/>
          <w:color w:val="000000"/>
          <w:sz w:val="32"/>
          <w:szCs w:val="32"/>
        </w:rPr>
        <w:t>万元。落实稳岗补贴、技能提升补贴、社保降费等援企稳岗政策，及时拨付就业工作重点群体的社保补贴、岗位补贴、就业见习补贴、技能鉴定补贴等资金。</w:t>
      </w:r>
      <w:r>
        <w:rPr>
          <w:rFonts w:eastAsia="仿宋_GB2312"/>
          <w:b/>
          <w:bCs/>
          <w:color w:val="000000"/>
          <w:sz w:val="32"/>
          <w:szCs w:val="32"/>
        </w:rPr>
        <w:t>二是充分发挥政府性融资担保机构作用。</w:t>
      </w:r>
      <w:r>
        <w:rPr>
          <w:rFonts w:eastAsia="仿宋_GB2312"/>
          <w:color w:val="000000"/>
          <w:sz w:val="32"/>
          <w:szCs w:val="32"/>
        </w:rPr>
        <w:t>通过提高分险比例、简化操作程序、提升担保额度、降低担保费率等措施，进一步扩大我县小微企业、三农主体融资担保业务规模。2022年政府性融资担保在保余额</w:t>
      </w:r>
      <w:r>
        <w:rPr>
          <w:rFonts w:hint="eastAsia" w:eastAsia="仿宋_GB2312"/>
          <w:color w:val="000000"/>
          <w:sz w:val="32"/>
          <w:szCs w:val="32"/>
        </w:rPr>
        <w:t>8860</w:t>
      </w:r>
      <w:r>
        <w:rPr>
          <w:rFonts w:eastAsia="仿宋_GB2312"/>
          <w:color w:val="000000"/>
          <w:sz w:val="32"/>
          <w:szCs w:val="32"/>
        </w:rPr>
        <w:t>万元（其中县农</w:t>
      </w:r>
      <w:r>
        <w:rPr>
          <w:rFonts w:hint="eastAsia" w:eastAsia="仿宋_GB2312"/>
          <w:color w:val="000000"/>
          <w:sz w:val="32"/>
          <w:szCs w:val="32"/>
        </w:rPr>
        <w:t>担2730</w:t>
      </w:r>
      <w:r>
        <w:rPr>
          <w:rFonts w:eastAsia="仿宋_GB2312"/>
          <w:color w:val="000000"/>
          <w:sz w:val="32"/>
          <w:szCs w:val="32"/>
        </w:rPr>
        <w:t>万元），县财政局获得市财政局的先进集体荣誉称号。</w:t>
      </w:r>
      <w:r>
        <w:rPr>
          <w:rFonts w:eastAsia="仿宋_GB2312"/>
          <w:b/>
          <w:bCs/>
          <w:color w:val="000000"/>
          <w:sz w:val="32"/>
          <w:szCs w:val="32"/>
        </w:rPr>
        <w:t>三是加大政府采购支持中小企业力度。</w:t>
      </w:r>
      <w:r>
        <w:rPr>
          <w:rFonts w:eastAsia="仿宋_GB2312"/>
          <w:color w:val="000000"/>
          <w:sz w:val="32"/>
          <w:szCs w:val="32"/>
        </w:rPr>
        <w:t>2022年全县限额以下面向中小企业采购、直购完成</w:t>
      </w:r>
      <w:r>
        <w:rPr>
          <w:rFonts w:hint="eastAsia" w:eastAsia="仿宋_GB2312"/>
          <w:color w:val="000000"/>
          <w:sz w:val="32"/>
          <w:szCs w:val="32"/>
        </w:rPr>
        <w:t>1.93亿</w:t>
      </w:r>
      <w:r>
        <w:rPr>
          <w:rFonts w:eastAsia="仿宋_GB2312"/>
          <w:color w:val="000000"/>
          <w:sz w:val="32"/>
          <w:szCs w:val="32"/>
        </w:rPr>
        <w:t>元，限额以上预留份额面向中小企业采购完成</w:t>
      </w:r>
      <w:r>
        <w:rPr>
          <w:rFonts w:hint="eastAsia" w:eastAsia="仿宋_GB2312"/>
          <w:color w:val="000000"/>
          <w:sz w:val="32"/>
          <w:szCs w:val="32"/>
        </w:rPr>
        <w:t>0.74亿</w:t>
      </w:r>
      <w:r>
        <w:rPr>
          <w:rFonts w:eastAsia="仿宋_GB2312"/>
          <w:color w:val="000000"/>
          <w:sz w:val="32"/>
          <w:szCs w:val="32"/>
        </w:rPr>
        <w:t>元，面向小微企业提高价格扣除比例完成</w:t>
      </w:r>
      <w:r>
        <w:rPr>
          <w:rFonts w:hint="eastAsia" w:eastAsia="仿宋_GB2312"/>
          <w:color w:val="000000"/>
          <w:sz w:val="32"/>
          <w:szCs w:val="32"/>
        </w:rPr>
        <w:t>1.09亿</w:t>
      </w:r>
      <w:r>
        <w:rPr>
          <w:rFonts w:eastAsia="仿宋_GB2312"/>
          <w:color w:val="000000"/>
          <w:sz w:val="32"/>
          <w:szCs w:val="32"/>
        </w:rPr>
        <w:t>元。</w:t>
      </w:r>
      <w:r>
        <w:rPr>
          <w:rFonts w:eastAsia="仿宋_GB2312"/>
          <w:b/>
          <w:bCs/>
          <w:color w:val="000000"/>
          <w:sz w:val="32"/>
          <w:szCs w:val="32"/>
        </w:rPr>
        <w:t>四是落实减免租金政策。</w:t>
      </w:r>
      <w:r>
        <w:rPr>
          <w:rFonts w:hint="eastAsia" w:eastAsia="仿宋_GB2312"/>
          <w:color w:val="000000"/>
          <w:sz w:val="32"/>
          <w:szCs w:val="32"/>
        </w:rPr>
        <w:t>2022年</w:t>
      </w:r>
      <w:r>
        <w:rPr>
          <w:rFonts w:eastAsia="仿宋_GB2312"/>
          <w:color w:val="000000"/>
          <w:sz w:val="32"/>
          <w:szCs w:val="32"/>
        </w:rPr>
        <w:t>为</w:t>
      </w:r>
      <w:r>
        <w:rPr>
          <w:rFonts w:hint="eastAsia" w:eastAsia="仿宋_GB2312"/>
          <w:color w:val="000000"/>
          <w:sz w:val="32"/>
          <w:szCs w:val="32"/>
        </w:rPr>
        <w:t>全县574户</w:t>
      </w:r>
      <w:r>
        <w:rPr>
          <w:rFonts w:eastAsia="仿宋_GB2312"/>
          <w:color w:val="000000"/>
          <w:sz w:val="32"/>
          <w:szCs w:val="32"/>
        </w:rPr>
        <w:t>服务业中小微企业和个体工商户减免租金</w:t>
      </w:r>
      <w:r>
        <w:rPr>
          <w:rFonts w:hint="eastAsia" w:eastAsia="仿宋_GB2312"/>
          <w:color w:val="000000"/>
          <w:sz w:val="32"/>
          <w:szCs w:val="32"/>
        </w:rPr>
        <w:t>520</w:t>
      </w:r>
      <w:r>
        <w:rPr>
          <w:rFonts w:eastAsia="仿宋_GB2312"/>
          <w:color w:val="000000"/>
          <w:sz w:val="32"/>
          <w:szCs w:val="32"/>
        </w:rPr>
        <w:t>万</w:t>
      </w:r>
      <w:r>
        <w:rPr>
          <w:rFonts w:hint="eastAsia" w:eastAsia="仿宋_GB2312"/>
          <w:color w:val="000000"/>
          <w:sz w:val="32"/>
          <w:szCs w:val="32"/>
        </w:rPr>
        <w:t>元</w:t>
      </w:r>
      <w:r>
        <w:rPr>
          <w:rFonts w:eastAsia="仿宋_GB2312"/>
          <w:color w:val="000000"/>
          <w:sz w:val="32"/>
          <w:szCs w:val="32"/>
        </w:rPr>
        <w:t>。</w:t>
      </w:r>
    </w:p>
    <w:p>
      <w:pPr>
        <w:keepNext w:val="0"/>
        <w:keepLines w:val="0"/>
        <w:pageBreakBefore w:val="0"/>
        <w:wordWrap/>
        <w:overflowPunct/>
        <w:topLinePunct w:val="0"/>
        <w:bidi w:val="0"/>
        <w:spacing w:line="580" w:lineRule="exact"/>
        <w:ind w:firstLine="643" w:firstLineChars="200"/>
        <w:textAlignment w:val="auto"/>
        <w:rPr>
          <w:rFonts w:eastAsia="仿宋_GB2312"/>
          <w:color w:val="000000"/>
          <w:sz w:val="32"/>
          <w:szCs w:val="32"/>
        </w:rPr>
      </w:pPr>
      <w:r>
        <w:rPr>
          <w:rFonts w:eastAsia="楷体_GB2312"/>
          <w:b/>
          <w:bCs/>
          <w:color w:val="000000"/>
          <w:sz w:val="32"/>
          <w:szCs w:val="32"/>
        </w:rPr>
        <w:t>（</w:t>
      </w:r>
      <w:r>
        <w:rPr>
          <w:rFonts w:hint="eastAsia" w:eastAsia="楷体_GB2312"/>
          <w:b/>
          <w:bCs/>
          <w:color w:val="000000"/>
          <w:sz w:val="32"/>
          <w:szCs w:val="32"/>
        </w:rPr>
        <w:t>二</w:t>
      </w:r>
      <w:r>
        <w:rPr>
          <w:rFonts w:eastAsia="楷体_GB2312"/>
          <w:b/>
          <w:bCs/>
          <w:color w:val="000000"/>
          <w:sz w:val="32"/>
          <w:szCs w:val="32"/>
        </w:rPr>
        <w:t>）强化措施，推动收入高质量增长。</w:t>
      </w:r>
      <w:r>
        <w:rPr>
          <w:rFonts w:eastAsia="仿宋_GB2312"/>
          <w:color w:val="000000"/>
          <w:sz w:val="32"/>
          <w:szCs w:val="32"/>
        </w:rPr>
        <w:t>全县财税部门自觉服务全县经济社会发展大局，克服经济下行、疫情冲击和极端天气等困难，不折不扣落实退减缓税费优惠政策，持续优化纳税缴费服务，推动财政收入高质量增长。</w:t>
      </w:r>
      <w:r>
        <w:rPr>
          <w:rFonts w:eastAsia="仿宋_GB2312"/>
          <w:b/>
          <w:bCs/>
          <w:color w:val="000000"/>
          <w:sz w:val="32"/>
          <w:szCs w:val="32"/>
        </w:rPr>
        <w:t>一是</w:t>
      </w:r>
      <w:r>
        <w:rPr>
          <w:rFonts w:hint="eastAsia" w:eastAsia="仿宋_GB2312"/>
          <w:b/>
          <w:bCs/>
          <w:color w:val="000000"/>
          <w:sz w:val="32"/>
          <w:szCs w:val="32"/>
        </w:rPr>
        <w:t>夯实财源，财政收入稳中有进。</w:t>
      </w:r>
      <w:r>
        <w:rPr>
          <w:rFonts w:hint="eastAsia" w:eastAsia="仿宋_GB2312"/>
          <w:color w:val="000000"/>
          <w:sz w:val="32"/>
          <w:szCs w:val="32"/>
        </w:rPr>
        <w:t>按照年初预算既定的收入目标，组建收入专班，明确职责分工、制定责任清单，</w:t>
      </w:r>
      <w:r>
        <w:rPr>
          <w:rFonts w:eastAsia="仿宋_GB2312"/>
          <w:color w:val="000000"/>
          <w:sz w:val="32"/>
          <w:szCs w:val="32"/>
        </w:rPr>
        <w:t>深入挖掘增收潜力，加强重点税源和重点税种监控，定期研判收入运行情况，精准把控收入动态，保质保量完成全年财政收入目标任务。</w:t>
      </w:r>
      <w:r>
        <w:rPr>
          <w:rFonts w:hint="eastAsia" w:eastAsia="仿宋_GB2312"/>
          <w:color w:val="000000"/>
          <w:sz w:val="32"/>
          <w:szCs w:val="32"/>
        </w:rPr>
        <w:t>2022年我县引进紫金矿业、亿玮锂能、山东瑞福锂业公司等上市公司，前期股权交易产生的税收达4.56亿元，地方所得1.28亿元。</w:t>
      </w:r>
      <w:r>
        <w:rPr>
          <w:rFonts w:eastAsia="仿宋_GB2312"/>
          <w:color w:val="000000"/>
          <w:sz w:val="32"/>
          <w:szCs w:val="32"/>
        </w:rPr>
        <w:t>2022年全县地方一般公共预算收入增长</w:t>
      </w:r>
      <w:r>
        <w:rPr>
          <w:rFonts w:hint="eastAsia" w:eastAsia="仿宋_GB2312"/>
          <w:color w:val="000000"/>
          <w:sz w:val="32"/>
          <w:szCs w:val="32"/>
        </w:rPr>
        <w:t>16.06</w:t>
      </w:r>
      <w:r>
        <w:rPr>
          <w:rFonts w:eastAsia="仿宋_GB2312"/>
          <w:color w:val="000000"/>
          <w:sz w:val="32"/>
          <w:szCs w:val="32"/>
        </w:rPr>
        <w:t>%，增幅排全市第</w:t>
      </w:r>
      <w:r>
        <w:rPr>
          <w:rFonts w:hint="eastAsia" w:eastAsia="仿宋_GB2312"/>
          <w:color w:val="000000"/>
          <w:sz w:val="32"/>
          <w:szCs w:val="32"/>
        </w:rPr>
        <w:t>3</w:t>
      </w:r>
      <w:r>
        <w:rPr>
          <w:rFonts w:eastAsia="仿宋_GB2312"/>
          <w:color w:val="000000"/>
          <w:sz w:val="32"/>
          <w:szCs w:val="32"/>
        </w:rPr>
        <w:t>，高于全市财政收入增幅</w:t>
      </w:r>
      <w:r>
        <w:rPr>
          <w:rFonts w:hint="eastAsia" w:eastAsia="仿宋_GB2312"/>
          <w:color w:val="000000"/>
          <w:sz w:val="32"/>
          <w:szCs w:val="32"/>
        </w:rPr>
        <w:t>5.9</w:t>
      </w:r>
      <w:r>
        <w:rPr>
          <w:rFonts w:eastAsia="仿宋_GB2312"/>
          <w:color w:val="000000"/>
          <w:sz w:val="32"/>
          <w:szCs w:val="32"/>
        </w:rPr>
        <w:t>个百分点。</w:t>
      </w:r>
      <w:r>
        <w:rPr>
          <w:rFonts w:hint="eastAsia" w:eastAsia="仿宋_GB2312"/>
          <w:b/>
          <w:bCs/>
          <w:color w:val="000000"/>
          <w:sz w:val="32"/>
          <w:szCs w:val="32"/>
        </w:rPr>
        <w:t>二</w:t>
      </w:r>
      <w:r>
        <w:rPr>
          <w:rFonts w:eastAsia="仿宋_GB2312"/>
          <w:b/>
          <w:bCs/>
          <w:color w:val="000000"/>
          <w:sz w:val="32"/>
          <w:szCs w:val="32"/>
        </w:rPr>
        <w:t>是积极向上争资。</w:t>
      </w:r>
      <w:r>
        <w:rPr>
          <w:rFonts w:eastAsia="仿宋_GB2312"/>
          <w:color w:val="000000"/>
          <w:sz w:val="32"/>
          <w:szCs w:val="32"/>
        </w:rPr>
        <w:t>主动对接中央、省级财政政策走向及资金安排重点，积极</w:t>
      </w:r>
      <w:r>
        <w:rPr>
          <w:rFonts w:hint="eastAsia" w:eastAsia="仿宋_GB2312"/>
          <w:color w:val="000000"/>
          <w:sz w:val="32"/>
          <w:szCs w:val="32"/>
          <w:lang w:val="en-US" w:eastAsia="zh-CN"/>
        </w:rPr>
        <w:t>引导有关部门</w:t>
      </w:r>
      <w:r>
        <w:rPr>
          <w:rFonts w:eastAsia="仿宋_GB2312"/>
          <w:color w:val="000000"/>
          <w:sz w:val="32"/>
          <w:szCs w:val="32"/>
        </w:rPr>
        <w:t>做好项目的规划、筛选、申报工作，共争取新增</w:t>
      </w:r>
      <w:r>
        <w:rPr>
          <w:rFonts w:hint="eastAsia" w:eastAsia="仿宋_GB2312"/>
          <w:color w:val="000000"/>
          <w:sz w:val="32"/>
          <w:szCs w:val="32"/>
        </w:rPr>
        <w:t>政府债券资金11.44亿元（较上年增加1.13亿元</w:t>
      </w:r>
      <w:r>
        <w:rPr>
          <w:rFonts w:hint="eastAsia" w:eastAsia="仿宋_GB2312"/>
          <w:color w:val="000000"/>
          <w:sz w:val="32"/>
          <w:szCs w:val="32"/>
          <w:lang w:eastAsia="zh-CN"/>
        </w:rPr>
        <w:t>，增幅</w:t>
      </w:r>
      <w:r>
        <w:rPr>
          <w:rFonts w:hint="eastAsia" w:eastAsia="仿宋_GB2312"/>
          <w:color w:val="000000"/>
          <w:sz w:val="32"/>
          <w:szCs w:val="32"/>
          <w:lang w:val="en-US" w:eastAsia="zh-CN"/>
        </w:rPr>
        <w:t>10.96%</w:t>
      </w:r>
      <w:r>
        <w:rPr>
          <w:rFonts w:hint="eastAsia" w:eastAsia="仿宋_GB2312"/>
          <w:color w:val="000000"/>
          <w:sz w:val="32"/>
          <w:szCs w:val="32"/>
        </w:rPr>
        <w:t>），其中：</w:t>
      </w:r>
      <w:r>
        <w:rPr>
          <w:rFonts w:eastAsia="仿宋_GB2312"/>
          <w:color w:val="000000"/>
          <w:sz w:val="32"/>
          <w:szCs w:val="32"/>
        </w:rPr>
        <w:t>一般债券</w:t>
      </w:r>
      <w:r>
        <w:rPr>
          <w:rFonts w:hint="eastAsia" w:eastAsia="仿宋_GB2312"/>
          <w:color w:val="000000"/>
          <w:sz w:val="32"/>
          <w:szCs w:val="32"/>
        </w:rPr>
        <w:t>1.76亿</w:t>
      </w:r>
      <w:r>
        <w:rPr>
          <w:rFonts w:eastAsia="仿宋_GB2312"/>
          <w:color w:val="000000"/>
          <w:sz w:val="32"/>
          <w:szCs w:val="32"/>
        </w:rPr>
        <w:t>元</w:t>
      </w:r>
      <w:r>
        <w:rPr>
          <w:rFonts w:hint="eastAsia" w:eastAsia="仿宋_GB2312"/>
          <w:color w:val="000000"/>
          <w:sz w:val="32"/>
          <w:szCs w:val="32"/>
        </w:rPr>
        <w:t>，</w:t>
      </w:r>
      <w:r>
        <w:rPr>
          <w:rFonts w:eastAsia="仿宋_GB2312"/>
          <w:color w:val="000000"/>
          <w:sz w:val="32"/>
          <w:szCs w:val="32"/>
        </w:rPr>
        <w:t>专项债券</w:t>
      </w:r>
      <w:r>
        <w:rPr>
          <w:rFonts w:hint="eastAsia" w:eastAsia="仿宋_GB2312"/>
          <w:color w:val="000000"/>
          <w:sz w:val="32"/>
          <w:szCs w:val="32"/>
        </w:rPr>
        <w:t>9.68亿</w:t>
      </w:r>
      <w:r>
        <w:rPr>
          <w:rFonts w:eastAsia="仿宋_GB2312"/>
          <w:color w:val="000000"/>
          <w:sz w:val="32"/>
          <w:szCs w:val="32"/>
        </w:rPr>
        <w:t>元</w:t>
      </w:r>
      <w:r>
        <w:rPr>
          <w:rFonts w:hint="eastAsia" w:eastAsia="仿宋_GB2312"/>
          <w:color w:val="000000"/>
          <w:sz w:val="32"/>
          <w:szCs w:val="32"/>
          <w:lang w:eastAsia="zh-CN"/>
        </w:rPr>
        <w:t>；</w:t>
      </w:r>
      <w:r>
        <w:rPr>
          <w:rFonts w:eastAsia="仿宋_GB2312"/>
          <w:color w:val="000000"/>
          <w:sz w:val="32"/>
          <w:szCs w:val="32"/>
        </w:rPr>
        <w:t>一般性转移支付资金</w:t>
      </w:r>
      <w:r>
        <w:rPr>
          <w:rFonts w:hint="eastAsia" w:eastAsia="仿宋_GB2312"/>
          <w:color w:val="000000"/>
          <w:sz w:val="32"/>
          <w:szCs w:val="32"/>
          <w:lang w:val="en-US" w:eastAsia="zh-CN"/>
        </w:rPr>
        <w:t>29.63</w:t>
      </w:r>
      <w:r>
        <w:rPr>
          <w:rFonts w:eastAsia="仿宋_GB2312"/>
          <w:color w:val="000000"/>
          <w:sz w:val="32"/>
          <w:szCs w:val="32"/>
        </w:rPr>
        <w:t>万元，较上年增长</w:t>
      </w:r>
      <w:r>
        <w:rPr>
          <w:rFonts w:hint="eastAsia" w:eastAsia="仿宋_GB2312"/>
          <w:color w:val="000000"/>
          <w:sz w:val="32"/>
          <w:szCs w:val="32"/>
          <w:lang w:val="en-US" w:eastAsia="zh-CN"/>
        </w:rPr>
        <w:t>12.7</w:t>
      </w:r>
      <w:r>
        <w:rPr>
          <w:rFonts w:eastAsia="仿宋_GB2312"/>
          <w:color w:val="000000"/>
          <w:sz w:val="32"/>
          <w:szCs w:val="32"/>
        </w:rPr>
        <w:t>%，其中抢抓实施增值税留抵退税政策机遇，争取补充县区财力转移支付</w:t>
      </w:r>
      <w:r>
        <w:rPr>
          <w:rFonts w:hint="eastAsia" w:eastAsia="仿宋_GB2312"/>
          <w:color w:val="000000"/>
          <w:sz w:val="32"/>
          <w:szCs w:val="32"/>
        </w:rPr>
        <w:t>1.51亿</w:t>
      </w:r>
      <w:r>
        <w:rPr>
          <w:rFonts w:eastAsia="仿宋_GB2312"/>
          <w:color w:val="000000"/>
          <w:sz w:val="32"/>
          <w:szCs w:val="32"/>
        </w:rPr>
        <w:t>元。</w:t>
      </w:r>
      <w:r>
        <w:rPr>
          <w:rFonts w:hint="eastAsia" w:eastAsia="仿宋_GB2312"/>
          <w:b/>
          <w:bCs/>
          <w:color w:val="000000"/>
          <w:sz w:val="32"/>
          <w:szCs w:val="32"/>
        </w:rPr>
        <w:t>三是多措并举盘活“三资”。</w:t>
      </w:r>
      <w:r>
        <w:rPr>
          <w:rFonts w:hint="eastAsia" w:eastAsia="仿宋_GB2312"/>
          <w:color w:val="000000"/>
          <w:sz w:val="32"/>
          <w:szCs w:val="32"/>
        </w:rPr>
        <w:t>2022年度通过开展专户清理、项目清查，共收回闲置资金0.34亿元，取消低效、无效使用的资金2.09亿元；通过“用、售、融、租”的多种灵活方式，盘活闲置资产99处，实现</w:t>
      </w:r>
      <w:r>
        <w:rPr>
          <w:rFonts w:hint="eastAsia" w:eastAsia="仿宋_GB2312"/>
          <w:color w:val="000000"/>
          <w:sz w:val="32"/>
          <w:szCs w:val="32"/>
          <w:lang w:eastAsia="zh-CN"/>
        </w:rPr>
        <w:t>的</w:t>
      </w:r>
      <w:r>
        <w:rPr>
          <w:rFonts w:hint="eastAsia" w:eastAsia="仿宋_GB2312"/>
          <w:color w:val="000000"/>
          <w:sz w:val="32"/>
          <w:szCs w:val="32"/>
        </w:rPr>
        <w:t>收益全部统筹用于民生支出。</w:t>
      </w:r>
    </w:p>
    <w:p>
      <w:pPr>
        <w:pStyle w:val="12"/>
        <w:keepNext w:val="0"/>
        <w:keepLines w:val="0"/>
        <w:pageBreakBefore w:val="0"/>
        <w:wordWrap/>
        <w:overflowPunct/>
        <w:topLinePunct w:val="0"/>
        <w:bidi w:val="0"/>
        <w:spacing w:before="0" w:beforeAutospacing="0" w:after="0" w:afterAutospacing="0" w:line="580" w:lineRule="exact"/>
        <w:ind w:firstLine="555"/>
        <w:textAlignment w:val="auto"/>
        <w:rPr>
          <w:rFonts w:ascii="Times New Roman" w:hAnsi="Times New Roman" w:eastAsia="仿宋_GB2312" w:cs="Times New Roman"/>
          <w:color w:val="000000"/>
          <w:kern w:val="2"/>
          <w:sz w:val="32"/>
          <w:szCs w:val="32"/>
        </w:rPr>
      </w:pPr>
      <w:r>
        <w:rPr>
          <w:rFonts w:ascii="Times New Roman" w:hAnsi="Times New Roman" w:eastAsia="楷体_GB2312" w:cs="Times New Roman"/>
          <w:b/>
          <w:bCs/>
          <w:color w:val="000000"/>
          <w:sz w:val="32"/>
          <w:szCs w:val="32"/>
        </w:rPr>
        <w:t>（</w:t>
      </w:r>
      <w:r>
        <w:rPr>
          <w:rFonts w:hint="eastAsia" w:ascii="Times New Roman" w:hAnsi="Times New Roman" w:eastAsia="楷体_GB2312" w:cs="Times New Roman"/>
          <w:b/>
          <w:bCs/>
          <w:color w:val="000000"/>
          <w:sz w:val="32"/>
          <w:szCs w:val="32"/>
        </w:rPr>
        <w:t>三</w:t>
      </w:r>
      <w:r>
        <w:rPr>
          <w:rFonts w:ascii="Times New Roman" w:hAnsi="Times New Roman" w:eastAsia="楷体_GB2312" w:cs="Times New Roman"/>
          <w:b/>
          <w:bCs/>
          <w:color w:val="000000"/>
          <w:sz w:val="32"/>
          <w:szCs w:val="32"/>
        </w:rPr>
        <w:t>）精心谋划，</w:t>
      </w:r>
      <w:r>
        <w:rPr>
          <w:rFonts w:hint="eastAsia" w:ascii="Times New Roman" w:hAnsi="Times New Roman" w:eastAsia="楷体_GB2312" w:cs="Times New Roman"/>
          <w:b/>
          <w:bCs/>
          <w:color w:val="000000"/>
          <w:sz w:val="32"/>
          <w:szCs w:val="32"/>
        </w:rPr>
        <w:t>倾力</w:t>
      </w:r>
      <w:r>
        <w:rPr>
          <w:rFonts w:ascii="Times New Roman" w:hAnsi="Times New Roman" w:eastAsia="楷体_GB2312" w:cs="Times New Roman"/>
          <w:b/>
          <w:bCs/>
          <w:color w:val="000000"/>
          <w:sz w:val="32"/>
          <w:szCs w:val="32"/>
        </w:rPr>
        <w:t>保障改善民生</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聚焦群众“急难愁盼”问题，集中财力保障各项民生政策落地，</w:t>
      </w:r>
      <w:r>
        <w:rPr>
          <w:rFonts w:ascii="Times New Roman" w:hAnsi="Times New Roman" w:eastAsia="仿宋_GB2312" w:cs="Times New Roman"/>
          <w:color w:val="000000"/>
          <w:sz w:val="32"/>
          <w:szCs w:val="32"/>
        </w:rPr>
        <w:t>民生支出占比稳定在75%以上。</w:t>
      </w:r>
      <w:r>
        <w:rPr>
          <w:rFonts w:hint="eastAsia" w:ascii="仿宋_GB2312" w:eastAsia="仿宋_GB2312"/>
          <w:b/>
          <w:bCs/>
          <w:sz w:val="32"/>
          <w:szCs w:val="32"/>
        </w:rPr>
        <w:t>一是始终兜底居民和就业保障支出。</w:t>
      </w:r>
      <w:r>
        <w:rPr>
          <w:rFonts w:hint="eastAsia" w:ascii="仿宋_GB2312" w:eastAsia="仿宋_GB2312"/>
          <w:sz w:val="32"/>
          <w:szCs w:val="32"/>
        </w:rPr>
        <w:t>企业退休人员基本养老金实现“18连调”，2022年月人均增加94元；发放低保、优抚、救助等资金2.33亿元，惠及困难群众58.12万人次；加大创业担保贷款贴息支持力度，安排就业及再就业奖扶和贴息贴费、职业培训资金2805万元；落实退休中人职业年金虚账记实1916万元。拨付全县25491人的失地农民社保缴费4934万元。</w:t>
      </w:r>
      <w:r>
        <w:rPr>
          <w:rFonts w:hint="eastAsia" w:ascii="仿宋_GB2312" w:eastAsia="仿宋_GB2312"/>
          <w:b/>
          <w:bCs/>
          <w:sz w:val="32"/>
          <w:szCs w:val="32"/>
        </w:rPr>
        <w:t>二是坚持教育优先发展。</w:t>
      </w:r>
      <w:r>
        <w:rPr>
          <w:rFonts w:hint="eastAsia" w:ascii="仿宋_GB2312" w:eastAsia="仿宋_GB2312"/>
          <w:sz w:val="32"/>
          <w:szCs w:val="32"/>
        </w:rPr>
        <w:t>全年投入教育事业10.77亿元。拨付义务教育公用经费9000余万元，发放农村教师岗位津贴和班主任津贴2099万元、教师的乡镇和边远乡镇工作补贴1568万元、定向师范生培养462万元等。教师队伍逐年扩大，全年保障6476名在编老师、</w:t>
      </w:r>
      <w:r>
        <w:rPr>
          <w:rFonts w:hint="eastAsia" w:ascii="仿宋_GB2312" w:eastAsia="仿宋_GB2312"/>
          <w:sz w:val="32"/>
          <w:szCs w:val="32"/>
          <w:lang w:val="en-US" w:eastAsia="zh-CN"/>
        </w:rPr>
        <w:t>511</w:t>
      </w:r>
      <w:r>
        <w:rPr>
          <w:rFonts w:hint="eastAsia" w:ascii="仿宋_GB2312" w:eastAsia="仿宋_GB2312"/>
          <w:sz w:val="32"/>
          <w:szCs w:val="32"/>
        </w:rPr>
        <w:t>名合同制教师</w:t>
      </w:r>
      <w:r>
        <w:rPr>
          <w:rFonts w:hint="eastAsia" w:ascii="仿宋_GB2312" w:eastAsia="仿宋_GB2312"/>
          <w:sz w:val="32"/>
          <w:szCs w:val="32"/>
          <w:lang w:eastAsia="zh-CN"/>
        </w:rPr>
        <w:t>（不含解聘人员）</w:t>
      </w:r>
      <w:r>
        <w:rPr>
          <w:rFonts w:hint="eastAsia" w:ascii="仿宋_GB2312" w:eastAsia="仿宋_GB2312"/>
          <w:sz w:val="32"/>
          <w:szCs w:val="32"/>
        </w:rPr>
        <w:t>、返聘教师的工资及绩效等6.11亿元。</w:t>
      </w:r>
      <w:r>
        <w:rPr>
          <w:rFonts w:hint="eastAsia" w:ascii="仿宋_GB2312" w:eastAsia="仿宋_GB2312"/>
          <w:b/>
          <w:bCs/>
          <w:sz w:val="32"/>
          <w:szCs w:val="32"/>
        </w:rPr>
        <w:t>三是</w:t>
      </w:r>
      <w:r>
        <w:rPr>
          <w:rFonts w:ascii="Times New Roman" w:hAnsi="Times New Roman" w:eastAsia="仿宋_GB2312" w:cs="Times New Roman"/>
          <w:b/>
          <w:bCs/>
          <w:color w:val="000000"/>
          <w:sz w:val="32"/>
          <w:szCs w:val="32"/>
        </w:rPr>
        <w:t>提升卫生服务水平。</w:t>
      </w:r>
      <w:r>
        <w:rPr>
          <w:rFonts w:ascii="Times New Roman" w:hAnsi="Times New Roman" w:eastAsia="仿宋_GB2312" w:cs="Times New Roman"/>
          <w:color w:val="000000"/>
          <w:kern w:val="2"/>
          <w:sz w:val="32"/>
          <w:szCs w:val="32"/>
        </w:rPr>
        <w:t>基本公共卫生服务人均财政补助标准</w:t>
      </w:r>
      <w:r>
        <w:rPr>
          <w:rFonts w:hint="eastAsia" w:ascii="Times New Roman" w:hAnsi="Times New Roman" w:eastAsia="仿宋_GB2312" w:cs="Times New Roman"/>
          <w:color w:val="000000"/>
          <w:kern w:val="2"/>
          <w:sz w:val="32"/>
          <w:szCs w:val="32"/>
          <w:lang w:val="en-US" w:eastAsia="zh-CN"/>
        </w:rPr>
        <w:t>提</w:t>
      </w:r>
      <w:r>
        <w:rPr>
          <w:rFonts w:ascii="Times New Roman" w:hAnsi="Times New Roman" w:eastAsia="仿宋_GB2312" w:cs="Times New Roman"/>
          <w:color w:val="000000"/>
          <w:kern w:val="2"/>
          <w:sz w:val="32"/>
          <w:szCs w:val="32"/>
        </w:rPr>
        <w:t>高至84元/人，2022年提高标准部分统筹用于基本公共卫生服务和基层医疗卫生机构</w:t>
      </w:r>
      <w:r>
        <w:rPr>
          <w:rFonts w:hint="eastAsia" w:ascii="Times New Roman" w:hAnsi="Times New Roman" w:eastAsia="仿宋_GB2312" w:cs="Times New Roman"/>
          <w:color w:val="000000"/>
          <w:kern w:val="2"/>
          <w:sz w:val="32"/>
          <w:szCs w:val="32"/>
        </w:rPr>
        <w:t>支出</w:t>
      </w:r>
      <w:r>
        <w:rPr>
          <w:rFonts w:ascii="Times New Roman" w:hAnsi="Times New Roman" w:eastAsia="仿宋_GB2312" w:cs="Times New Roman"/>
          <w:color w:val="000000"/>
          <w:kern w:val="2"/>
          <w:sz w:val="32"/>
          <w:szCs w:val="32"/>
        </w:rPr>
        <w:t>；全力支持疫情防控，全年投入疫情防控相关经费</w:t>
      </w:r>
      <w:r>
        <w:rPr>
          <w:rFonts w:hint="eastAsia" w:ascii="Times New Roman" w:hAnsi="Times New Roman" w:eastAsia="仿宋_GB2312" w:cs="Times New Roman"/>
          <w:color w:val="000000"/>
          <w:kern w:val="2"/>
          <w:sz w:val="32"/>
          <w:szCs w:val="32"/>
        </w:rPr>
        <w:t>3100</w:t>
      </w:r>
      <w:r>
        <w:rPr>
          <w:rFonts w:ascii="Times New Roman" w:hAnsi="Times New Roman" w:eastAsia="仿宋_GB2312" w:cs="Times New Roman"/>
          <w:color w:val="000000"/>
          <w:kern w:val="2"/>
          <w:sz w:val="32"/>
          <w:szCs w:val="32"/>
        </w:rPr>
        <w:t>万元</w:t>
      </w:r>
      <w:r>
        <w:rPr>
          <w:rFonts w:hint="eastAsia" w:ascii="Times New Roman" w:hAnsi="Times New Roman" w:eastAsia="仿宋_GB2312" w:cs="Times New Roman"/>
          <w:color w:val="000000"/>
          <w:kern w:val="2"/>
          <w:sz w:val="32"/>
          <w:szCs w:val="32"/>
        </w:rPr>
        <w:t>。四是持续推进乡村振兴。全年投入乡村振兴衔接补助资金1.11亿元。不断加大农村基础设施建设，全年土地出让收入用于农业农村支出1.2亿元，农村人居环境得到有效改善，人民群众幸福指数不断提升。</w:t>
      </w:r>
    </w:p>
    <w:p>
      <w:pPr>
        <w:keepNext w:val="0"/>
        <w:keepLines w:val="0"/>
        <w:pageBreakBefore w:val="0"/>
        <w:wordWrap/>
        <w:overflowPunct/>
        <w:topLinePunct w:val="0"/>
        <w:bidi w:val="0"/>
        <w:spacing w:line="580" w:lineRule="exact"/>
        <w:ind w:firstLine="643" w:firstLineChars="200"/>
        <w:textAlignment w:val="auto"/>
        <w:rPr>
          <w:rFonts w:eastAsia="仿宋_GB2312"/>
          <w:sz w:val="32"/>
          <w:szCs w:val="32"/>
        </w:rPr>
      </w:pPr>
      <w:r>
        <w:rPr>
          <w:rFonts w:hint="eastAsia" w:eastAsia="楷体"/>
          <w:b/>
          <w:bCs/>
          <w:color w:val="000000"/>
          <w:sz w:val="32"/>
          <w:szCs w:val="32"/>
        </w:rPr>
        <w:t>（四）</w:t>
      </w:r>
      <w:r>
        <w:rPr>
          <w:rFonts w:eastAsia="楷体"/>
          <w:b/>
          <w:bCs/>
          <w:color w:val="000000"/>
          <w:sz w:val="32"/>
          <w:szCs w:val="32"/>
        </w:rPr>
        <w:t>坚守底线，有效防范政府债务风险。</w:t>
      </w:r>
      <w:r>
        <w:rPr>
          <w:rFonts w:eastAsia="仿宋"/>
          <w:color w:val="000000"/>
          <w:sz w:val="32"/>
          <w:szCs w:val="32"/>
        </w:rPr>
        <w:t>坚持稳中求进的工作总基调，统筹发展与安全、化债与管债，牢牢守住了不发生区域性系统性风险的底线。</w:t>
      </w:r>
      <w:r>
        <w:rPr>
          <w:rFonts w:eastAsia="仿宋_GB2312"/>
          <w:b/>
          <w:bCs/>
          <w:color w:val="000000"/>
          <w:sz w:val="32"/>
          <w:szCs w:val="32"/>
        </w:rPr>
        <w:t>一是稳妥有序化解存量债务。</w:t>
      </w:r>
      <w:r>
        <w:rPr>
          <w:rFonts w:eastAsia="仿宋"/>
          <w:color w:val="000000"/>
          <w:sz w:val="32"/>
          <w:szCs w:val="32"/>
        </w:rPr>
        <w:t>根据十年化债方案，2022年化解隐性债务本金占本年到期化债本金的</w:t>
      </w:r>
      <w:r>
        <w:rPr>
          <w:rFonts w:hint="eastAsia" w:eastAsia="仿宋"/>
          <w:color w:val="000000"/>
          <w:sz w:val="32"/>
          <w:szCs w:val="32"/>
        </w:rPr>
        <w:t>39.41</w:t>
      </w:r>
      <w:r>
        <w:rPr>
          <w:rFonts w:eastAsia="仿宋"/>
          <w:color w:val="000000"/>
          <w:sz w:val="32"/>
          <w:szCs w:val="32"/>
        </w:rPr>
        <w:t>%；累计化解隐性债务本金占到期化债本金的1</w:t>
      </w:r>
      <w:r>
        <w:rPr>
          <w:rFonts w:hint="eastAsia" w:eastAsia="仿宋"/>
          <w:color w:val="000000"/>
          <w:sz w:val="32"/>
          <w:szCs w:val="32"/>
        </w:rPr>
        <w:t>01.12</w:t>
      </w:r>
      <w:r>
        <w:rPr>
          <w:rFonts w:eastAsia="仿宋"/>
          <w:color w:val="000000"/>
          <w:sz w:val="32"/>
          <w:szCs w:val="32"/>
        </w:rPr>
        <w:t>%；</w:t>
      </w:r>
      <w:r>
        <w:rPr>
          <w:rFonts w:eastAsia="仿宋_GB2312"/>
          <w:bCs/>
          <w:color w:val="000000"/>
          <w:sz w:val="32"/>
          <w:szCs w:val="32"/>
        </w:rPr>
        <w:t>2022年末我县债务</w:t>
      </w:r>
      <w:r>
        <w:rPr>
          <w:rFonts w:eastAsia="仿宋"/>
          <w:color w:val="000000"/>
          <w:sz w:val="32"/>
          <w:szCs w:val="32"/>
        </w:rPr>
        <w:t>风</w:t>
      </w:r>
      <w:r>
        <w:rPr>
          <w:rFonts w:eastAsia="仿宋_GB2312"/>
          <w:bCs/>
          <w:color w:val="000000"/>
          <w:sz w:val="32"/>
          <w:szCs w:val="32"/>
        </w:rPr>
        <w:t>险稳定在绿色安全区内</w:t>
      </w:r>
      <w:r>
        <w:rPr>
          <w:rFonts w:eastAsia="仿宋"/>
          <w:color w:val="000000"/>
          <w:sz w:val="32"/>
          <w:szCs w:val="32"/>
        </w:rPr>
        <w:t>。</w:t>
      </w:r>
      <w:r>
        <w:rPr>
          <w:rFonts w:eastAsia="仿宋"/>
          <w:b/>
          <w:bCs/>
          <w:color w:val="000000"/>
          <w:sz w:val="32"/>
          <w:szCs w:val="32"/>
        </w:rPr>
        <w:t>二是</w:t>
      </w:r>
      <w:r>
        <w:rPr>
          <w:rFonts w:eastAsia="仿宋_GB2312"/>
          <w:b/>
          <w:bCs/>
          <w:sz w:val="32"/>
          <w:szCs w:val="32"/>
        </w:rPr>
        <w:t>管好用好专项债券资金。</w:t>
      </w:r>
      <w:r>
        <w:rPr>
          <w:rFonts w:eastAsia="仿宋_GB2312"/>
          <w:sz w:val="32"/>
          <w:szCs w:val="32"/>
        </w:rPr>
        <w:t>全年争取新增专项债券</w:t>
      </w:r>
      <w:r>
        <w:rPr>
          <w:rFonts w:hint="eastAsia" w:eastAsia="仿宋_GB2312"/>
          <w:sz w:val="32"/>
          <w:szCs w:val="32"/>
        </w:rPr>
        <w:t>9.68亿</w:t>
      </w:r>
      <w:r>
        <w:rPr>
          <w:rFonts w:eastAsia="仿宋_GB2312"/>
          <w:sz w:val="32"/>
          <w:szCs w:val="32"/>
        </w:rPr>
        <w:t>元，重点投向</w:t>
      </w:r>
      <w:r>
        <w:rPr>
          <w:rFonts w:hint="eastAsia" w:eastAsia="仿宋_GB2312"/>
          <w:sz w:val="32"/>
          <w:szCs w:val="32"/>
        </w:rPr>
        <w:t>医院</w:t>
      </w:r>
      <w:r>
        <w:rPr>
          <w:rFonts w:eastAsia="仿宋_GB2312"/>
          <w:sz w:val="32"/>
          <w:szCs w:val="32"/>
        </w:rPr>
        <w:t>、老旧小区、</w:t>
      </w:r>
      <w:r>
        <w:rPr>
          <w:rFonts w:hint="eastAsia" w:eastAsia="仿宋_GB2312"/>
          <w:sz w:val="32"/>
          <w:szCs w:val="32"/>
        </w:rPr>
        <w:t>全民健身、人居环境改善</w:t>
      </w:r>
      <w:r>
        <w:rPr>
          <w:rFonts w:eastAsia="仿宋_GB2312"/>
          <w:sz w:val="32"/>
          <w:szCs w:val="32"/>
        </w:rPr>
        <w:t>等项目，充分发挥专项债券资金稳投资、扩内需、补短板的作用</w:t>
      </w:r>
      <w:r>
        <w:rPr>
          <w:rFonts w:hint="eastAsia" w:eastAsia="仿宋_GB2312"/>
          <w:sz w:val="32"/>
          <w:szCs w:val="32"/>
        </w:rPr>
        <w:t>，</w:t>
      </w:r>
      <w:r>
        <w:rPr>
          <w:rFonts w:eastAsia="仿宋_GB2312"/>
          <w:sz w:val="32"/>
          <w:szCs w:val="32"/>
        </w:rPr>
        <w:t>支持全县基础设施建设。</w:t>
      </w:r>
    </w:p>
    <w:p>
      <w:pPr>
        <w:pStyle w:val="12"/>
        <w:keepNext w:val="0"/>
        <w:keepLines w:val="0"/>
        <w:pageBreakBefore w:val="0"/>
        <w:wordWrap/>
        <w:overflowPunct/>
        <w:topLinePunct w:val="0"/>
        <w:bidi w:val="0"/>
        <w:spacing w:before="0" w:beforeAutospacing="0" w:after="0" w:afterAutospacing="0" w:line="580" w:lineRule="exact"/>
        <w:ind w:firstLine="640"/>
        <w:jc w:val="both"/>
        <w:textAlignment w:val="auto"/>
        <w:rPr>
          <w:rFonts w:ascii="Times New Roman" w:hAnsi="Times New Roman" w:eastAsia="仿宋_GB2312" w:cs="Times New Roman"/>
          <w:sz w:val="32"/>
          <w:szCs w:val="32"/>
        </w:rPr>
      </w:pPr>
      <w:r>
        <w:rPr>
          <w:rFonts w:ascii="Times New Roman" w:hAnsi="Times New Roman" w:eastAsia="楷体_GB2312" w:cs="Times New Roman"/>
          <w:b/>
          <w:bCs/>
          <w:color w:val="000000"/>
          <w:sz w:val="32"/>
          <w:szCs w:val="32"/>
        </w:rPr>
        <w:t>（五）深化改革，提高财政管理水平。</w:t>
      </w:r>
      <w:r>
        <w:rPr>
          <w:rFonts w:ascii="Times New Roman" w:hAnsi="Times New Roman" w:eastAsia="仿宋_GB2312" w:cs="Times New Roman"/>
          <w:color w:val="000000"/>
          <w:kern w:val="2"/>
          <w:sz w:val="32"/>
          <w:szCs w:val="32"/>
          <w:shd w:val="clear" w:color="auto" w:fill="FFFFFF"/>
        </w:rPr>
        <w:t>运用改革创新办法破解难题、推动发展，</w:t>
      </w:r>
      <w:r>
        <w:rPr>
          <w:rFonts w:hint="eastAsia" w:eastAsia="仿宋_GB2312" w:cs="Times New Roman"/>
          <w:color w:val="000000"/>
          <w:kern w:val="2"/>
          <w:sz w:val="32"/>
          <w:szCs w:val="32"/>
          <w:shd w:val="clear" w:color="auto" w:fill="FFFFFF"/>
        </w:rPr>
        <w:t>县级财政管理绩效综合评价排全国第六、全省第一</w:t>
      </w:r>
      <w:r>
        <w:rPr>
          <w:rFonts w:hint="eastAsia" w:eastAsia="仿宋_GB2312" w:cs="Times New Roman"/>
          <w:color w:val="000000"/>
          <w:kern w:val="2"/>
          <w:sz w:val="32"/>
          <w:szCs w:val="32"/>
          <w:shd w:val="clear" w:color="auto" w:fill="FFFFFF"/>
          <w:lang w:eastAsia="zh-CN"/>
        </w:rPr>
        <w:t>并获得</w:t>
      </w:r>
      <w:r>
        <w:rPr>
          <w:rFonts w:hint="eastAsia" w:eastAsia="仿宋_GB2312" w:cs="Times New Roman"/>
          <w:color w:val="000000"/>
          <w:kern w:val="2"/>
          <w:sz w:val="32"/>
          <w:szCs w:val="32"/>
          <w:shd w:val="clear" w:color="auto" w:fill="FFFFFF"/>
          <w:lang w:val="en-US" w:eastAsia="zh-CN"/>
        </w:rPr>
        <w:t>600万元转移支付奖励，</w:t>
      </w:r>
      <w:r>
        <w:rPr>
          <w:rFonts w:hint="eastAsia" w:eastAsia="仿宋_GB2312" w:cs="Times New Roman"/>
          <w:color w:val="000000"/>
          <w:kern w:val="2"/>
          <w:sz w:val="32"/>
          <w:szCs w:val="32"/>
          <w:shd w:val="clear" w:color="auto" w:fill="FFFFFF"/>
        </w:rPr>
        <w:t>县级</w:t>
      </w:r>
      <w:r>
        <w:rPr>
          <w:rFonts w:ascii="Times New Roman" w:hAnsi="Times New Roman" w:eastAsia="仿宋_GB2312" w:cs="Times New Roman"/>
          <w:sz w:val="32"/>
          <w:szCs w:val="32"/>
        </w:rPr>
        <w:t>财政日常工作整体水平</w:t>
      </w:r>
      <w:r>
        <w:rPr>
          <w:rFonts w:hint="eastAsia" w:eastAsia="仿宋_GB2312" w:cs="Times New Roman"/>
          <w:sz w:val="32"/>
          <w:szCs w:val="32"/>
        </w:rPr>
        <w:t>在全省</w:t>
      </w:r>
      <w:r>
        <w:rPr>
          <w:rFonts w:ascii="Times New Roman" w:hAnsi="Times New Roman" w:eastAsia="仿宋_GB2312" w:cs="Times New Roman"/>
          <w:sz w:val="32"/>
          <w:szCs w:val="32"/>
        </w:rPr>
        <w:t>被评为A</w:t>
      </w:r>
      <w:r>
        <w:rPr>
          <w:rFonts w:hint="eastAsia" w:eastAsia="仿宋_GB2312" w:cs="Times New Roman"/>
          <w:sz w:val="32"/>
          <w:szCs w:val="32"/>
        </w:rPr>
        <w:t>级</w:t>
      </w:r>
      <w:r>
        <w:rPr>
          <w:rFonts w:ascii="Times New Roman" w:hAnsi="Times New Roman" w:eastAsia="仿宋_GB2312" w:cs="Times New Roman"/>
          <w:color w:val="000000"/>
          <w:kern w:val="2"/>
          <w:sz w:val="32"/>
          <w:szCs w:val="32"/>
          <w:shd w:val="clear" w:color="auto" w:fill="FFFFFF"/>
        </w:rPr>
        <w:t>。</w:t>
      </w:r>
      <w:r>
        <w:rPr>
          <w:rFonts w:ascii="Times New Roman" w:hAnsi="Times New Roman" w:eastAsia="仿宋_GB2312" w:cs="Times New Roman"/>
          <w:b/>
          <w:bCs/>
          <w:color w:val="000000"/>
          <w:kern w:val="2"/>
          <w:sz w:val="32"/>
          <w:szCs w:val="32"/>
          <w:shd w:val="clear" w:color="auto" w:fill="FFFFFF"/>
        </w:rPr>
        <w:t>一是</w:t>
      </w:r>
      <w:r>
        <w:rPr>
          <w:rFonts w:hint="eastAsia" w:eastAsia="仿宋_GB2312" w:cs="Times New Roman"/>
          <w:b/>
          <w:bCs/>
          <w:color w:val="000000"/>
          <w:kern w:val="2"/>
          <w:sz w:val="32"/>
          <w:szCs w:val="32"/>
          <w:shd w:val="clear" w:color="auto" w:fill="FFFFFF"/>
        </w:rPr>
        <w:t>持续</w:t>
      </w:r>
      <w:r>
        <w:rPr>
          <w:rFonts w:ascii="Times New Roman" w:hAnsi="Times New Roman" w:eastAsia="仿宋_GB2312" w:cs="Times New Roman"/>
          <w:b/>
          <w:bCs/>
          <w:color w:val="000000"/>
          <w:kern w:val="2"/>
          <w:sz w:val="32"/>
          <w:szCs w:val="32"/>
          <w:shd w:val="clear" w:color="auto" w:fill="FFFFFF"/>
        </w:rPr>
        <w:t>推进</w:t>
      </w:r>
      <w:r>
        <w:rPr>
          <w:rFonts w:hint="eastAsia" w:eastAsia="仿宋_GB2312" w:cs="Times New Roman"/>
          <w:b/>
          <w:bCs/>
          <w:color w:val="000000"/>
          <w:kern w:val="2"/>
          <w:sz w:val="32"/>
          <w:szCs w:val="32"/>
          <w:shd w:val="clear" w:color="auto" w:fill="FFFFFF"/>
        </w:rPr>
        <w:t>财源建设</w:t>
      </w:r>
      <w:r>
        <w:rPr>
          <w:rFonts w:ascii="Times New Roman" w:hAnsi="Times New Roman" w:eastAsia="仿宋_GB2312" w:cs="Times New Roman"/>
          <w:b/>
          <w:bCs/>
          <w:color w:val="000000"/>
          <w:kern w:val="2"/>
          <w:sz w:val="32"/>
          <w:szCs w:val="32"/>
          <w:shd w:val="clear" w:color="auto" w:fill="FFFFFF"/>
        </w:rPr>
        <w:t>。</w:t>
      </w:r>
      <w:r>
        <w:rPr>
          <w:rFonts w:ascii="仿宋" w:hAnsi="仿宋" w:eastAsia="仿宋" w:cs="仿宋"/>
          <w:sz w:val="32"/>
          <w:szCs w:val="32"/>
          <w:shd w:val="clear" w:color="auto" w:fill="FFFFFF"/>
        </w:rPr>
        <w:t>根据《湖南省三高四新财源建设工程“</w:t>
      </w:r>
      <w:r>
        <w:rPr>
          <w:rFonts w:hint="eastAsia" w:ascii="仿宋" w:hAnsi="仿宋" w:eastAsia="仿宋" w:cs="仿宋"/>
          <w:sz w:val="32"/>
          <w:szCs w:val="32"/>
          <w:shd w:val="clear" w:color="auto" w:fill="FFFFFF"/>
        </w:rPr>
        <w:t>6643”行动方案》，制定我县财源建设实施方案，明确</w:t>
      </w:r>
      <w:r>
        <w:rPr>
          <w:rFonts w:ascii="Times New Roman" w:hAnsi="Times New Roman" w:eastAsia="仿宋_GB2312" w:cs="Times New Roman"/>
          <w:color w:val="000000"/>
          <w:kern w:val="2"/>
          <w:sz w:val="32"/>
          <w:szCs w:val="32"/>
        </w:rPr>
        <w:t>任务清单，进一步压实各部门协税护税责任，充分发挥部门职能优势，积极协调、配合税务机关强化收入征管措施</w:t>
      </w:r>
      <w:r>
        <w:rPr>
          <w:rFonts w:hint="eastAsia" w:eastAsia="仿宋_GB2312" w:cs="Times New Roman"/>
          <w:color w:val="000000"/>
          <w:kern w:val="2"/>
          <w:sz w:val="32"/>
          <w:szCs w:val="32"/>
        </w:rPr>
        <w:t>。2022年度我县财源建设工作获省“三高四新”财源办通报表彰。</w:t>
      </w:r>
      <w:r>
        <w:rPr>
          <w:rFonts w:ascii="Times New Roman" w:hAnsi="Times New Roman" w:eastAsia="仿宋_GB2312" w:cs="Times New Roman"/>
          <w:b/>
          <w:bCs/>
          <w:color w:val="000000"/>
          <w:sz w:val="32"/>
          <w:szCs w:val="32"/>
        </w:rPr>
        <w:t>二是</w:t>
      </w:r>
      <w:r>
        <w:rPr>
          <w:rFonts w:hint="eastAsia" w:ascii="Times New Roman" w:hAnsi="Times New Roman" w:eastAsia="仿宋_GB2312" w:cs="Times New Roman"/>
          <w:b/>
          <w:bCs/>
          <w:color w:val="000000"/>
          <w:sz w:val="32"/>
          <w:szCs w:val="32"/>
        </w:rPr>
        <w:t>全面夯实</w:t>
      </w:r>
      <w:r>
        <w:rPr>
          <w:rFonts w:ascii="Times New Roman" w:hAnsi="Times New Roman" w:eastAsia="仿宋_GB2312" w:cs="Times New Roman"/>
          <w:b/>
          <w:bCs/>
          <w:color w:val="000000"/>
          <w:sz w:val="32"/>
          <w:szCs w:val="32"/>
        </w:rPr>
        <w:t>财政管理</w:t>
      </w:r>
      <w:r>
        <w:rPr>
          <w:rFonts w:hint="eastAsia" w:ascii="Times New Roman" w:hAnsi="Times New Roman" w:eastAsia="仿宋_GB2312" w:cs="Times New Roman"/>
          <w:b/>
          <w:bCs/>
          <w:color w:val="000000"/>
          <w:sz w:val="32"/>
          <w:szCs w:val="32"/>
        </w:rPr>
        <w:t>基础</w:t>
      </w:r>
      <w:r>
        <w:rPr>
          <w:rFonts w:ascii="Times New Roman" w:hAnsi="Times New Roman" w:eastAsia="仿宋_GB2312" w:cs="Times New Roman"/>
          <w:b/>
          <w:bCs/>
          <w:color w:val="000000"/>
          <w:sz w:val="32"/>
          <w:szCs w:val="32"/>
        </w:rPr>
        <w:t>。</w:t>
      </w:r>
      <w:r>
        <w:rPr>
          <w:rFonts w:hint="eastAsia" w:ascii="Times New Roman" w:hAnsi="Times New Roman" w:eastAsia="仿宋_GB2312" w:cs="Times New Roman"/>
          <w:color w:val="000000"/>
          <w:sz w:val="32"/>
          <w:szCs w:val="32"/>
        </w:rPr>
        <w:t>进一步</w:t>
      </w:r>
      <w:r>
        <w:rPr>
          <w:rFonts w:ascii="Times New Roman" w:hAnsi="Times New Roman" w:eastAsia="仿宋_GB2312" w:cs="Times New Roman"/>
          <w:color w:val="000000"/>
          <w:sz w:val="32"/>
          <w:szCs w:val="32"/>
        </w:rPr>
        <w:t>清理暂付款，在</w:t>
      </w:r>
      <w:r>
        <w:rPr>
          <w:rFonts w:ascii="Times New Roman" w:hAnsi="Times New Roman" w:eastAsia="仿宋_GB2312" w:cs="Times New Roman"/>
          <w:sz w:val="32"/>
          <w:szCs w:val="32"/>
        </w:rPr>
        <w:t>全省暂付款清理</w:t>
      </w:r>
      <w:r>
        <w:rPr>
          <w:rFonts w:hint="eastAsia" w:eastAsia="仿宋_GB2312" w:cs="Times New Roman"/>
          <w:sz w:val="32"/>
          <w:szCs w:val="32"/>
        </w:rPr>
        <w:t>评价</w:t>
      </w:r>
      <w:r>
        <w:rPr>
          <w:rFonts w:ascii="Times New Roman" w:hAnsi="Times New Roman" w:eastAsia="仿宋_GB2312" w:cs="Times New Roman"/>
          <w:sz w:val="32"/>
          <w:szCs w:val="32"/>
        </w:rPr>
        <w:t>工作中被评为A类奖励100万元</w:t>
      </w:r>
      <w:r>
        <w:rPr>
          <w:rFonts w:hint="eastAsia" w:ascii="Times New Roman" w:hAnsi="Times New Roman" w:eastAsia="仿宋_GB2312" w:cs="Times New Roman"/>
          <w:sz w:val="32"/>
          <w:szCs w:val="32"/>
        </w:rPr>
        <w:t>；规范财政预决算公开，除涉密单位外，一律在政府预决算公开统一平台，对政府预决算、部门预决算以及民生领域相关的信息进行集中公开，做到“公开为常态、不公开为例外”，打造“透明政府”；加快推进政府投资项目评审，2022年共评审项目1116个，送审金额31.23亿元，审定金额25.26亿元，审减金额5.97亿元，审减率19.11%。</w:t>
      </w:r>
    </w:p>
    <w:p>
      <w:pPr>
        <w:pStyle w:val="12"/>
        <w:keepNext w:val="0"/>
        <w:keepLines w:val="0"/>
        <w:pageBreakBefore w:val="0"/>
        <w:wordWrap/>
        <w:overflowPunct/>
        <w:topLinePunct w:val="0"/>
        <w:bidi w:val="0"/>
        <w:spacing w:before="0" w:beforeAutospacing="0" w:after="0" w:afterAutospacing="0" w:line="58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2022年，县财政部门在县委县政府</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正确领导和县人大的监督指导下，坚持以民为本，以政领财，守正创新，提质增效，财政改革发展取得了新成就。</w:t>
      </w:r>
      <w:r>
        <w:rPr>
          <w:rFonts w:hint="eastAsia" w:eastAsia="仿宋_GB2312" w:cs="Times New Roman"/>
          <w:sz w:val="32"/>
          <w:szCs w:val="32"/>
        </w:rPr>
        <w:t>与</w:t>
      </w:r>
      <w:r>
        <w:rPr>
          <w:rFonts w:ascii="Times New Roman" w:hAnsi="Times New Roman" w:eastAsia="仿宋_GB2312" w:cs="Times New Roman"/>
          <w:sz w:val="32"/>
          <w:szCs w:val="32"/>
        </w:rPr>
        <w:t>此同时，我们也清醒的认识到，财政运行管理中还面临一些突出问题和挑战，主要</w:t>
      </w:r>
      <w:r>
        <w:rPr>
          <w:rFonts w:hint="eastAsia" w:ascii="Times New Roman" w:hAnsi="Times New Roman" w:eastAsia="仿宋_GB2312" w:cs="Times New Roman"/>
          <w:sz w:val="32"/>
          <w:szCs w:val="32"/>
        </w:rPr>
        <w:t>体现在：财政收入高速增长困难加大，财政收支矛盾越发尖锐，库款保障压力陡增，化解债务难度重重。此外，我县财政运行、管理等方面还存在薄弱环节。对此，我们高度重视，正采取积极措施。</w:t>
      </w:r>
    </w:p>
    <w:p>
      <w:pPr>
        <w:keepNext w:val="0"/>
        <w:keepLines w:val="0"/>
        <w:pageBreakBefore w:val="0"/>
        <w:widowControl/>
        <w:wordWrap/>
        <w:overflowPunct/>
        <w:topLinePunct w:val="0"/>
        <w:autoSpaceDE w:val="0"/>
        <w:autoSpaceDN w:val="0"/>
        <w:bidi w:val="0"/>
        <w:spacing w:line="580" w:lineRule="exact"/>
        <w:ind w:firstLine="643"/>
        <w:textAlignment w:val="auto"/>
        <w:rPr>
          <w:rFonts w:ascii="黑体" w:hAnsi="黑体" w:eastAsia="黑体"/>
          <w:sz w:val="32"/>
          <w:szCs w:val="32"/>
        </w:rPr>
      </w:pPr>
      <w:r>
        <w:rPr>
          <w:rFonts w:hint="eastAsia" w:ascii="黑体" w:hAnsi="黑体" w:eastAsia="黑体"/>
          <w:sz w:val="32"/>
          <w:szCs w:val="32"/>
        </w:rPr>
        <w:t>三、2023年财政预算草案</w:t>
      </w:r>
    </w:p>
    <w:p>
      <w:pPr>
        <w:keepNext w:val="0"/>
        <w:keepLines w:val="0"/>
        <w:pageBreakBefore w:val="0"/>
        <w:wordWrap/>
        <w:overflowPunct/>
        <w:topLinePunct w:val="0"/>
        <w:bidi w:val="0"/>
        <w:spacing w:line="580" w:lineRule="exact"/>
        <w:ind w:firstLine="640" w:firstLineChars="200"/>
        <w:textAlignment w:val="auto"/>
      </w:pPr>
      <w:r>
        <w:rPr>
          <w:rFonts w:eastAsia="仿宋_GB2312"/>
          <w:color w:val="000000"/>
          <w:kern w:val="0"/>
          <w:sz w:val="32"/>
          <w:szCs w:val="32"/>
        </w:rPr>
        <w:t>2023年</w:t>
      </w:r>
      <w:r>
        <w:rPr>
          <w:rFonts w:hint="eastAsia" w:eastAsia="仿宋_GB2312"/>
          <w:color w:val="000000"/>
          <w:kern w:val="0"/>
          <w:sz w:val="32"/>
          <w:szCs w:val="32"/>
        </w:rPr>
        <w:t>，</w:t>
      </w:r>
      <w:r>
        <w:rPr>
          <w:rFonts w:eastAsia="仿宋_GB2312"/>
          <w:color w:val="000000"/>
          <w:kern w:val="0"/>
          <w:sz w:val="32"/>
          <w:szCs w:val="32"/>
        </w:rPr>
        <w:t>面对错综复杂的经济形势，中央“六个统筹”协调推进，“五大政策”协同发力，积极的财政政策加力提效，存量增量措施叠加实施。</w:t>
      </w:r>
      <w:r>
        <w:rPr>
          <w:rFonts w:eastAsia="仿宋_GB2312"/>
          <w:color w:val="000000"/>
          <w:sz w:val="32"/>
          <w:szCs w:val="32"/>
        </w:rPr>
        <w:t>我县经济发展迎来重大机遇期，经济运行有望进一步提升。面对新形势、新机遇、新挑战，我们将牢固树立底线思维，增强忧患意识，发扬斗争精神，迎难而上，更好服务全县经济社会高质量发展。</w:t>
      </w:r>
    </w:p>
    <w:p>
      <w:pPr>
        <w:pStyle w:val="28"/>
        <w:keepNext w:val="0"/>
        <w:keepLines w:val="0"/>
        <w:pageBreakBefore w:val="0"/>
        <w:wordWrap/>
        <w:overflowPunct/>
        <w:topLinePunct w:val="0"/>
        <w:autoSpaceDE w:val="0"/>
        <w:autoSpaceDN w:val="0"/>
        <w:bidi w:val="0"/>
        <w:spacing w:line="580" w:lineRule="exact"/>
        <w:ind w:firstLine="643" w:firstLineChars="2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（一）预算编制的指导思想和基本原则</w:t>
      </w:r>
    </w:p>
    <w:p>
      <w:pPr>
        <w:keepNext w:val="0"/>
        <w:keepLines w:val="0"/>
        <w:pageBreakBefore w:val="0"/>
        <w:wordWrap/>
        <w:overflowPunct/>
        <w:topLinePunct w:val="0"/>
        <w:bidi w:val="0"/>
        <w:spacing w:line="580" w:lineRule="exact"/>
        <w:ind w:firstLine="640" w:firstLineChars="200"/>
        <w:textAlignment w:val="auto"/>
        <w:rPr>
          <w:rFonts w:ascii="仿宋_GB2312" w:hAnsi="仿宋_GB2312" w:eastAsia="仿宋_GB2312"/>
          <w:kern w:val="0"/>
          <w:sz w:val="32"/>
          <w:szCs w:val="32"/>
        </w:rPr>
      </w:pPr>
      <w:r>
        <w:rPr>
          <w:rFonts w:hint="eastAsia" w:ascii="仿宋_GB2312" w:hAnsi="仿宋_GB2312" w:eastAsia="仿宋_GB2312"/>
          <w:sz w:val="32"/>
          <w:szCs w:val="32"/>
        </w:rPr>
        <w:t>根据中央省市相关政策文件精神，</w:t>
      </w:r>
      <w:r>
        <w:rPr>
          <w:rFonts w:hint="eastAsia" w:ascii="仿宋_GB2312" w:eastAsia="仿宋_GB2312"/>
          <w:b/>
          <w:bCs/>
          <w:sz w:val="32"/>
          <w:szCs w:val="32"/>
        </w:rPr>
        <w:t>2023</w:t>
      </w:r>
      <w:r>
        <w:rPr>
          <w:rFonts w:hint="eastAsia" w:ascii="仿宋_GB2312" w:hAnsi="仿宋_GB2312" w:eastAsia="仿宋_GB2312"/>
          <w:b/>
          <w:bCs/>
          <w:sz w:val="32"/>
          <w:szCs w:val="32"/>
        </w:rPr>
        <w:t>年预算编制的指导思想是：</w:t>
      </w:r>
      <w:r>
        <w:rPr>
          <w:rFonts w:ascii="仿宋_GB2312" w:hAnsi="仿宋_GB2312" w:eastAsia="仿宋_GB2312"/>
          <w:kern w:val="0"/>
          <w:sz w:val="32"/>
          <w:szCs w:val="32"/>
        </w:rPr>
        <w:t>以习近平新时代中国特色社会主义思想为指导，全面贯彻落实党的二十大精神，全面落实省、市、县经济工作会议和全省财政工作会议精神，坚持稳中求进工作总基调，积极的财政政策要加力提效，注重精准、更可持续，加强财政资源统筹，保持必要支出强度，推动经济运行整体好转；坚持在发展中保障和改善民生，兜牢民生底线；切实履行好财会监督主责，整饬财经秩序，严肃财经纪律；更好统筹发展和安全，有效防范化解政府债务风险，兜牢“三保”底线；</w:t>
      </w:r>
      <w:r>
        <w:rPr>
          <w:rFonts w:hint="eastAsia" w:ascii="仿宋_GB2312" w:hAnsi="仿宋_GB2312" w:eastAsia="仿宋_GB2312"/>
          <w:kern w:val="0"/>
          <w:sz w:val="32"/>
          <w:szCs w:val="32"/>
        </w:rPr>
        <w:t>持续规范财政管理</w:t>
      </w:r>
      <w:r>
        <w:rPr>
          <w:rFonts w:ascii="仿宋_GB2312" w:hAnsi="仿宋_GB2312" w:eastAsia="仿宋_GB2312"/>
          <w:kern w:val="0"/>
          <w:sz w:val="32"/>
          <w:szCs w:val="32"/>
        </w:rPr>
        <w:t>，落实“三高四新”战略定位和使命任务，为全县社会经济高质量发展提供有力支撑。</w:t>
      </w:r>
    </w:p>
    <w:p>
      <w:pPr>
        <w:keepNext w:val="0"/>
        <w:keepLines w:val="0"/>
        <w:pageBreakBefore w:val="0"/>
        <w:wordWrap/>
        <w:overflowPunct/>
        <w:topLinePunct w:val="0"/>
        <w:bidi w:val="0"/>
        <w:spacing w:line="580" w:lineRule="exact"/>
        <w:ind w:firstLine="640" w:firstLineChars="200"/>
        <w:textAlignment w:val="auto"/>
        <w:rPr>
          <w:rFonts w:ascii="仿宋_GB2312" w:eastAsia="仿宋_GB2312"/>
          <w:sz w:val="32"/>
          <w:szCs w:val="32"/>
        </w:rPr>
      </w:pPr>
      <w:r>
        <w:rPr>
          <w:rFonts w:hint="eastAsia" w:ascii="仿宋_GB2312" w:hAnsi="仿宋_GB2312" w:eastAsia="仿宋_GB2312"/>
          <w:sz w:val="32"/>
          <w:szCs w:val="32"/>
        </w:rPr>
        <w:t>贯彻上述指导思想，</w:t>
      </w:r>
      <w:r>
        <w:rPr>
          <w:rFonts w:hint="eastAsia" w:ascii="仿宋_GB2312" w:eastAsia="仿宋_GB2312"/>
          <w:b/>
          <w:bCs/>
          <w:sz w:val="32"/>
          <w:szCs w:val="32"/>
        </w:rPr>
        <w:t>2023</w:t>
      </w:r>
      <w:r>
        <w:rPr>
          <w:rFonts w:hint="eastAsia" w:ascii="仿宋_GB2312" w:hAnsi="仿宋_GB2312" w:eastAsia="仿宋_GB2312"/>
          <w:b/>
          <w:bCs/>
          <w:sz w:val="32"/>
          <w:szCs w:val="32"/>
        </w:rPr>
        <w:t>年预算编制的基本原则：一</w:t>
      </w:r>
      <w:r>
        <w:rPr>
          <w:rFonts w:eastAsia="仿宋_GB2312"/>
          <w:b/>
          <w:color w:val="000000"/>
          <w:sz w:val="32"/>
          <w:szCs w:val="32"/>
        </w:rPr>
        <w:t>是坚持兜稳底线。</w:t>
      </w:r>
      <w:r>
        <w:rPr>
          <w:rFonts w:eastAsia="仿宋_GB2312"/>
          <w:bCs/>
          <w:color w:val="000000"/>
          <w:sz w:val="32"/>
          <w:szCs w:val="32"/>
        </w:rPr>
        <w:t>积极应对复杂严峻形势，强化底线思维，</w:t>
      </w:r>
      <w:r>
        <w:rPr>
          <w:rFonts w:hint="eastAsia" w:eastAsia="仿宋_GB2312"/>
          <w:bCs/>
          <w:color w:val="000000"/>
          <w:sz w:val="32"/>
          <w:szCs w:val="32"/>
        </w:rPr>
        <w:t>始终将保“三保”摆在预算安排的首要位置，债务还本付息等刚性支出优先安排，保障</w:t>
      </w:r>
      <w:r>
        <w:rPr>
          <w:rFonts w:eastAsia="仿宋_GB2312"/>
          <w:bCs/>
          <w:color w:val="000000"/>
          <w:sz w:val="32"/>
          <w:szCs w:val="32"/>
        </w:rPr>
        <w:t>财政可持续和地方政府债务风险可控。</w:t>
      </w:r>
      <w:r>
        <w:rPr>
          <w:rFonts w:hint="eastAsia" w:eastAsia="仿宋_GB2312"/>
          <w:b/>
          <w:color w:val="000000"/>
          <w:sz w:val="32"/>
          <w:szCs w:val="32"/>
        </w:rPr>
        <w:t>二是</w:t>
      </w:r>
      <w:r>
        <w:rPr>
          <w:rFonts w:eastAsia="仿宋_GB2312"/>
          <w:b/>
          <w:color w:val="000000"/>
          <w:sz w:val="32"/>
          <w:szCs w:val="32"/>
        </w:rPr>
        <w:t>坚持聚焦关键。</w:t>
      </w:r>
      <w:r>
        <w:rPr>
          <w:rFonts w:eastAsia="仿宋_GB2312"/>
          <w:bCs/>
          <w:color w:val="000000"/>
          <w:sz w:val="32"/>
          <w:szCs w:val="32"/>
        </w:rPr>
        <w:t>紧扣发展第一要务，集中财力保重点，突出加大对</w:t>
      </w:r>
      <w:r>
        <w:rPr>
          <w:rFonts w:hint="eastAsia" w:eastAsia="仿宋_GB2312"/>
          <w:bCs/>
          <w:color w:val="000000"/>
          <w:sz w:val="32"/>
          <w:szCs w:val="32"/>
        </w:rPr>
        <w:t>“四个十”工作</w:t>
      </w:r>
      <w:r>
        <w:rPr>
          <w:rFonts w:eastAsia="仿宋_GB2312"/>
          <w:bCs/>
          <w:color w:val="000000"/>
          <w:sz w:val="32"/>
          <w:szCs w:val="32"/>
        </w:rPr>
        <w:t>的资金支持</w:t>
      </w:r>
      <w:r>
        <w:rPr>
          <w:rFonts w:hint="eastAsia" w:eastAsia="仿宋_GB2312"/>
          <w:bCs/>
          <w:color w:val="000000"/>
          <w:sz w:val="32"/>
          <w:szCs w:val="32"/>
        </w:rPr>
        <w:t>和文明创建工作的重点保障</w:t>
      </w:r>
      <w:r>
        <w:rPr>
          <w:rFonts w:eastAsia="仿宋_GB2312"/>
          <w:bCs/>
          <w:color w:val="000000"/>
          <w:sz w:val="32"/>
          <w:szCs w:val="32"/>
        </w:rPr>
        <w:t>。</w:t>
      </w:r>
      <w:r>
        <w:rPr>
          <w:rFonts w:hint="eastAsia" w:eastAsia="仿宋_GB2312"/>
          <w:b/>
          <w:color w:val="000000"/>
          <w:sz w:val="32"/>
          <w:szCs w:val="32"/>
        </w:rPr>
        <w:t>三</w:t>
      </w:r>
      <w:r>
        <w:rPr>
          <w:rFonts w:eastAsia="仿宋_GB2312"/>
          <w:b/>
          <w:color w:val="000000"/>
          <w:sz w:val="32"/>
          <w:szCs w:val="32"/>
        </w:rPr>
        <w:t>是坚持全面统筹。</w:t>
      </w:r>
      <w:r>
        <w:rPr>
          <w:rFonts w:eastAsia="仿宋_GB2312"/>
          <w:bCs/>
          <w:color w:val="000000"/>
          <w:sz w:val="32"/>
          <w:szCs w:val="32"/>
        </w:rPr>
        <w:t>强化全口径预算管理，克服突出收支矛盾，积极向上争资，全面盘活三资，保持必要的支出强度，加强县委、县政府重大战略任务财力保障。</w:t>
      </w:r>
      <w:r>
        <w:rPr>
          <w:rFonts w:hint="eastAsia" w:eastAsia="仿宋_GB2312"/>
          <w:b/>
          <w:color w:val="000000"/>
          <w:sz w:val="32"/>
          <w:szCs w:val="32"/>
        </w:rPr>
        <w:t>四</w:t>
      </w:r>
      <w:r>
        <w:rPr>
          <w:rFonts w:eastAsia="仿宋_GB2312"/>
          <w:b/>
          <w:color w:val="000000"/>
          <w:sz w:val="32"/>
          <w:szCs w:val="32"/>
        </w:rPr>
        <w:t>是坚持艰苦奋斗。</w:t>
      </w:r>
      <w:r>
        <w:rPr>
          <w:rFonts w:eastAsia="仿宋_GB2312"/>
          <w:bCs/>
          <w:color w:val="000000"/>
          <w:sz w:val="32"/>
          <w:szCs w:val="32"/>
        </w:rPr>
        <w:t>将过“紧日子”思想贯穿预算管理全过程，勤俭办一切事业，进一步压减低效无效支出，</w:t>
      </w:r>
      <w:r>
        <w:rPr>
          <w:rFonts w:hint="eastAsia" w:eastAsia="仿宋_GB2312"/>
          <w:bCs/>
          <w:color w:val="000000"/>
          <w:sz w:val="32"/>
          <w:szCs w:val="32"/>
        </w:rPr>
        <w:t>各部门预算单位非生产性支出只减不增，</w:t>
      </w:r>
      <w:r>
        <w:rPr>
          <w:rFonts w:eastAsia="仿宋_GB2312"/>
          <w:bCs/>
          <w:color w:val="000000"/>
          <w:sz w:val="32"/>
          <w:szCs w:val="32"/>
        </w:rPr>
        <w:t>尽力而为、量力而行安排新增支出。</w:t>
      </w:r>
      <w:r>
        <w:rPr>
          <w:rFonts w:hint="eastAsia" w:eastAsia="仿宋_GB2312"/>
          <w:b/>
          <w:color w:val="000000"/>
          <w:sz w:val="32"/>
          <w:szCs w:val="32"/>
        </w:rPr>
        <w:t>五</w:t>
      </w:r>
      <w:r>
        <w:rPr>
          <w:rFonts w:eastAsia="仿宋_GB2312"/>
          <w:b/>
          <w:color w:val="000000"/>
          <w:sz w:val="32"/>
          <w:szCs w:val="32"/>
        </w:rPr>
        <w:t>是坚持改革创新。</w:t>
      </w:r>
      <w:r>
        <w:rPr>
          <w:rFonts w:hint="eastAsia" w:eastAsia="仿宋_GB2312"/>
          <w:bCs/>
          <w:color w:val="000000"/>
          <w:sz w:val="32"/>
          <w:szCs w:val="32"/>
        </w:rPr>
        <w:t>深化</w:t>
      </w:r>
      <w:r>
        <w:rPr>
          <w:rFonts w:eastAsia="仿宋_GB2312"/>
          <w:bCs/>
          <w:color w:val="000000"/>
          <w:sz w:val="32"/>
          <w:szCs w:val="32"/>
        </w:rPr>
        <w:t>拓展预算改革成果，充分发挥财政在宏观经济治理中的重要作用，进一步提升财政政策效能和资金绩效。</w:t>
      </w:r>
    </w:p>
    <w:p>
      <w:pPr>
        <w:pStyle w:val="28"/>
        <w:keepNext w:val="0"/>
        <w:keepLines w:val="0"/>
        <w:pageBreakBefore w:val="0"/>
        <w:wordWrap/>
        <w:overflowPunct/>
        <w:topLinePunct w:val="0"/>
        <w:autoSpaceDE w:val="0"/>
        <w:autoSpaceDN w:val="0"/>
        <w:bidi w:val="0"/>
        <w:spacing w:line="580" w:lineRule="exact"/>
        <w:ind w:firstLine="643" w:firstLineChars="2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（二）收入预计与支出安排</w:t>
      </w:r>
    </w:p>
    <w:p>
      <w:pPr>
        <w:pStyle w:val="28"/>
        <w:keepNext w:val="0"/>
        <w:keepLines w:val="0"/>
        <w:pageBreakBefore w:val="0"/>
        <w:wordWrap/>
        <w:overflowPunct/>
        <w:topLinePunct w:val="0"/>
        <w:autoSpaceDE w:val="0"/>
        <w:autoSpaceDN w:val="0"/>
        <w:bidi w:val="0"/>
        <w:spacing w:line="580" w:lineRule="exact"/>
        <w:ind w:firstLine="643" w:firstLineChars="200"/>
        <w:textAlignment w:val="auto"/>
        <w:rPr>
          <w:rFonts w:ascii="仿宋_GB2312" w:hAnsi="仿宋_GB2312" w:eastAsia="仿宋_GB2312" w:cs="Times New Roman"/>
          <w:b/>
          <w:bCs/>
          <w:sz w:val="32"/>
          <w:szCs w:val="32"/>
        </w:rPr>
      </w:pPr>
      <w:r>
        <w:rPr>
          <w:rFonts w:hint="eastAsia" w:ascii="仿宋_GB2312" w:hAnsi="仿宋_GB2312" w:eastAsia="仿宋_GB2312" w:cs="Times New Roman"/>
          <w:b/>
          <w:bCs/>
          <w:sz w:val="32"/>
          <w:szCs w:val="32"/>
        </w:rPr>
        <w:t>1.一般公共预算</w:t>
      </w:r>
    </w:p>
    <w:p>
      <w:pPr>
        <w:pStyle w:val="28"/>
        <w:keepNext w:val="0"/>
        <w:keepLines w:val="0"/>
        <w:pageBreakBefore w:val="0"/>
        <w:wordWrap/>
        <w:overflowPunct/>
        <w:topLinePunct w:val="0"/>
        <w:autoSpaceDE w:val="0"/>
        <w:autoSpaceDN w:val="0"/>
        <w:bidi w:val="0"/>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2023年地方一般公共预算收入在上年完成数14.74亿的基础上按增长9%安排，全年预计数为16.07亿。其中税收收入12.1</w:t>
      </w:r>
      <w:r>
        <w:rPr>
          <w:rFonts w:hint="eastAsia" w:ascii="仿宋_GB2312" w:hAnsi="仿宋_GB2312" w:eastAsia="仿宋_GB2312" w:cs="Times New Roman"/>
          <w:sz w:val="32"/>
          <w:szCs w:val="32"/>
          <w:lang w:val="en-US" w:eastAsia="zh-CN"/>
        </w:rPr>
        <w:t>8</w:t>
      </w:r>
      <w:r>
        <w:rPr>
          <w:rFonts w:hint="eastAsia" w:ascii="仿宋_GB2312" w:hAnsi="仿宋_GB2312" w:eastAsia="仿宋_GB2312" w:cs="Times New Roman"/>
          <w:sz w:val="32"/>
          <w:szCs w:val="32"/>
        </w:rPr>
        <w:t>亿元，非税收入3.89亿元，税收占比75.8%。</w:t>
      </w:r>
    </w:p>
    <w:p>
      <w:pPr>
        <w:pStyle w:val="28"/>
        <w:keepNext w:val="0"/>
        <w:keepLines w:val="0"/>
        <w:pageBreakBefore w:val="0"/>
        <w:wordWrap/>
        <w:overflowPunct/>
        <w:topLinePunct w:val="0"/>
        <w:autoSpaceDE w:val="0"/>
        <w:autoSpaceDN w:val="0"/>
        <w:bidi w:val="0"/>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一般公共预算地方收入16.07亿元，加上上级补助收入26.21亿元，上年结余收入</w:t>
      </w:r>
      <w:r>
        <w:rPr>
          <w:rFonts w:hint="eastAsia" w:ascii="仿宋_GB2312" w:hAnsi="仿宋_GB2312" w:eastAsia="仿宋_GB2312" w:cs="Times New Roman"/>
          <w:sz w:val="32"/>
          <w:szCs w:val="32"/>
          <w:lang w:val="en-US" w:eastAsia="zh-CN"/>
        </w:rPr>
        <w:t>0.35</w:t>
      </w:r>
      <w:r>
        <w:rPr>
          <w:rFonts w:hint="eastAsia" w:ascii="仿宋_GB2312" w:hAnsi="仿宋_GB2312" w:eastAsia="仿宋_GB2312" w:cs="Times New Roman"/>
          <w:sz w:val="32"/>
          <w:szCs w:val="32"/>
        </w:rPr>
        <w:t>亿元，</w:t>
      </w:r>
      <w:r>
        <w:rPr>
          <w:rFonts w:hint="eastAsia" w:ascii="仿宋_GB2312" w:hAnsi="仿宋_GB2312" w:eastAsia="仿宋_GB2312" w:cs="Times New Roman"/>
          <w:sz w:val="32"/>
          <w:szCs w:val="32"/>
          <w:lang w:eastAsia="zh-CN"/>
        </w:rPr>
        <w:t>调入预算稳定调节基金</w:t>
      </w:r>
      <w:r>
        <w:rPr>
          <w:rFonts w:hint="eastAsia" w:ascii="仿宋_GB2312" w:hAnsi="仿宋_GB2312" w:eastAsia="仿宋_GB2312" w:cs="Times New Roman"/>
          <w:sz w:val="32"/>
          <w:szCs w:val="32"/>
          <w:lang w:val="en-US" w:eastAsia="zh-CN"/>
        </w:rPr>
        <w:t>0.7亿元，</w:t>
      </w:r>
      <w:r>
        <w:rPr>
          <w:rFonts w:hint="eastAsia" w:ascii="仿宋_GB2312" w:hAnsi="仿宋_GB2312" w:eastAsia="仿宋_GB2312" w:cs="Times New Roman"/>
          <w:sz w:val="32"/>
          <w:szCs w:val="32"/>
        </w:rPr>
        <w:t>从政府性基金预算调入8.4亿元，债</w:t>
      </w:r>
      <w:r>
        <w:rPr>
          <w:rFonts w:hint="eastAsia" w:ascii="仿宋_GB2312" w:hAnsi="仿宋_GB2312" w:eastAsia="仿宋_GB2312" w:cs="Times New Roman"/>
          <w:sz w:val="32"/>
          <w:szCs w:val="32"/>
          <w:lang w:eastAsia="zh-CN"/>
        </w:rPr>
        <w:t>务</w:t>
      </w:r>
      <w:r>
        <w:rPr>
          <w:rFonts w:hint="eastAsia" w:ascii="仿宋_GB2312" w:hAnsi="仿宋_GB2312" w:eastAsia="仿宋_GB2312" w:cs="Times New Roman"/>
          <w:sz w:val="32"/>
          <w:szCs w:val="32"/>
        </w:rPr>
        <w:t>转贷收入0.72亿元，收入合计52.45亿元;县本级支出安排51.</w:t>
      </w:r>
      <w:r>
        <w:rPr>
          <w:rFonts w:hint="eastAsia" w:ascii="仿宋_GB2312" w:hAnsi="仿宋_GB2312" w:eastAsia="仿宋_GB2312" w:cs="Times New Roman"/>
          <w:sz w:val="32"/>
          <w:szCs w:val="32"/>
          <w:lang w:val="en-US" w:eastAsia="zh-CN"/>
        </w:rPr>
        <w:t>99</w:t>
      </w:r>
      <w:r>
        <w:rPr>
          <w:rFonts w:hint="eastAsia" w:ascii="仿宋_GB2312" w:hAnsi="仿宋_GB2312" w:eastAsia="仿宋_GB2312" w:cs="Times New Roman"/>
          <w:sz w:val="32"/>
          <w:szCs w:val="32"/>
        </w:rPr>
        <w:t>亿元，加上上解支出0.45亿元，支出合计52.</w:t>
      </w:r>
      <w:r>
        <w:rPr>
          <w:rFonts w:hint="eastAsia" w:ascii="仿宋_GB2312" w:hAnsi="仿宋_GB2312" w:eastAsia="仿宋_GB2312" w:cs="Times New Roman"/>
          <w:sz w:val="32"/>
          <w:szCs w:val="32"/>
          <w:lang w:val="en-US" w:eastAsia="zh-CN"/>
        </w:rPr>
        <w:t>44</w:t>
      </w:r>
      <w:r>
        <w:rPr>
          <w:rFonts w:hint="eastAsia" w:ascii="仿宋_GB2312" w:hAnsi="仿宋_GB2312" w:eastAsia="仿宋_GB2312" w:cs="Times New Roman"/>
          <w:sz w:val="32"/>
          <w:szCs w:val="32"/>
        </w:rPr>
        <w:t>亿元，结余</w:t>
      </w:r>
      <w:r>
        <w:rPr>
          <w:rFonts w:hint="eastAsia" w:ascii="仿宋_GB2312" w:hAnsi="仿宋_GB2312" w:eastAsia="仿宋_GB2312" w:cs="Times New Roman"/>
          <w:sz w:val="32"/>
          <w:szCs w:val="32"/>
          <w:lang w:val="en-US" w:eastAsia="zh-CN"/>
        </w:rPr>
        <w:t>108万</w:t>
      </w:r>
      <w:r>
        <w:rPr>
          <w:rFonts w:hint="eastAsia" w:ascii="仿宋_GB2312" w:hAnsi="仿宋_GB2312" w:eastAsia="仿宋_GB2312" w:cs="Times New Roman"/>
          <w:sz w:val="32"/>
          <w:szCs w:val="32"/>
        </w:rPr>
        <w:t>元。</w:t>
      </w:r>
    </w:p>
    <w:p>
      <w:pPr>
        <w:pStyle w:val="28"/>
        <w:keepNext w:val="0"/>
        <w:keepLines w:val="0"/>
        <w:pageBreakBefore w:val="0"/>
        <w:wordWrap/>
        <w:overflowPunct/>
        <w:topLinePunct w:val="0"/>
        <w:autoSpaceDE w:val="0"/>
        <w:autoSpaceDN w:val="0"/>
        <w:bidi w:val="0"/>
        <w:spacing w:line="580" w:lineRule="exact"/>
        <w:ind w:firstLine="643" w:firstLineChars="200"/>
        <w:textAlignment w:val="auto"/>
        <w:rPr>
          <w:rFonts w:ascii="仿宋_GB2312" w:hAnsi="仿宋_GB2312" w:eastAsia="仿宋_GB2312" w:cs="Times New Roman"/>
          <w:b/>
          <w:bCs/>
          <w:sz w:val="32"/>
          <w:szCs w:val="32"/>
        </w:rPr>
      </w:pPr>
      <w:r>
        <w:rPr>
          <w:rFonts w:hint="eastAsia" w:ascii="仿宋_GB2312" w:hAnsi="仿宋_GB2312" w:eastAsia="仿宋_GB2312" w:cs="Times New Roman"/>
          <w:b/>
          <w:bCs/>
          <w:sz w:val="32"/>
          <w:szCs w:val="32"/>
        </w:rPr>
        <w:t>2.政府性基金预算</w:t>
      </w:r>
    </w:p>
    <w:p>
      <w:pPr>
        <w:pStyle w:val="28"/>
        <w:keepNext w:val="0"/>
        <w:keepLines w:val="0"/>
        <w:pageBreakBefore w:val="0"/>
        <w:wordWrap/>
        <w:overflowPunct/>
        <w:topLinePunct w:val="0"/>
        <w:autoSpaceDE w:val="0"/>
        <w:autoSpaceDN w:val="0"/>
        <w:bidi w:val="0"/>
        <w:spacing w:line="580" w:lineRule="exact"/>
        <w:ind w:firstLine="640" w:firstLineChars="200"/>
        <w:textAlignment w:val="auto"/>
        <w:rPr>
          <w:rFonts w:ascii="仿宋_GB2312" w:hAnsi="仿宋_GB2312" w:eastAsia="仿宋_GB2312" w:cs="Times New Roman"/>
          <w:b/>
          <w:bCs/>
          <w:sz w:val="32"/>
          <w:szCs w:val="32"/>
        </w:rPr>
      </w:pPr>
      <w:r>
        <w:rPr>
          <w:rFonts w:hint="eastAsia" w:ascii="仿宋_GB2312" w:hAnsi="仿宋_GB2312" w:eastAsia="仿宋_GB2312" w:cs="Times New Roman"/>
          <w:sz w:val="32"/>
          <w:szCs w:val="32"/>
        </w:rPr>
        <w:t>根据基金收入和实际支出情况，按基金项目以收定支编制。2023年政府性基金收入安排20.74亿元，主要是国有土地使用权出让金收入17亿元</w:t>
      </w:r>
      <w:r>
        <w:rPr>
          <w:rFonts w:hint="eastAsia" w:ascii="仿宋_GB2312" w:hAnsi="仿宋_GB2312" w:eastAsia="仿宋_GB2312" w:cs="Times New Roman"/>
          <w:color w:val="auto"/>
          <w:sz w:val="32"/>
          <w:szCs w:val="32"/>
        </w:rPr>
        <w:t>，矿产资源收入</w:t>
      </w:r>
      <w:r>
        <w:rPr>
          <w:rFonts w:hint="eastAsia" w:ascii="仿宋_GB2312" w:hAnsi="仿宋_GB2312" w:eastAsia="仿宋_GB2312" w:cs="Times New Roman"/>
          <w:color w:val="auto"/>
          <w:sz w:val="32"/>
          <w:szCs w:val="32"/>
          <w:lang w:val="en-US" w:eastAsia="zh-CN"/>
        </w:rPr>
        <w:t>1.87</w:t>
      </w:r>
      <w:r>
        <w:rPr>
          <w:rFonts w:hint="eastAsia" w:ascii="仿宋_GB2312" w:hAnsi="仿宋_GB2312" w:eastAsia="仿宋_GB2312" w:cs="Times New Roman"/>
          <w:color w:val="auto"/>
          <w:sz w:val="32"/>
          <w:szCs w:val="32"/>
        </w:rPr>
        <w:t>亿元</w:t>
      </w:r>
      <w:r>
        <w:rPr>
          <w:rFonts w:hint="eastAsia" w:ascii="仿宋_GB2312" w:hAnsi="仿宋_GB2312" w:eastAsia="仿宋_GB2312" w:cs="Times New Roman"/>
          <w:color w:val="auto"/>
          <w:sz w:val="32"/>
          <w:szCs w:val="32"/>
          <w:lang w:eastAsia="zh-CN"/>
        </w:rPr>
        <w:t>（目标</w:t>
      </w:r>
      <w:r>
        <w:rPr>
          <w:rFonts w:hint="eastAsia" w:ascii="仿宋_GB2312" w:hAnsi="仿宋_GB2312" w:eastAsia="仿宋_GB2312" w:cs="Times New Roman"/>
          <w:color w:val="auto"/>
          <w:sz w:val="32"/>
          <w:szCs w:val="32"/>
          <w:lang w:val="en-US" w:eastAsia="zh-CN"/>
        </w:rPr>
        <w:t>3.24亿元</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color w:val="auto"/>
          <w:sz w:val="32"/>
          <w:szCs w:val="32"/>
        </w:rPr>
        <w:t>，国有企业上缴利润收入1.</w:t>
      </w:r>
      <w:r>
        <w:rPr>
          <w:rFonts w:hint="eastAsia" w:ascii="仿宋_GB2312" w:hAnsi="仿宋_GB2312" w:eastAsia="仿宋_GB2312" w:cs="Times New Roman"/>
          <w:color w:val="auto"/>
          <w:sz w:val="32"/>
          <w:szCs w:val="32"/>
          <w:lang w:val="en-US" w:eastAsia="zh-CN"/>
        </w:rPr>
        <w:t>4</w:t>
      </w:r>
      <w:r>
        <w:rPr>
          <w:rFonts w:hint="eastAsia" w:ascii="仿宋_GB2312" w:hAnsi="仿宋_GB2312" w:eastAsia="仿宋_GB2312" w:cs="Times New Roman"/>
          <w:color w:val="auto"/>
          <w:sz w:val="32"/>
          <w:szCs w:val="32"/>
        </w:rPr>
        <w:t>亿元</w:t>
      </w:r>
      <w:r>
        <w:rPr>
          <w:rFonts w:hint="eastAsia" w:ascii="仿宋_GB2312" w:hAnsi="仿宋_GB2312" w:eastAsia="仿宋_GB2312" w:cs="Times New Roman"/>
          <w:color w:val="auto"/>
          <w:sz w:val="32"/>
          <w:szCs w:val="32"/>
          <w:lang w:eastAsia="zh-CN"/>
        </w:rPr>
        <w:t>，</w:t>
      </w:r>
      <w:r>
        <w:rPr>
          <w:rFonts w:hint="eastAsia" w:ascii="仿宋_GB2312" w:hAnsi="仿宋_GB2312" w:eastAsia="仿宋_GB2312" w:cs="Times New Roman"/>
          <w:sz w:val="32"/>
          <w:szCs w:val="32"/>
        </w:rPr>
        <w:t>城市基础设施配套费收入0.2亿元</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专项债务对应项目专项收入0.27亿元、污水处理费收入0.1亿元。加上上级专项指标收入1亿元，上年结余收入0.65亿元，</w:t>
      </w:r>
      <w:r>
        <w:rPr>
          <w:rFonts w:hint="eastAsia" w:ascii="仿宋_GB2312" w:hAnsi="仿宋_GB2312" w:eastAsia="仿宋_GB2312" w:cs="Times New Roman"/>
          <w:sz w:val="32"/>
          <w:szCs w:val="32"/>
          <w:lang w:eastAsia="zh-CN"/>
        </w:rPr>
        <w:t>专项债券转贷收入</w:t>
      </w:r>
      <w:r>
        <w:rPr>
          <w:rFonts w:hint="eastAsia" w:ascii="仿宋_GB2312" w:hAnsi="仿宋_GB2312" w:eastAsia="仿宋_GB2312" w:cs="Times New Roman"/>
          <w:sz w:val="32"/>
          <w:szCs w:val="32"/>
          <w:lang w:val="en-US" w:eastAsia="zh-CN"/>
        </w:rPr>
        <w:t>5.81亿元，</w:t>
      </w:r>
      <w:r>
        <w:rPr>
          <w:rFonts w:hint="eastAsia" w:ascii="仿宋_GB2312" w:hAnsi="仿宋_GB2312" w:eastAsia="仿宋_GB2312" w:cs="Times New Roman"/>
          <w:sz w:val="32"/>
          <w:szCs w:val="32"/>
        </w:rPr>
        <w:t>收入合计</w:t>
      </w:r>
      <w:r>
        <w:rPr>
          <w:rFonts w:hint="eastAsia" w:ascii="仿宋_GB2312" w:hAnsi="仿宋_GB2312" w:eastAsia="仿宋_GB2312" w:cs="Times New Roman"/>
          <w:sz w:val="32"/>
          <w:szCs w:val="32"/>
          <w:lang w:val="en-US" w:eastAsia="zh-CN"/>
        </w:rPr>
        <w:t>28.2</w:t>
      </w:r>
      <w:r>
        <w:rPr>
          <w:rFonts w:hint="eastAsia" w:ascii="仿宋_GB2312" w:hAnsi="仿宋_GB2312" w:eastAsia="仿宋_GB2312" w:cs="Times New Roman"/>
          <w:sz w:val="32"/>
          <w:szCs w:val="32"/>
        </w:rPr>
        <w:t>亿元；支出安排1</w:t>
      </w:r>
      <w:r>
        <w:rPr>
          <w:rFonts w:hint="eastAsia" w:ascii="仿宋_GB2312" w:hAnsi="仿宋_GB2312" w:eastAsia="仿宋_GB2312" w:cs="Times New Roman"/>
          <w:sz w:val="32"/>
          <w:szCs w:val="32"/>
          <w:lang w:val="en-US" w:eastAsia="zh-CN"/>
        </w:rPr>
        <w:t>8.68</w:t>
      </w:r>
      <w:r>
        <w:rPr>
          <w:rFonts w:hint="eastAsia" w:ascii="仿宋_GB2312" w:hAnsi="仿宋_GB2312" w:eastAsia="仿宋_GB2312" w:cs="Times New Roman"/>
          <w:sz w:val="32"/>
          <w:szCs w:val="32"/>
        </w:rPr>
        <w:t>亿元，上解支出0.01亿元，调出资金8.4亿元，债务还本支出1.11亿元，支出合计</w:t>
      </w:r>
      <w:r>
        <w:rPr>
          <w:rFonts w:hint="eastAsia" w:ascii="仿宋_GB2312" w:hAnsi="仿宋_GB2312" w:eastAsia="仿宋_GB2312" w:cs="Times New Roman"/>
          <w:sz w:val="32"/>
          <w:szCs w:val="32"/>
          <w:lang w:val="en-US" w:eastAsia="zh-CN"/>
        </w:rPr>
        <w:t>28.2</w:t>
      </w:r>
      <w:r>
        <w:rPr>
          <w:rFonts w:hint="eastAsia" w:ascii="仿宋_GB2312" w:hAnsi="仿宋_GB2312" w:eastAsia="仿宋_GB2312" w:cs="Times New Roman"/>
          <w:sz w:val="32"/>
          <w:szCs w:val="32"/>
        </w:rPr>
        <w:t>亿元，结余</w:t>
      </w:r>
      <w:r>
        <w:rPr>
          <w:rFonts w:hint="eastAsia" w:ascii="仿宋_GB2312" w:hAnsi="仿宋_GB2312" w:eastAsia="仿宋_GB2312" w:cs="Times New Roman"/>
          <w:sz w:val="32"/>
          <w:szCs w:val="32"/>
          <w:lang w:val="en-US" w:eastAsia="zh-CN"/>
        </w:rPr>
        <w:t>7</w:t>
      </w:r>
      <w:r>
        <w:rPr>
          <w:rFonts w:hint="eastAsia" w:ascii="仿宋_GB2312" w:hAnsi="仿宋_GB2312" w:eastAsia="仿宋_GB2312" w:cs="Times New Roman"/>
          <w:sz w:val="32"/>
          <w:szCs w:val="32"/>
        </w:rPr>
        <w:t>万元。</w:t>
      </w:r>
    </w:p>
    <w:p>
      <w:pPr>
        <w:pStyle w:val="28"/>
        <w:keepNext w:val="0"/>
        <w:keepLines w:val="0"/>
        <w:pageBreakBefore w:val="0"/>
        <w:wordWrap/>
        <w:overflowPunct/>
        <w:topLinePunct w:val="0"/>
        <w:autoSpaceDE w:val="0"/>
        <w:autoSpaceDN w:val="0"/>
        <w:bidi w:val="0"/>
        <w:spacing w:line="580" w:lineRule="exact"/>
        <w:ind w:firstLine="643" w:firstLineChars="200"/>
        <w:textAlignment w:val="auto"/>
        <w:rPr>
          <w:rFonts w:ascii="仿宋_GB2312" w:hAnsi="仿宋_GB2312" w:eastAsia="仿宋_GB2312" w:cs="Times New Roman"/>
          <w:b/>
          <w:bCs/>
          <w:sz w:val="32"/>
          <w:szCs w:val="32"/>
        </w:rPr>
      </w:pPr>
      <w:r>
        <w:rPr>
          <w:rFonts w:hint="eastAsia" w:ascii="仿宋_GB2312" w:hAnsi="仿宋_GB2312" w:eastAsia="仿宋_GB2312" w:cs="Times New Roman"/>
          <w:b/>
          <w:bCs/>
          <w:sz w:val="32"/>
          <w:szCs w:val="32"/>
        </w:rPr>
        <w:t>3.国有资本经营预算</w:t>
      </w:r>
    </w:p>
    <w:p>
      <w:pPr>
        <w:pStyle w:val="28"/>
        <w:keepNext w:val="0"/>
        <w:keepLines w:val="0"/>
        <w:pageBreakBefore w:val="0"/>
        <w:wordWrap/>
        <w:overflowPunct/>
        <w:topLinePunct w:val="0"/>
        <w:autoSpaceDE w:val="0"/>
        <w:autoSpaceDN w:val="0"/>
        <w:bidi w:val="0"/>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2023年国有资本经营预算收入安排</w:t>
      </w:r>
      <w:r>
        <w:rPr>
          <w:rFonts w:hint="eastAsia" w:ascii="仿宋_GB2312" w:hAnsi="仿宋_GB2312" w:eastAsia="仿宋_GB2312" w:cs="Times New Roman"/>
          <w:sz w:val="32"/>
          <w:szCs w:val="32"/>
          <w:lang w:val="en-US" w:eastAsia="zh-CN"/>
        </w:rPr>
        <w:t>1000万</w:t>
      </w:r>
      <w:r>
        <w:rPr>
          <w:rFonts w:hint="eastAsia" w:ascii="仿宋_GB2312" w:hAnsi="仿宋_GB2312" w:eastAsia="仿宋_GB2312" w:cs="Times New Roman"/>
          <w:sz w:val="32"/>
          <w:szCs w:val="32"/>
        </w:rPr>
        <w:t>元，</w:t>
      </w:r>
      <w:r>
        <w:rPr>
          <w:rFonts w:hint="eastAsia" w:ascii="仿宋_GB2312" w:hAnsi="仿宋_GB2312" w:eastAsia="仿宋_GB2312" w:cs="Times New Roman"/>
          <w:sz w:val="32"/>
          <w:szCs w:val="32"/>
          <w:lang w:val="en-US" w:eastAsia="zh-CN"/>
        </w:rPr>
        <w:t>上级补助收入8万元，</w:t>
      </w:r>
      <w:r>
        <w:rPr>
          <w:rFonts w:hint="eastAsia" w:ascii="仿宋_GB2312" w:hAnsi="仿宋_GB2312" w:eastAsia="仿宋_GB2312" w:cs="Times New Roman"/>
          <w:sz w:val="32"/>
          <w:szCs w:val="32"/>
          <w:lang w:eastAsia="zh-CN"/>
        </w:rPr>
        <w:t>上年结余</w:t>
      </w:r>
      <w:r>
        <w:rPr>
          <w:rFonts w:hint="eastAsia" w:ascii="仿宋_GB2312" w:hAnsi="仿宋_GB2312" w:eastAsia="仿宋_GB2312" w:cs="Times New Roman"/>
          <w:sz w:val="32"/>
          <w:szCs w:val="32"/>
          <w:lang w:val="en-US" w:eastAsia="zh-CN"/>
        </w:rPr>
        <w:t>3万元，</w:t>
      </w:r>
      <w:r>
        <w:rPr>
          <w:rFonts w:hint="eastAsia" w:ascii="仿宋_GB2312" w:hAnsi="仿宋_GB2312" w:eastAsia="仿宋_GB2312" w:cs="Times New Roman"/>
          <w:sz w:val="32"/>
          <w:szCs w:val="32"/>
        </w:rPr>
        <w:t>支出安排</w:t>
      </w:r>
      <w:r>
        <w:rPr>
          <w:rFonts w:hint="eastAsia" w:ascii="仿宋_GB2312" w:hAnsi="仿宋_GB2312" w:eastAsia="仿宋_GB2312" w:cs="Times New Roman"/>
          <w:sz w:val="32"/>
          <w:szCs w:val="32"/>
          <w:lang w:val="en-US" w:eastAsia="zh-CN"/>
        </w:rPr>
        <w:t>1011万</w:t>
      </w:r>
      <w:r>
        <w:rPr>
          <w:rFonts w:hint="eastAsia" w:ascii="仿宋_GB2312" w:hAnsi="仿宋_GB2312" w:eastAsia="仿宋_GB2312" w:cs="Times New Roman"/>
          <w:sz w:val="32"/>
          <w:szCs w:val="32"/>
        </w:rPr>
        <w:t>元，年终无结余。</w:t>
      </w:r>
    </w:p>
    <w:p>
      <w:pPr>
        <w:pStyle w:val="28"/>
        <w:keepNext w:val="0"/>
        <w:keepLines w:val="0"/>
        <w:pageBreakBefore w:val="0"/>
        <w:kinsoku/>
        <w:wordWrap/>
        <w:overflowPunct/>
        <w:topLinePunct w:val="0"/>
        <w:autoSpaceDE w:val="0"/>
        <w:autoSpaceDN w:val="0"/>
        <w:bidi w:val="0"/>
        <w:snapToGrid/>
        <w:spacing w:line="58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Times New Roman"/>
          <w:sz w:val="32"/>
          <w:szCs w:val="32"/>
        </w:rPr>
        <w:t>综合以上第1-3点，我县2023年县级财政收入36.91亿元，上级补助收入27.21亿元，</w:t>
      </w:r>
      <w:r>
        <w:rPr>
          <w:rFonts w:hint="eastAsia" w:ascii="仿宋_GB2312" w:hAnsi="仿宋_GB2312" w:eastAsia="仿宋_GB2312" w:cs="Times New Roman"/>
          <w:sz w:val="32"/>
          <w:szCs w:val="32"/>
          <w:lang w:eastAsia="zh-CN"/>
        </w:rPr>
        <w:t>调入预算稳定调节基金</w:t>
      </w:r>
      <w:r>
        <w:rPr>
          <w:rFonts w:hint="eastAsia" w:ascii="仿宋_GB2312" w:hAnsi="仿宋_GB2312" w:eastAsia="仿宋_GB2312" w:cs="Times New Roman"/>
          <w:sz w:val="32"/>
          <w:szCs w:val="32"/>
          <w:lang w:val="en-US" w:eastAsia="zh-CN"/>
        </w:rPr>
        <w:t>0.7亿元，</w:t>
      </w:r>
      <w:r>
        <w:rPr>
          <w:rFonts w:hint="eastAsia" w:ascii="仿宋_GB2312" w:hAnsi="仿宋_GB2312" w:eastAsia="仿宋_GB2312" w:cs="Times New Roman"/>
          <w:sz w:val="32"/>
          <w:szCs w:val="32"/>
        </w:rPr>
        <w:t>上年结余1亿元，</w:t>
      </w:r>
      <w:r>
        <w:rPr>
          <w:rFonts w:hint="eastAsia" w:ascii="仿宋_GB2312" w:hAnsi="仿宋_GB2312" w:eastAsia="仿宋_GB2312" w:cs="Times New Roman"/>
          <w:sz w:val="32"/>
          <w:szCs w:val="32"/>
          <w:lang w:eastAsia="zh-CN"/>
        </w:rPr>
        <w:t>债务</w:t>
      </w:r>
      <w:r>
        <w:rPr>
          <w:rFonts w:hint="eastAsia" w:ascii="仿宋_GB2312" w:hAnsi="仿宋_GB2312" w:eastAsia="仿宋_GB2312" w:cs="Times New Roman"/>
          <w:sz w:val="32"/>
          <w:szCs w:val="32"/>
        </w:rPr>
        <w:t>转贷收入</w:t>
      </w:r>
      <w:r>
        <w:rPr>
          <w:rFonts w:hint="eastAsia" w:ascii="仿宋_GB2312" w:hAnsi="仿宋_GB2312" w:eastAsia="仿宋_GB2312" w:cs="Times New Roman"/>
          <w:sz w:val="32"/>
          <w:szCs w:val="32"/>
          <w:lang w:val="en-US" w:eastAsia="zh-CN"/>
        </w:rPr>
        <w:t>6.53</w:t>
      </w:r>
      <w:r>
        <w:rPr>
          <w:rFonts w:hint="eastAsia" w:ascii="仿宋_GB2312" w:hAnsi="仿宋_GB2312" w:eastAsia="仿宋_GB2312" w:cs="Times New Roman"/>
          <w:sz w:val="32"/>
          <w:szCs w:val="32"/>
        </w:rPr>
        <w:t>亿元，收入总计</w:t>
      </w:r>
      <w:r>
        <w:rPr>
          <w:rFonts w:hint="eastAsia" w:ascii="仿宋_GB2312" w:hAnsi="仿宋_GB2312" w:eastAsia="仿宋_GB2312" w:cs="Times New Roman"/>
          <w:sz w:val="32"/>
          <w:szCs w:val="32"/>
          <w:lang w:val="en-US" w:eastAsia="zh-CN"/>
        </w:rPr>
        <w:t>72.35</w:t>
      </w:r>
      <w:r>
        <w:rPr>
          <w:rFonts w:hint="eastAsia" w:ascii="仿宋_GB2312" w:hAnsi="仿宋_GB2312" w:eastAsia="仿宋_GB2312" w:cs="Times New Roman"/>
          <w:sz w:val="32"/>
          <w:szCs w:val="32"/>
        </w:rPr>
        <w:t>亿元。减去支出</w:t>
      </w:r>
      <w:r>
        <w:rPr>
          <w:rFonts w:hint="eastAsia" w:ascii="仿宋_GB2312" w:hAnsi="仿宋_GB2312" w:eastAsia="仿宋_GB2312" w:cs="Times New Roman"/>
          <w:sz w:val="32"/>
          <w:szCs w:val="32"/>
          <w:lang w:val="en-US" w:eastAsia="zh-CN"/>
        </w:rPr>
        <w:t>70.77</w:t>
      </w:r>
      <w:r>
        <w:rPr>
          <w:rFonts w:hint="eastAsia" w:ascii="仿宋_GB2312" w:hAnsi="仿宋_GB2312" w:eastAsia="仿宋_GB2312" w:cs="Times New Roman"/>
          <w:sz w:val="32"/>
          <w:szCs w:val="32"/>
        </w:rPr>
        <w:t>亿元，上解支出预计0.46亿元，债务还本支出1.11亿元，年末结余</w:t>
      </w:r>
      <w:r>
        <w:rPr>
          <w:rFonts w:hint="eastAsia" w:ascii="仿宋_GB2312" w:hAnsi="仿宋_GB2312" w:eastAsia="仿宋_GB2312" w:cs="Times New Roman"/>
          <w:sz w:val="32"/>
          <w:szCs w:val="32"/>
          <w:lang w:val="en-US" w:eastAsia="zh-CN"/>
        </w:rPr>
        <w:t>115</w:t>
      </w:r>
      <w:r>
        <w:rPr>
          <w:rFonts w:hint="eastAsia" w:ascii="仿宋_GB2312" w:hAnsi="仿宋_GB2312" w:eastAsia="仿宋_GB2312" w:cs="Times New Roman"/>
          <w:sz w:val="32"/>
          <w:szCs w:val="32"/>
        </w:rPr>
        <w:t>万元。</w:t>
      </w:r>
    </w:p>
    <w:p>
      <w:pPr>
        <w:pStyle w:val="28"/>
        <w:keepNext w:val="0"/>
        <w:keepLines w:val="0"/>
        <w:pageBreakBefore w:val="0"/>
        <w:kinsoku/>
        <w:wordWrap/>
        <w:overflowPunct/>
        <w:topLinePunct w:val="0"/>
        <w:autoSpaceDE w:val="0"/>
        <w:autoSpaceDN w:val="0"/>
        <w:bidi w:val="0"/>
        <w:snapToGrid/>
        <w:spacing w:line="580" w:lineRule="exact"/>
        <w:ind w:firstLine="643" w:firstLineChars="200"/>
        <w:textAlignment w:val="auto"/>
        <w:rPr>
          <w:rFonts w:ascii="仿宋_GB2312" w:hAnsi="仿宋_GB2312" w:eastAsia="仿宋_GB2312" w:cs="Times New Roman"/>
          <w:b/>
          <w:bCs/>
          <w:sz w:val="32"/>
          <w:szCs w:val="32"/>
        </w:rPr>
      </w:pPr>
      <w:r>
        <w:rPr>
          <w:rFonts w:hint="eastAsia" w:ascii="仿宋_GB2312" w:hAnsi="仿宋_GB2312" w:eastAsia="仿宋_GB2312" w:cs="Times New Roman"/>
          <w:b/>
          <w:bCs/>
          <w:sz w:val="32"/>
          <w:szCs w:val="32"/>
        </w:rPr>
        <w:t>4.社会保险基金预算</w:t>
      </w:r>
    </w:p>
    <w:p>
      <w:pPr>
        <w:pStyle w:val="28"/>
        <w:keepNext w:val="0"/>
        <w:keepLines w:val="0"/>
        <w:pageBreakBefore w:val="0"/>
        <w:kinsoku/>
        <w:wordWrap/>
        <w:overflowPunct/>
        <w:topLinePunct w:val="0"/>
        <w:autoSpaceDE w:val="0"/>
        <w:autoSpaceDN w:val="0"/>
        <w:bidi w:val="0"/>
        <w:snapToGrid/>
        <w:spacing w:line="580" w:lineRule="exact"/>
        <w:ind w:firstLine="640" w:firstLineChars="200"/>
        <w:textAlignment w:val="auto"/>
        <w:rPr>
          <w:rFonts w:ascii="仿宋_GB2312" w:hAnsi="仿宋_GB2312" w:eastAsia="仿宋_GB2312" w:cs="Times New Roman"/>
          <w:b/>
          <w:bCs/>
          <w:sz w:val="32"/>
          <w:szCs w:val="32"/>
        </w:rPr>
      </w:pPr>
      <w:r>
        <w:rPr>
          <w:rFonts w:hint="eastAsia" w:ascii="仿宋_GB2312" w:hAnsi="仿宋_GB2312" w:eastAsia="仿宋_GB2312" w:cs="Times New Roman"/>
          <w:sz w:val="32"/>
          <w:szCs w:val="32"/>
        </w:rPr>
        <w:t>2023年社保基金</w:t>
      </w:r>
      <w:r>
        <w:rPr>
          <w:rFonts w:hint="eastAsia" w:ascii="仿宋_GB2312" w:hAnsi="仿宋_GB2312" w:eastAsia="仿宋_GB2312" w:cs="Times New Roman"/>
          <w:sz w:val="32"/>
          <w:szCs w:val="32"/>
          <w:lang w:eastAsia="zh-CN"/>
        </w:rPr>
        <w:t>预算</w:t>
      </w:r>
      <w:r>
        <w:rPr>
          <w:rFonts w:hint="eastAsia" w:ascii="仿宋_GB2312" w:hAnsi="仿宋_GB2312" w:eastAsia="仿宋_GB2312" w:cs="Times New Roman"/>
          <w:sz w:val="32"/>
          <w:szCs w:val="32"/>
        </w:rPr>
        <w:t>收入安排6.36亿元，支出安排5.79亿元，当年结余预计0.57亿元，年末滚存结余5.63亿元</w:t>
      </w:r>
      <w:r>
        <w:rPr>
          <w:rFonts w:hint="eastAsia" w:ascii="仿宋_GB2312" w:hAnsi="仿宋_GB2312" w:eastAsia="仿宋_GB2312" w:cs="Times New Roman"/>
          <w:sz w:val="32"/>
          <w:szCs w:val="32"/>
          <w:lang w:eastAsia="zh-CN"/>
        </w:rPr>
        <w:t>（失业保险</w:t>
      </w:r>
      <w:r>
        <w:rPr>
          <w:rFonts w:hint="eastAsia" w:ascii="仿宋_GB2312" w:hAnsi="仿宋_GB2312" w:eastAsia="仿宋_GB2312" w:cs="Times New Roman"/>
          <w:sz w:val="32"/>
          <w:szCs w:val="32"/>
          <w:lang w:val="en-US" w:eastAsia="zh-CN"/>
        </w:rPr>
        <w:t>2023年上级统筹，收入、支出及结余都不在县级反映</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w:t>
      </w:r>
    </w:p>
    <w:p>
      <w:pPr>
        <w:keepNext w:val="0"/>
        <w:keepLines w:val="0"/>
        <w:pageBreakBefore w:val="0"/>
        <w:kinsoku/>
        <w:wordWrap/>
        <w:overflowPunct/>
        <w:topLinePunct w:val="0"/>
        <w:autoSpaceDE w:val="0"/>
        <w:autoSpaceDN w:val="0"/>
        <w:bidi w:val="0"/>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四、完成2023年财政预算的主要措施</w:t>
      </w:r>
    </w:p>
    <w:p>
      <w:pPr>
        <w:keepNext w:val="0"/>
        <w:keepLines w:val="0"/>
        <w:pageBreakBefore w:val="0"/>
        <w:widowControl/>
        <w:shd w:val="clear" w:color="auto" w:fill="FFFFFF"/>
        <w:kinsoku/>
        <w:wordWrap/>
        <w:overflowPunct/>
        <w:topLinePunct w:val="0"/>
        <w:bidi w:val="0"/>
        <w:snapToGrid/>
        <w:spacing w:line="580" w:lineRule="exact"/>
        <w:ind w:firstLine="611"/>
        <w:jc w:val="left"/>
        <w:textAlignment w:val="auto"/>
        <w:rPr>
          <w:rFonts w:eastAsia="仿宋_GB2312"/>
          <w:color w:val="000000"/>
          <w:kern w:val="0"/>
          <w:sz w:val="32"/>
          <w:szCs w:val="32"/>
          <w:shd w:val="clear" w:color="auto" w:fill="FFFFFF"/>
        </w:rPr>
      </w:pPr>
      <w:r>
        <w:rPr>
          <w:rFonts w:eastAsia="仿宋_GB2312"/>
          <w:color w:val="000000"/>
          <w:kern w:val="0"/>
          <w:sz w:val="32"/>
          <w:szCs w:val="32"/>
          <w:shd w:val="clear" w:color="auto" w:fill="FFFFFF"/>
        </w:rPr>
        <w:t>2023年我们将自觉承担起党和人民赋予的历史使命，</w:t>
      </w:r>
      <w:r>
        <w:rPr>
          <w:rFonts w:hint="eastAsia" w:eastAsia="仿宋_GB2312"/>
          <w:color w:val="000000"/>
          <w:kern w:val="0"/>
          <w:sz w:val="32"/>
          <w:szCs w:val="32"/>
          <w:shd w:val="clear" w:color="auto" w:fill="FFFFFF"/>
        </w:rPr>
        <w:t>永葆“闯”的精神、“创”的劲头、“干”的作风，</w:t>
      </w:r>
      <w:r>
        <w:rPr>
          <w:rFonts w:eastAsia="仿宋_GB2312"/>
          <w:color w:val="000000"/>
          <w:kern w:val="0"/>
          <w:sz w:val="32"/>
          <w:szCs w:val="32"/>
          <w:shd w:val="clear" w:color="auto" w:fill="FFFFFF"/>
        </w:rPr>
        <w:t>认真履职尽责，更好地谋划、实施、推进以下工作。</w:t>
      </w:r>
    </w:p>
    <w:p>
      <w:pPr>
        <w:keepNext w:val="0"/>
        <w:keepLines w:val="0"/>
        <w:pageBreakBefore w:val="0"/>
        <w:numPr>
          <w:ilvl w:val="0"/>
          <w:numId w:val="2"/>
        </w:numPr>
        <w:kinsoku/>
        <w:wordWrap/>
        <w:overflowPunct/>
        <w:topLinePunct w:val="0"/>
        <w:bidi w:val="0"/>
        <w:snapToGrid/>
        <w:spacing w:line="580" w:lineRule="exact"/>
        <w:ind w:firstLine="643" w:firstLineChars="200"/>
        <w:jc w:val="left"/>
        <w:textAlignment w:val="auto"/>
        <w:rPr>
          <w:rFonts w:ascii="楷体_GB2312" w:eastAsia="楷体_GB2312"/>
          <w:b/>
          <w:kern w:val="0"/>
          <w:sz w:val="32"/>
          <w:szCs w:val="32"/>
        </w:rPr>
      </w:pPr>
      <w:r>
        <w:rPr>
          <w:rFonts w:hint="eastAsia" w:ascii="楷体_GB2312" w:eastAsia="楷体_GB2312"/>
          <w:b/>
          <w:kern w:val="0"/>
          <w:sz w:val="32"/>
          <w:szCs w:val="32"/>
        </w:rPr>
        <w:t>围绕财源建设，跑出财力增长新速度</w:t>
      </w:r>
    </w:p>
    <w:p>
      <w:pPr>
        <w:keepNext w:val="0"/>
        <w:keepLines w:val="0"/>
        <w:pageBreakBefore w:val="0"/>
        <w:numPr>
          <w:ilvl w:val="0"/>
          <w:numId w:val="0"/>
        </w:numPr>
        <w:kinsoku/>
        <w:wordWrap/>
        <w:overflowPunct/>
        <w:topLinePunct w:val="0"/>
        <w:autoSpaceDE w:val="0"/>
        <w:autoSpaceDN w:val="0"/>
        <w:bidi w:val="0"/>
        <w:adjustRightInd w:val="0"/>
        <w:snapToGrid w:val="0"/>
        <w:spacing w:beforeLines="0" w:afterLines="0" w:line="580" w:lineRule="exact"/>
        <w:ind w:firstLine="643" w:firstLineChars="200"/>
        <w:jc w:val="left"/>
        <w:textAlignment w:val="auto"/>
        <w:rPr>
          <w:rFonts w:hint="eastAsia" w:ascii="仿宋_GB2312" w:hAnsi="仿宋" w:eastAsia="仿宋_GB2312" w:cs="仿宋"/>
          <w:strike w:val="0"/>
          <w:dstrike w:val="0"/>
          <w:color w:val="auto"/>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1.想方设法在挖潜增收上堵漏洞。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加强税源</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挖潜</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、提升税收占比</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，大力扶持本土企业发展，</w:t>
      </w:r>
      <w:r>
        <w:rPr>
          <w:rFonts w:hint="eastAsia" w:ascii="仿宋_GB2312" w:hAnsi="仿宋_GB2312" w:eastAsia="仿宋_GB2312" w:cs="仿宋_GB2312"/>
          <w:i w:val="0"/>
          <w:caps w:val="0"/>
          <w:color w:val="000000" w:themeColor="text1"/>
          <w:spacing w:val="0"/>
          <w:sz w:val="32"/>
          <w:szCs w:val="32"/>
          <w:shd w:val="clear" w:fill="FFFFFF"/>
          <w:lang w:val="en-US" w:eastAsia="zh-CN"/>
          <w14:textFill>
            <w14:solidFill>
              <w14:schemeClr w14:val="tx1"/>
            </w14:solidFill>
          </w14:textFill>
        </w:rPr>
        <w:t>积极鼓励引导</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房产建筑类税源留存我县。</w:t>
      </w:r>
      <w:r>
        <w:rPr>
          <w:rFonts w:hint="eastAsia" w:ascii="仿宋_GB2312" w:hAnsi="仿宋_GB2312" w:eastAsia="仿宋_GB2312" w:cs="仿宋_GB2312"/>
          <w:i w:val="0"/>
          <w:caps w:val="0"/>
          <w:color w:val="000000"/>
          <w:spacing w:val="0"/>
          <w:sz w:val="32"/>
          <w:szCs w:val="32"/>
          <w:shd w:val="clear" w:fill="FFFFFF"/>
          <w:lang w:val="en-US" w:eastAsia="zh-CN"/>
        </w:rPr>
        <w:t>二是</w:t>
      </w:r>
      <w:r>
        <w:rPr>
          <w:rFonts w:hint="eastAsia" w:ascii="仿宋_GB2312" w:hAnsi="仿宋_GB2312" w:eastAsia="仿宋_GB2312" w:cs="仿宋_GB2312"/>
          <w:color w:val="auto"/>
          <w:sz w:val="32"/>
          <w:szCs w:val="32"/>
        </w:rPr>
        <w:t>聚焦疑难税收管控，加大税费清欠力度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重点抓好涉税项目的大数据综合管控，</w:t>
      </w:r>
      <w:r>
        <w:rPr>
          <w:rFonts w:hint="eastAsia" w:ascii="仿宋_GB2312" w:hAnsi="仿宋_GB2312" w:eastAsia="仿宋_GB2312" w:cs="仿宋_GB2312"/>
          <w:color w:val="auto"/>
          <w:sz w:val="32"/>
          <w:szCs w:val="32"/>
          <w:lang w:eastAsia="zh-CN"/>
        </w:rPr>
        <w:t>勤征细管，防止跑冒滴漏，</w:t>
      </w:r>
      <w:r>
        <w:rPr>
          <w:rFonts w:hint="eastAsia" w:ascii="仿宋_GB2312" w:hAnsi="仿宋_GB2312" w:eastAsia="仿宋_GB2312" w:cs="仿宋_GB2312"/>
          <w:color w:val="auto"/>
          <w:sz w:val="32"/>
          <w:szCs w:val="32"/>
        </w:rPr>
        <w:t>确保税费颗粒归仓。</w:t>
      </w:r>
      <w:r>
        <w:rPr>
          <w:rFonts w:hint="eastAsia" w:ascii="仿宋_GB2312" w:hAnsi="仿宋_GB2312" w:eastAsia="仿宋_GB2312" w:cs="仿宋_GB2312"/>
          <w:color w:val="auto"/>
          <w:sz w:val="32"/>
          <w:szCs w:val="32"/>
          <w:lang w:val="en-US" w:eastAsia="zh-CN"/>
        </w:rPr>
        <w:t>三是培强控弱，加大对现有重点税源培植力度，在市场扩展、融资、业务拓展等方面给予再扶持；相反，对一些无发展前景、多年未产生税收的企业要严控奖补政策、严控申报国家扶持政策。</w:t>
      </w:r>
    </w:p>
    <w:p>
      <w:pPr>
        <w:keepNext w:val="0"/>
        <w:keepLines w:val="0"/>
        <w:pageBreakBefore w:val="0"/>
        <w:widowControl w:val="0"/>
        <w:kinsoku w:val="0"/>
        <w:wordWrap/>
        <w:overflowPunct/>
        <w:topLinePunct w:val="0"/>
        <w:autoSpaceDE w:val="0"/>
        <w:autoSpaceDN w:val="0"/>
        <w:bidi w:val="0"/>
        <w:adjustRightInd w:val="0"/>
        <w:snapToGrid w:val="0"/>
        <w:spacing w:beforeLines="0" w:afterLines="0" w:line="580" w:lineRule="exact"/>
        <w:ind w:firstLine="643" w:firstLineChars="200"/>
        <w:jc w:val="left"/>
        <w:textAlignment w:val="auto"/>
        <w:rPr>
          <w:rFonts w:hint="eastAsia" w:ascii="仿宋" w:hAnsi="仿宋" w:eastAsia="仿宋" w:cs="仿宋"/>
          <w:color w:val="auto"/>
          <w:sz w:val="32"/>
          <w:szCs w:val="32"/>
        </w:rPr>
      </w:pPr>
      <w:r>
        <w:rPr>
          <w:rFonts w:hint="eastAsia" w:ascii="仿宋_GB2312" w:hAnsi="仿宋" w:eastAsia="仿宋_GB2312" w:cs="仿宋"/>
          <w:b/>
          <w:bCs/>
          <w:color w:val="auto"/>
          <w:sz w:val="32"/>
          <w:szCs w:val="32"/>
          <w:lang w:val="en-US" w:eastAsia="zh-CN"/>
        </w:rPr>
        <w:t>2.一以贯之在土地上谋出路。</w:t>
      </w:r>
      <w:r>
        <w:rPr>
          <w:rFonts w:hint="eastAsia" w:ascii="仿宋_GB2312" w:hAnsi="仿宋" w:eastAsia="仿宋_GB2312" w:cs="仿宋"/>
          <w:b w:val="0"/>
          <w:bCs w:val="0"/>
          <w:color w:val="auto"/>
          <w:sz w:val="32"/>
          <w:szCs w:val="32"/>
          <w:lang w:val="en-US" w:eastAsia="zh-CN"/>
        </w:rPr>
        <w:t>强化净地攻坚，</w:t>
      </w:r>
      <w:r>
        <w:rPr>
          <w:rFonts w:hint="eastAsia" w:ascii="仿宋_GB2312" w:hAnsi="仿宋" w:eastAsia="仿宋_GB2312" w:cs="仿宋"/>
          <w:color w:val="auto"/>
          <w:sz w:val="32"/>
          <w:szCs w:val="32"/>
          <w:lang w:val="en-US" w:eastAsia="zh-CN"/>
        </w:rPr>
        <w:t>确保应出让土地具备净地出让条件。加大推地力度。及早</w:t>
      </w:r>
      <w:r>
        <w:rPr>
          <w:rFonts w:hint="eastAsia" w:ascii="仿宋" w:hAnsi="仿宋" w:eastAsia="仿宋" w:cs="仿宋"/>
          <w:color w:val="auto"/>
          <w:sz w:val="32"/>
          <w:szCs w:val="32"/>
        </w:rPr>
        <w:t>推进经营性土地出让，着重</w:t>
      </w:r>
      <w:r>
        <w:rPr>
          <w:rFonts w:hint="eastAsia" w:ascii="仿宋" w:hAnsi="仿宋" w:eastAsia="仿宋" w:cs="仿宋"/>
          <w:color w:val="auto"/>
          <w:sz w:val="32"/>
          <w:szCs w:val="32"/>
          <w:lang w:eastAsia="zh-CN"/>
        </w:rPr>
        <w:t>做好重点地块的</w:t>
      </w:r>
      <w:r>
        <w:rPr>
          <w:rFonts w:hint="eastAsia" w:ascii="仿宋" w:hAnsi="仿宋" w:eastAsia="仿宋" w:cs="仿宋"/>
          <w:sz w:val="32"/>
          <w:szCs w:val="32"/>
          <w:lang w:val="en-US" w:eastAsia="zh-CN"/>
        </w:rPr>
        <w:t>出让工作。</w:t>
      </w:r>
      <w:r>
        <w:rPr>
          <w:rFonts w:hint="eastAsia" w:ascii="仿宋" w:hAnsi="仿宋" w:eastAsia="仿宋" w:cs="仿宋"/>
          <w:sz w:val="32"/>
          <w:szCs w:val="32"/>
        </w:rPr>
        <w:t>加强工业用地供地保障，确保紫金矿业、皓扬锂业等企业按期出让供地</w:t>
      </w:r>
      <w:r>
        <w:rPr>
          <w:rFonts w:hint="eastAsia" w:ascii="仿宋" w:hAnsi="仿宋" w:eastAsia="仿宋" w:cs="仿宋"/>
          <w:sz w:val="32"/>
          <w:szCs w:val="32"/>
          <w:lang w:eastAsia="zh-CN"/>
        </w:rPr>
        <w:t>。</w:t>
      </w:r>
      <w:r>
        <w:rPr>
          <w:rFonts w:hint="eastAsia" w:ascii="仿宋" w:hAnsi="仿宋" w:eastAsia="仿宋" w:cs="仿宋"/>
          <w:sz w:val="32"/>
          <w:szCs w:val="32"/>
        </w:rPr>
        <w:t>进一步深入推进房地产集中化解办证，完成全县产权房改房和县城“小开发”出售商品房办证难化解办证</w:t>
      </w:r>
      <w:r>
        <w:rPr>
          <w:rFonts w:hint="eastAsia" w:ascii="仿宋" w:hAnsi="仿宋" w:eastAsia="仿宋" w:cs="仿宋"/>
          <w:sz w:val="32"/>
          <w:szCs w:val="32"/>
          <w:lang w:eastAsia="zh-CN"/>
        </w:rPr>
        <w:t>。进一步加大土地出让金欠款的清缴力度，</w:t>
      </w:r>
      <w:r>
        <w:rPr>
          <w:rFonts w:hint="eastAsia" w:ascii="仿宋" w:hAnsi="仿宋" w:eastAsia="仿宋" w:cs="Times New Roman"/>
          <w:kern w:val="0"/>
          <w:sz w:val="32"/>
          <w:szCs w:val="32"/>
          <w:lang w:val="en-US" w:eastAsia="zh-CN"/>
        </w:rPr>
        <w:t>用好房十条措施，盘活房地产存量。</w:t>
      </w:r>
    </w:p>
    <w:p>
      <w:pPr>
        <w:pStyle w:val="34"/>
        <w:keepNext w:val="0"/>
        <w:keepLines w:val="0"/>
        <w:pageBreakBefore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 w:eastAsia="仿宋_GB2312" w:cs="仿宋"/>
          <w:b/>
          <w:bCs/>
          <w:color w:val="auto"/>
          <w:sz w:val="32"/>
          <w:szCs w:val="32"/>
          <w:lang w:val="en-US" w:eastAsia="zh-CN"/>
        </w:rPr>
        <w:t>3.</w:t>
      </w:r>
      <w:r>
        <w:rPr>
          <w:rFonts w:hint="eastAsia" w:ascii="仿宋_GB2312" w:hAnsi="仿宋_GB2312" w:eastAsia="仿宋_GB2312" w:cs="仿宋_GB2312"/>
          <w:b/>
          <w:bCs/>
          <w:color w:val="auto"/>
          <w:kern w:val="2"/>
          <w:sz w:val="32"/>
          <w:szCs w:val="32"/>
          <w:lang w:val="en-US" w:eastAsia="zh-CN" w:bidi="ar-SA"/>
        </w:rPr>
        <w:t>卯足干劲在盘活“三资”上做文章</w:t>
      </w:r>
      <w:r>
        <w:rPr>
          <w:rFonts w:hint="eastAsia" w:ascii="仿宋_GB2312" w:hAnsi="仿宋" w:eastAsia="仿宋_GB2312" w:cs="仿宋"/>
          <w:b/>
          <w:bCs/>
          <w:color w:val="auto"/>
          <w:sz w:val="32"/>
          <w:szCs w:val="32"/>
          <w:lang w:val="en-US" w:eastAsia="zh-CN"/>
        </w:rPr>
        <w:t>。</w:t>
      </w:r>
      <w:r>
        <w:rPr>
          <w:rFonts w:hint="eastAsia" w:ascii="仿宋_GB2312" w:hAnsi="仿宋_GB2312" w:eastAsia="仿宋_GB2312" w:cs="仿宋_GB2312"/>
          <w:b w:val="0"/>
          <w:bCs w:val="0"/>
          <w:color w:val="auto"/>
          <w:kern w:val="2"/>
          <w:sz w:val="32"/>
          <w:szCs w:val="32"/>
          <w:lang w:val="en-US" w:eastAsia="zh-CN" w:bidi="ar-SA"/>
        </w:rPr>
        <w:t>成立“三资”清理专班，分类分步深入推进“三资”盘活。资金方面，对财政专户、各单位往来资金账户、各指挥部实有账户、各大风险补偿金专户等所有财政性资金进行全面清理盘活。资产方面，将清理盘活范围覆盖到除行政事业单位、国有企业及园区资产外的租赁权、债权、股权、特许经营权等一切国有资产。资源方面，依托矿产、能源上的资源优势，打造产业链集群，探索林业、水利、风光等资源盘活的新思路。</w:t>
      </w:r>
    </w:p>
    <w:p>
      <w:pPr>
        <w:keepNext w:val="0"/>
        <w:keepLines w:val="0"/>
        <w:pageBreakBefore w:val="0"/>
        <w:kinsoku/>
        <w:wordWrap/>
        <w:overflowPunct/>
        <w:topLinePunct w:val="0"/>
        <w:autoSpaceDE/>
        <w:autoSpaceDN/>
        <w:bidi w:val="0"/>
        <w:adjustRightInd w:val="0"/>
        <w:snapToGrid w:val="0"/>
        <w:spacing w:beforeLines="0" w:afterLines="0" w:line="580" w:lineRule="exact"/>
        <w:ind w:firstLine="643" w:firstLineChars="200"/>
        <w:textAlignment w:val="auto"/>
        <w:rPr>
          <w:rFonts w:hint="eastAsia" w:ascii="仿宋" w:hAnsi="仿宋" w:eastAsia="仿宋" w:cs="Times New Roman"/>
          <w:kern w:val="0"/>
          <w:sz w:val="32"/>
          <w:szCs w:val="32"/>
          <w:lang w:val="en-US" w:eastAsia="zh-CN"/>
        </w:rPr>
      </w:pPr>
      <w:r>
        <w:rPr>
          <w:rFonts w:hint="eastAsia" w:ascii="仿宋" w:hAnsi="仿宋" w:eastAsia="仿宋"/>
          <w:b/>
          <w:bCs/>
          <w:kern w:val="0"/>
          <w:sz w:val="32"/>
          <w:szCs w:val="32"/>
          <w:lang w:val="en-US" w:eastAsia="zh-CN"/>
        </w:rPr>
        <w:t>4.全面动员在</w:t>
      </w:r>
      <w:r>
        <w:rPr>
          <w:rFonts w:ascii="仿宋_GB2312" w:eastAsia="仿宋_GB2312" w:cs="宋体"/>
          <w:b/>
          <w:bCs/>
          <w:sz w:val="32"/>
          <w:szCs w:val="32"/>
        </w:rPr>
        <w:t>争资</w:t>
      </w:r>
      <w:r>
        <w:rPr>
          <w:rFonts w:hint="eastAsia" w:ascii="仿宋_GB2312" w:eastAsia="仿宋_GB2312" w:cs="宋体"/>
          <w:b/>
          <w:bCs/>
          <w:sz w:val="32"/>
          <w:szCs w:val="32"/>
        </w:rPr>
        <w:t>争</w:t>
      </w:r>
      <w:r>
        <w:rPr>
          <w:rFonts w:ascii="仿宋_GB2312" w:eastAsia="仿宋_GB2312" w:cs="宋体"/>
          <w:b/>
          <w:bCs/>
          <w:sz w:val="32"/>
          <w:szCs w:val="32"/>
        </w:rPr>
        <w:t>项</w:t>
      </w:r>
      <w:r>
        <w:rPr>
          <w:rFonts w:hint="eastAsia" w:ascii="仿宋_GB2312" w:eastAsia="仿宋_GB2312" w:cs="宋体"/>
          <w:b/>
          <w:bCs/>
          <w:sz w:val="32"/>
          <w:szCs w:val="32"/>
          <w:lang w:eastAsia="zh-CN"/>
        </w:rPr>
        <w:t>上比高低</w:t>
      </w:r>
      <w:r>
        <w:rPr>
          <w:rFonts w:ascii="仿宋_GB2312" w:eastAsia="仿宋_GB2312" w:cs="宋体"/>
          <w:b/>
          <w:bCs/>
          <w:sz w:val="32"/>
          <w:szCs w:val="32"/>
        </w:rPr>
        <w:t>。</w:t>
      </w:r>
      <w:r>
        <w:rPr>
          <w:rFonts w:hint="eastAsia" w:ascii="Times New Roman" w:hAnsi="Times New Roman" w:eastAsia="仿宋_GB2312"/>
          <w:kern w:val="0"/>
          <w:sz w:val="32"/>
          <w:szCs w:val="32"/>
        </w:rPr>
        <w:t>紧盯上级政策导向和资金投向，</w:t>
      </w:r>
      <w:r>
        <w:rPr>
          <w:rFonts w:ascii="Times New Roman" w:hAnsi="Times New Roman" w:eastAsia="仿宋_GB2312"/>
          <w:kern w:val="0"/>
          <w:sz w:val="32"/>
          <w:szCs w:val="32"/>
        </w:rPr>
        <w:t>提前</w:t>
      </w:r>
      <w:r>
        <w:rPr>
          <w:rFonts w:hint="eastAsia" w:ascii="Times New Roman" w:hAnsi="Times New Roman" w:eastAsia="仿宋_GB2312"/>
          <w:kern w:val="0"/>
          <w:sz w:val="32"/>
          <w:szCs w:val="32"/>
        </w:rPr>
        <w:t>做好</w:t>
      </w:r>
      <w:r>
        <w:rPr>
          <w:rFonts w:ascii="Times New Roman" w:hAnsi="Times New Roman" w:eastAsia="仿宋_GB2312"/>
          <w:kern w:val="0"/>
          <w:sz w:val="32"/>
          <w:szCs w:val="32"/>
        </w:rPr>
        <w:t>项目</w:t>
      </w:r>
      <w:r>
        <w:rPr>
          <w:rFonts w:hint="eastAsia" w:ascii="Times New Roman" w:hAnsi="Times New Roman" w:eastAsia="仿宋_GB2312"/>
          <w:kern w:val="0"/>
          <w:sz w:val="32"/>
          <w:szCs w:val="32"/>
        </w:rPr>
        <w:t>谋划</w:t>
      </w:r>
      <w:r>
        <w:rPr>
          <w:rFonts w:ascii="Times New Roman" w:hAnsi="Times New Roman" w:eastAsia="仿宋_GB2312"/>
          <w:kern w:val="0"/>
          <w:sz w:val="32"/>
          <w:szCs w:val="32"/>
        </w:rPr>
        <w:t>，做到优质项目可以随时备选</w:t>
      </w:r>
      <w:r>
        <w:rPr>
          <w:rFonts w:hint="eastAsia" w:eastAsia="仿宋_GB2312"/>
          <w:kern w:val="0"/>
          <w:sz w:val="32"/>
          <w:szCs w:val="32"/>
        </w:rPr>
        <w:t>，积极</w:t>
      </w:r>
      <w:r>
        <w:rPr>
          <w:rFonts w:ascii="Times New Roman" w:hAnsi="Times New Roman" w:eastAsia="仿宋_GB2312"/>
          <w:kern w:val="0"/>
          <w:sz w:val="32"/>
          <w:szCs w:val="32"/>
        </w:rPr>
        <w:t>主动</w:t>
      </w:r>
      <w:r>
        <w:rPr>
          <w:rFonts w:hint="eastAsia" w:eastAsia="仿宋_GB2312"/>
          <w:kern w:val="0"/>
          <w:sz w:val="32"/>
          <w:szCs w:val="32"/>
          <w:lang w:eastAsia="zh-CN"/>
        </w:rPr>
        <w:t>，跑部进厅，勤</w:t>
      </w:r>
      <w:r>
        <w:rPr>
          <w:rFonts w:hint="eastAsia" w:ascii="仿宋" w:hAnsi="仿宋" w:eastAsia="仿宋" w:cs="Times New Roman"/>
          <w:kern w:val="0"/>
          <w:sz w:val="32"/>
          <w:szCs w:val="32"/>
          <w:lang w:val="en-US" w:eastAsia="zh-CN"/>
        </w:rPr>
        <w:t>沟通、多汇报，多渠道、多层次争取财力性转移支付资金、国家重点领域投资的项目资金以及专项债券资金。</w:t>
      </w:r>
    </w:p>
    <w:p>
      <w:pPr>
        <w:keepNext w:val="0"/>
        <w:keepLines w:val="0"/>
        <w:pageBreakBefore w:val="0"/>
        <w:widowControl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 w:eastAsia="仿宋_GB2312" w:cs="仿宋"/>
          <w:b/>
          <w:bCs/>
          <w:color w:val="auto"/>
          <w:sz w:val="32"/>
          <w:szCs w:val="32"/>
          <w:lang w:val="en-US" w:eastAsia="zh-CN"/>
        </w:rPr>
        <w:t>5.招大扶强在工业税源上论英雄。</w:t>
      </w:r>
      <w:r>
        <w:rPr>
          <w:rFonts w:hint="eastAsia" w:ascii="仿宋_GB2312" w:hAnsi="仿宋" w:eastAsia="仿宋_GB2312" w:cs="仿宋"/>
          <w:color w:val="auto"/>
          <w:sz w:val="32"/>
          <w:szCs w:val="32"/>
          <w:lang w:val="en-US" w:eastAsia="zh-CN"/>
        </w:rPr>
        <w:t>大力引进一批成长前景好、税收贡献大优质企业项目。强化精准帮扶，对税源稳定年度任务完成好的企业实施精准帮扶。</w:t>
      </w:r>
      <w:r>
        <w:rPr>
          <w:rFonts w:hint="eastAsia" w:ascii="仿宋_GB2312" w:hAnsi="仿宋_GB2312" w:eastAsia="仿宋_GB2312" w:cs="仿宋_GB2312"/>
          <w:color w:val="auto"/>
          <w:sz w:val="32"/>
          <w:szCs w:val="32"/>
          <w:lang w:val="en-US" w:eastAsia="zh-CN"/>
        </w:rPr>
        <w:t>切实推进园区税收“亩均论英雄”改革，</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val="en-US" w:eastAsia="zh-CN"/>
        </w:rPr>
        <w:t>工业</w:t>
      </w:r>
      <w:r>
        <w:rPr>
          <w:rFonts w:hint="eastAsia" w:ascii="仿宋_GB2312" w:hAnsi="仿宋_GB2312" w:eastAsia="仿宋_GB2312" w:cs="仿宋_GB2312"/>
          <w:color w:val="auto"/>
          <w:sz w:val="32"/>
          <w:szCs w:val="32"/>
        </w:rPr>
        <w:t>经济的“含金量”“含税量”</w:t>
      </w:r>
      <w:r>
        <w:rPr>
          <w:rFonts w:hint="eastAsia" w:ascii="仿宋_GB2312" w:hAnsi="仿宋_GB2312" w:eastAsia="仿宋_GB2312" w:cs="仿宋_GB2312"/>
          <w:color w:val="auto"/>
          <w:sz w:val="32"/>
          <w:szCs w:val="32"/>
          <w:lang w:eastAsia="zh-CN"/>
        </w:rPr>
        <w:t>。</w:t>
      </w:r>
    </w:p>
    <w:p>
      <w:pPr>
        <w:keepNext w:val="0"/>
        <w:keepLines w:val="0"/>
        <w:pageBreakBefore w:val="0"/>
        <w:numPr>
          <w:ilvl w:val="0"/>
          <w:numId w:val="2"/>
        </w:numPr>
        <w:kinsoku/>
        <w:wordWrap/>
        <w:overflowPunct/>
        <w:topLinePunct w:val="0"/>
        <w:autoSpaceDE/>
        <w:autoSpaceDN/>
        <w:bidi w:val="0"/>
        <w:adjustRightInd w:val="0"/>
        <w:snapToGrid w:val="0"/>
        <w:spacing w:line="580" w:lineRule="exact"/>
        <w:ind w:firstLine="643" w:firstLineChars="200"/>
        <w:jc w:val="left"/>
        <w:textAlignment w:val="auto"/>
        <w:rPr>
          <w:rFonts w:ascii="楷体_GB2312" w:eastAsia="楷体_GB2312"/>
          <w:b/>
          <w:kern w:val="0"/>
          <w:sz w:val="32"/>
          <w:szCs w:val="32"/>
        </w:rPr>
      </w:pPr>
      <w:r>
        <w:rPr>
          <w:rFonts w:hint="eastAsia" w:ascii="楷体_GB2312" w:eastAsia="楷体_GB2312"/>
          <w:b/>
          <w:kern w:val="0"/>
          <w:sz w:val="32"/>
          <w:szCs w:val="32"/>
          <w:lang w:eastAsia="zh-CN"/>
        </w:rPr>
        <w:t>聚焦支出优化</w:t>
      </w:r>
      <w:r>
        <w:rPr>
          <w:rFonts w:hint="eastAsia" w:ascii="楷体_GB2312" w:eastAsia="楷体_GB2312"/>
          <w:b/>
          <w:kern w:val="0"/>
          <w:sz w:val="32"/>
          <w:szCs w:val="32"/>
        </w:rPr>
        <w:t>，</w:t>
      </w:r>
      <w:r>
        <w:rPr>
          <w:rFonts w:hint="eastAsia" w:ascii="楷体_GB2312" w:eastAsia="楷体_GB2312"/>
          <w:b/>
          <w:kern w:val="0"/>
          <w:sz w:val="32"/>
          <w:szCs w:val="32"/>
          <w:lang w:eastAsia="zh-CN"/>
        </w:rPr>
        <w:t>干</w:t>
      </w:r>
      <w:r>
        <w:rPr>
          <w:rFonts w:hint="eastAsia" w:ascii="楷体_GB2312" w:eastAsia="楷体_GB2312"/>
          <w:b/>
          <w:kern w:val="0"/>
          <w:sz w:val="32"/>
          <w:szCs w:val="32"/>
        </w:rPr>
        <w:t>出资金</w:t>
      </w:r>
      <w:r>
        <w:rPr>
          <w:rFonts w:hint="eastAsia" w:ascii="楷体_GB2312" w:eastAsia="楷体_GB2312"/>
          <w:b/>
          <w:kern w:val="0"/>
          <w:sz w:val="32"/>
          <w:szCs w:val="32"/>
          <w:lang w:eastAsia="zh-CN"/>
        </w:rPr>
        <w:t>效益</w:t>
      </w:r>
      <w:r>
        <w:rPr>
          <w:rFonts w:hint="eastAsia" w:ascii="楷体_GB2312" w:eastAsia="楷体_GB2312"/>
          <w:b/>
          <w:kern w:val="0"/>
          <w:sz w:val="32"/>
          <w:szCs w:val="32"/>
        </w:rPr>
        <w:t>新</w:t>
      </w:r>
      <w:r>
        <w:rPr>
          <w:rFonts w:hint="eastAsia" w:ascii="楷体_GB2312" w:eastAsia="楷体_GB2312"/>
          <w:b/>
          <w:kern w:val="0"/>
          <w:sz w:val="32"/>
          <w:szCs w:val="32"/>
          <w:lang w:eastAsia="zh-CN"/>
        </w:rPr>
        <w:t>力</w:t>
      </w:r>
      <w:r>
        <w:rPr>
          <w:rFonts w:hint="eastAsia" w:ascii="楷体_GB2312" w:eastAsia="楷体_GB2312"/>
          <w:b/>
          <w:kern w:val="0"/>
          <w:sz w:val="32"/>
          <w:szCs w:val="32"/>
        </w:rPr>
        <w:t>度</w:t>
      </w:r>
    </w:p>
    <w:p>
      <w:pPr>
        <w:pStyle w:val="2"/>
        <w:keepNext w:val="0"/>
        <w:keepLines w:val="0"/>
        <w:pageBreakBefore w:val="0"/>
        <w:wordWrap/>
        <w:overflowPunct/>
        <w:topLinePunct w:val="0"/>
        <w:bidi w:val="0"/>
        <w:spacing w:line="580" w:lineRule="exact"/>
        <w:textAlignment w:val="auto"/>
        <w:rPr>
          <w:rFonts w:hint="default" w:eastAsia="楷体_GB2312"/>
          <w:b w:val="0"/>
          <w:bCs/>
          <w:lang w:val="en-US" w:eastAsia="zh-CN"/>
        </w:rPr>
      </w:pPr>
      <w:r>
        <w:rPr>
          <w:rFonts w:hint="eastAsia" w:ascii="楷体_GB2312" w:eastAsia="楷体_GB2312"/>
          <w:b/>
          <w:kern w:val="0"/>
          <w:sz w:val="32"/>
          <w:szCs w:val="32"/>
          <w:lang w:val="en-US" w:eastAsia="zh-CN"/>
        </w:rPr>
        <w:t xml:space="preserve">    </w:t>
      </w:r>
      <w:r>
        <w:rPr>
          <w:rFonts w:hint="eastAsia" w:ascii="仿宋_GB2312" w:hAnsi="仿宋_GB2312" w:eastAsia="仿宋_GB2312" w:cs="仿宋_GB2312"/>
          <w:b/>
          <w:kern w:val="0"/>
          <w:sz w:val="32"/>
          <w:szCs w:val="32"/>
          <w:lang w:val="en-US" w:eastAsia="zh-CN"/>
        </w:rPr>
        <w:t>1.落实过紧日子要求。</w:t>
      </w:r>
      <w:r>
        <w:rPr>
          <w:rFonts w:hint="eastAsia" w:ascii="仿宋_GB2312" w:hAnsi="仿宋_GB2312" w:eastAsia="仿宋_GB2312" w:cs="仿宋_GB2312"/>
          <w:b w:val="0"/>
          <w:bCs/>
          <w:kern w:val="0"/>
          <w:sz w:val="32"/>
          <w:szCs w:val="32"/>
          <w:lang w:val="en-US" w:eastAsia="zh-CN"/>
        </w:rPr>
        <w:t>建立节约型财政保障机制，精准保障重点刚性支出，严格控制一般性支出，厉行节约办一切事业。清理压缩各种福利性、普惠性、基数化奖励。精简举办节庆、晚会、论坛、赛事等活动，加大市场化运作力度，压减财政补助规模。严格控制政府性楼堂馆所建设，从严控制、按标准配备资产。预算安排优先保障“三保”和政府债务还本付息等刚性支出。</w:t>
      </w:r>
    </w:p>
    <w:p>
      <w:pPr>
        <w:pStyle w:val="34"/>
        <w:keepNext w:val="0"/>
        <w:keepLines w:val="0"/>
        <w:pageBreakBefore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仿宋_GB2312" w:hAnsi="仿宋_GB2312" w:eastAsia="仿宋_GB2312" w:cs="仿宋_GB2312"/>
          <w:kern w:val="2"/>
          <w:sz w:val="32"/>
          <w:szCs w:val="32"/>
        </w:rPr>
      </w:pPr>
      <w:r>
        <w:rPr>
          <w:rFonts w:hint="eastAsia" w:ascii="仿宋_GB2312" w:hAnsi="Calibri" w:eastAsia="仿宋_GB2312"/>
          <w:b/>
          <w:bCs/>
          <w:kern w:val="2"/>
          <w:sz w:val="32"/>
          <w:szCs w:val="32"/>
          <w:lang w:val="en-US" w:eastAsia="zh-CN"/>
        </w:rPr>
        <w:t>2</w:t>
      </w:r>
      <w:r>
        <w:rPr>
          <w:rFonts w:hint="eastAsia" w:ascii="仿宋_GB2312" w:hAnsi="Calibri" w:eastAsia="仿宋_GB2312"/>
          <w:b/>
          <w:bCs/>
          <w:kern w:val="2"/>
          <w:sz w:val="32"/>
          <w:szCs w:val="32"/>
        </w:rPr>
        <w:t>.</w:t>
      </w:r>
      <w:r>
        <w:rPr>
          <w:rFonts w:hint="eastAsia" w:ascii="仿宋_GB2312" w:hAnsi="Calibri" w:eastAsia="仿宋_GB2312"/>
          <w:b/>
          <w:bCs/>
          <w:kern w:val="2"/>
          <w:sz w:val="32"/>
          <w:szCs w:val="32"/>
          <w:lang w:eastAsia="zh-CN"/>
        </w:rPr>
        <w:t>强化</w:t>
      </w:r>
      <w:r>
        <w:rPr>
          <w:rFonts w:hint="eastAsia" w:ascii="仿宋_GB2312" w:hAnsi="仿宋_GB2312" w:eastAsia="仿宋_GB2312" w:cs="仿宋_GB2312"/>
          <w:b/>
          <w:bCs/>
          <w:kern w:val="2"/>
          <w:sz w:val="32"/>
          <w:szCs w:val="32"/>
        </w:rPr>
        <w:t>专项资金</w:t>
      </w:r>
      <w:r>
        <w:rPr>
          <w:rFonts w:hint="eastAsia" w:ascii="仿宋_GB2312" w:hAnsi="仿宋_GB2312" w:eastAsia="仿宋_GB2312" w:cs="仿宋_GB2312"/>
          <w:b/>
          <w:bCs/>
          <w:kern w:val="2"/>
          <w:sz w:val="32"/>
          <w:szCs w:val="32"/>
          <w:lang w:eastAsia="zh-CN"/>
        </w:rPr>
        <w:t>统筹</w:t>
      </w:r>
      <w:r>
        <w:rPr>
          <w:rFonts w:hint="eastAsia" w:ascii="仿宋_GB2312" w:hAnsi="仿宋_GB2312" w:eastAsia="仿宋_GB2312" w:cs="仿宋_GB2312"/>
          <w:b/>
          <w:bCs/>
          <w:kern w:val="2"/>
          <w:sz w:val="32"/>
          <w:szCs w:val="32"/>
        </w:rPr>
        <w:t>整合。</w:t>
      </w:r>
      <w:r>
        <w:rPr>
          <w:rFonts w:hint="eastAsia" w:ascii="仿宋_GB2312" w:hAnsi="仿宋_GB2312" w:eastAsia="仿宋_GB2312" w:cs="仿宋_GB2312"/>
          <w:kern w:val="2"/>
          <w:sz w:val="32"/>
          <w:szCs w:val="32"/>
        </w:rPr>
        <w:t>进一步打破部门利益格局，纵深推进专项资金实质性整合，防止条块分割、撒胡椒面，稀释资金使用效果。</w:t>
      </w:r>
      <w:r>
        <w:rPr>
          <w:rFonts w:hint="eastAsia" w:ascii="仿宋_GB2312" w:hAnsi="仿宋_GB2312" w:eastAsia="仿宋_GB2312" w:cs="仿宋_GB2312"/>
          <w:b w:val="0"/>
          <w:bCs w:val="0"/>
          <w:kern w:val="2"/>
          <w:sz w:val="32"/>
          <w:szCs w:val="32"/>
          <w:lang w:val="en-US" w:eastAsia="zh-CN" w:bidi="ar-SA"/>
        </w:rPr>
        <w:t>提前</w:t>
      </w:r>
      <w:r>
        <w:rPr>
          <w:rFonts w:hint="default" w:ascii="仿宋_GB2312" w:hAnsi="仿宋_GB2312" w:eastAsia="仿宋_GB2312" w:cs="仿宋_GB2312"/>
          <w:b w:val="0"/>
          <w:bCs w:val="0"/>
          <w:kern w:val="2"/>
          <w:sz w:val="32"/>
          <w:szCs w:val="32"/>
          <w:lang w:val="en-US" w:eastAsia="zh-CN" w:bidi="ar-SA"/>
        </w:rPr>
        <w:t>谋划储备项目</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做好前期工作</w:t>
      </w:r>
      <w:r>
        <w:rPr>
          <w:rFonts w:hint="eastAsia" w:ascii="仿宋_GB2312" w:hAnsi="仿宋_GB2312" w:eastAsia="仿宋_GB2312" w:cs="仿宋_GB2312"/>
          <w:b w:val="0"/>
          <w:bCs w:val="0"/>
          <w:kern w:val="2"/>
          <w:sz w:val="32"/>
          <w:szCs w:val="32"/>
          <w:lang w:val="en-US" w:eastAsia="zh-CN" w:bidi="ar-SA"/>
        </w:rPr>
        <w:t>，建立专项资金项目库，落地资金优先</w:t>
      </w:r>
      <w:r>
        <w:rPr>
          <w:rFonts w:hint="default" w:ascii="仿宋_GB2312" w:hAnsi="仿宋_GB2312" w:eastAsia="仿宋_GB2312" w:cs="仿宋_GB2312"/>
          <w:b w:val="0"/>
          <w:bCs w:val="0"/>
          <w:kern w:val="2"/>
          <w:sz w:val="32"/>
          <w:szCs w:val="32"/>
          <w:lang w:val="en-US" w:eastAsia="zh-CN" w:bidi="ar-SA"/>
        </w:rPr>
        <w:t>从项目库中选择项目</w:t>
      </w:r>
      <w:r>
        <w:rPr>
          <w:rFonts w:hint="eastAsia" w:ascii="仿宋_GB2312" w:hAnsi="仿宋_GB2312" w:eastAsia="仿宋_GB2312" w:cs="仿宋_GB2312"/>
          <w:b w:val="0"/>
          <w:bCs w:val="0"/>
          <w:kern w:val="2"/>
          <w:sz w:val="32"/>
          <w:szCs w:val="32"/>
          <w:lang w:val="en-US" w:eastAsia="zh-CN" w:bidi="ar-SA"/>
        </w:rPr>
        <w:t>实施。尤其是</w:t>
      </w:r>
      <w:r>
        <w:rPr>
          <w:rFonts w:hint="eastAsia" w:ascii="仿宋_GB2312" w:hAnsi="仿宋_GB2312" w:eastAsia="仿宋_GB2312" w:cs="仿宋_GB2312"/>
          <w:kern w:val="2"/>
          <w:sz w:val="32"/>
          <w:szCs w:val="32"/>
        </w:rPr>
        <w:t>聚焦</w:t>
      </w:r>
      <w:r>
        <w:rPr>
          <w:rFonts w:hint="eastAsia" w:ascii="仿宋_GB2312" w:hAnsi="仿宋_GB2312" w:eastAsia="仿宋_GB2312" w:cs="仿宋_GB2312"/>
          <w:kern w:val="2"/>
          <w:sz w:val="32"/>
          <w:szCs w:val="32"/>
          <w:lang w:eastAsia="zh-CN"/>
        </w:rPr>
        <w:t>涉农资金的整合</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提</w:t>
      </w:r>
      <w:r>
        <w:rPr>
          <w:rFonts w:hint="eastAsia" w:ascii="仿宋_GB2312" w:hAnsi="仿宋_GB2312" w:eastAsia="仿宋_GB2312" w:cs="仿宋_GB2312"/>
          <w:kern w:val="2"/>
          <w:sz w:val="32"/>
          <w:szCs w:val="32"/>
        </w:rPr>
        <w:t>高统筹使用资金的能力和空间，确保资金“放得下、接得住、用得好”。</w:t>
      </w:r>
    </w:p>
    <w:p>
      <w:pPr>
        <w:pStyle w:val="34"/>
        <w:keepNext w:val="0"/>
        <w:keepLines w:val="0"/>
        <w:pageBreakBefore w:val="0"/>
        <w:kinsoku/>
        <w:wordWrap/>
        <w:overflowPunct/>
        <w:topLinePunct w:val="0"/>
        <w:autoSpaceDE/>
        <w:autoSpaceDN/>
        <w:bidi w:val="0"/>
        <w:adjustRightInd w:val="0"/>
        <w:snapToGrid w:val="0"/>
        <w:spacing w:line="58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3.</w:t>
      </w:r>
      <w:r>
        <w:rPr>
          <w:rFonts w:hint="eastAsia" w:ascii="仿宋_GB2312" w:hAnsi="仿宋" w:eastAsia="仿宋_GB2312" w:cs="仿宋"/>
          <w:b/>
          <w:bCs/>
          <w:color w:val="auto"/>
          <w:sz w:val="32"/>
          <w:szCs w:val="32"/>
        </w:rPr>
        <w:t>精简清理临聘人员</w:t>
      </w:r>
      <w:r>
        <w:rPr>
          <w:rFonts w:hint="eastAsia" w:ascii="仿宋_GB2312" w:hAnsi="仿宋" w:eastAsia="仿宋_GB2312" w:cs="仿宋"/>
          <w:b/>
          <w:bCs/>
          <w:color w:val="auto"/>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积极探索“科学规范、实事求是、疏堵结合、防范风险”的编外聘用人员管理新模式。</w:t>
      </w:r>
      <w:r>
        <w:rPr>
          <w:rFonts w:hint="eastAsia" w:ascii="仿宋_GB2312" w:hAnsi="仿宋_GB2312" w:eastAsia="仿宋_GB2312" w:cs="仿宋_GB2312"/>
          <w:color w:val="000000" w:themeColor="text1"/>
          <w:sz w:val="32"/>
          <w:szCs w:val="32"/>
          <w14:textFill>
            <w14:solidFill>
              <w14:schemeClr w14:val="tx1"/>
            </w14:solidFill>
          </w14:textFill>
        </w:rPr>
        <w:t>通过利用各单位社保参保系统与财政工资发放系统进行大数据比对</w:t>
      </w:r>
      <w:r>
        <w:rPr>
          <w:rFonts w:hint="eastAsia" w:ascii="仿宋_GB2312" w:hAnsi="仿宋_GB2312" w:eastAsia="仿宋_GB2312" w:cs="仿宋_GB2312"/>
          <w:color w:val="000000" w:themeColor="text1"/>
          <w:sz w:val="32"/>
          <w:szCs w:val="32"/>
          <w:lang w:eastAsia="zh-CN"/>
          <w14:textFill>
            <w14:solidFill>
              <w14:schemeClr w14:val="tx1"/>
            </w14:solidFill>
          </w14:textFill>
        </w:rPr>
        <w:t>，核查清查后有序退出。坚持“疏堵结合、稳定为要”，统筹做好保就业、保民生，着力解决清退聘用人员“再就业”难的问题，坚持依法依规、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科学规范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，着力解决部门单位自行其是、随意聘人的问题，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不断</w:t>
      </w:r>
      <w:r>
        <w:rPr>
          <w:rFonts w:hint="eastAsia" w:ascii="仿宋_GB2312" w:hAnsi="仿宋_GB2312" w:eastAsia="仿宋_GB2312" w:cs="仿宋_GB2312"/>
          <w:color w:val="000000" w:themeColor="text1"/>
          <w:sz w:val="32"/>
          <w:szCs w:val="32"/>
          <w:lang w:eastAsia="zh-CN"/>
          <w14:textFill>
            <w14:solidFill>
              <w14:schemeClr w14:val="tx1"/>
            </w14:solidFill>
          </w14:textFill>
        </w:rPr>
        <w:t>构建长效机制。</w:t>
      </w:r>
    </w:p>
    <w:p>
      <w:pPr>
        <w:pStyle w:val="3"/>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ascii="Times New Roman" w:hAnsi="Times New Roman" w:eastAsia="仿宋_GB2312"/>
          <w:kern w:val="0"/>
          <w:sz w:val="32"/>
          <w:szCs w:val="32"/>
        </w:rPr>
      </w:pPr>
      <w:r>
        <w:rPr>
          <w:rFonts w:hint="eastAsia" w:ascii="楷体_GB2312" w:hAnsi="Times New Roman" w:eastAsia="楷体_GB2312"/>
          <w:b/>
          <w:kern w:val="0"/>
          <w:sz w:val="32"/>
          <w:szCs w:val="32"/>
        </w:rPr>
        <w:t>（三）深化体制改革，</w:t>
      </w:r>
      <w:r>
        <w:rPr>
          <w:rFonts w:hint="eastAsia" w:ascii="楷体_GB2312" w:hAnsi="Times New Roman" w:eastAsia="楷体_GB2312"/>
          <w:b/>
          <w:kern w:val="0"/>
          <w:sz w:val="32"/>
          <w:szCs w:val="32"/>
          <w:lang w:eastAsia="zh-CN"/>
        </w:rPr>
        <w:t>迈向</w:t>
      </w:r>
      <w:r>
        <w:rPr>
          <w:rFonts w:hint="eastAsia" w:ascii="楷体_GB2312" w:hAnsi="Times New Roman" w:eastAsia="楷体_GB2312"/>
          <w:b/>
          <w:kern w:val="0"/>
          <w:sz w:val="32"/>
          <w:szCs w:val="32"/>
        </w:rPr>
        <w:t>管理效能新高度</w:t>
      </w:r>
    </w:p>
    <w:p>
      <w:pPr>
        <w:pStyle w:val="3"/>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eastAsia="zh-CN"/>
        </w:rPr>
        <w:t>强化</w:t>
      </w:r>
      <w:r>
        <w:rPr>
          <w:rFonts w:hint="eastAsia" w:ascii="仿宋_GB2312" w:hAnsi="仿宋_GB2312" w:eastAsia="仿宋_GB2312" w:cs="仿宋_GB2312"/>
          <w:b/>
          <w:bCs w:val="0"/>
          <w:sz w:val="32"/>
          <w:szCs w:val="32"/>
        </w:rPr>
        <w:t>预算</w:t>
      </w:r>
      <w:r>
        <w:rPr>
          <w:rFonts w:hint="eastAsia" w:ascii="仿宋_GB2312" w:hAnsi="仿宋_GB2312" w:eastAsia="仿宋_GB2312" w:cs="仿宋_GB2312"/>
          <w:b/>
          <w:bCs w:val="0"/>
          <w:sz w:val="32"/>
          <w:szCs w:val="32"/>
          <w:lang w:eastAsia="zh-CN"/>
        </w:rPr>
        <w:t>刚性约束</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sz w:val="32"/>
          <w:szCs w:val="32"/>
          <w:lang w:val="en-US" w:eastAsia="zh-CN"/>
        </w:rPr>
        <w:t>全面加强预算执行管理，硬化实化预算约束机制，严格执行人大批准的预算，强化预算指标管理，严禁无预算、超预算安排支出。严格执行会议费、培训费、差旅费标准，严禁超标准、超范围列支。严控预算调剂事项，不得年底突击花钱。严格按预算开支一般性支出，不得报销与公务活动无关的费用。</w:t>
      </w:r>
    </w:p>
    <w:p>
      <w:pPr>
        <w:pStyle w:val="3"/>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发挥绩效管理作用</w:t>
      </w:r>
      <w:r>
        <w:rPr>
          <w:rFonts w:hint="eastAsia" w:ascii="仿宋_GB2312" w:hAnsi="仿宋_GB2312" w:eastAsia="仿宋_GB2312" w:cs="仿宋_GB2312"/>
          <w:b/>
          <w:bCs/>
          <w:sz w:val="32"/>
          <w:szCs w:val="32"/>
        </w:rPr>
        <w:t>。</w:t>
      </w:r>
      <w:r>
        <w:rPr>
          <w:rFonts w:hint="eastAsia" w:ascii="仿宋_GB2312" w:hAnsi="仿宋_GB2312" w:eastAsia="仿宋_GB2312" w:cs="仿宋_GB2312"/>
          <w:b w:val="0"/>
          <w:bCs w:val="0"/>
          <w:sz w:val="32"/>
          <w:szCs w:val="32"/>
        </w:rPr>
        <w:t>按照建立全方位、全过程、全覆盖的预算绩效管理体系要求，完善预算绩效管理制度体系，加快推进配套制度和实施细则建设</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推进绩效目</w:t>
      </w:r>
      <w:r>
        <w:rPr>
          <w:rFonts w:hint="eastAsia" w:ascii="仿宋_GB2312" w:hAnsi="仿宋_GB2312" w:eastAsia="仿宋_GB2312" w:cs="仿宋_GB2312"/>
          <w:bCs/>
          <w:sz w:val="32"/>
          <w:szCs w:val="32"/>
        </w:rPr>
        <w:t>标申报信息化,绩效目标申报纳入预算一体化系统填报。突出重点评价，将</w:t>
      </w:r>
      <w:r>
        <w:rPr>
          <w:rFonts w:hint="eastAsia" w:ascii="仿宋_GB2312" w:hAnsi="仿宋_GB2312" w:eastAsia="仿宋_GB2312" w:cs="仿宋_GB2312"/>
          <w:bCs/>
          <w:sz w:val="32"/>
          <w:szCs w:val="32"/>
          <w:lang w:eastAsia="zh-CN"/>
        </w:rPr>
        <w:t>与人民群众</w:t>
      </w:r>
      <w:r>
        <w:rPr>
          <w:rFonts w:hint="eastAsia" w:ascii="仿宋_GB2312" w:hAnsi="仿宋_GB2312" w:eastAsia="仿宋_GB2312" w:cs="仿宋_GB2312"/>
          <w:bCs/>
          <w:sz w:val="32"/>
          <w:szCs w:val="32"/>
        </w:rPr>
        <w:t>密切相关的农村公路建设、乡村振兴、保障性安居工程、学前教育发展等</w:t>
      </w:r>
      <w:r>
        <w:rPr>
          <w:rFonts w:hint="eastAsia" w:ascii="仿宋_GB2312" w:hAnsi="仿宋_GB2312" w:eastAsia="仿宋_GB2312" w:cs="仿宋_GB2312"/>
          <w:bCs/>
          <w:sz w:val="32"/>
          <w:szCs w:val="32"/>
          <w:lang w:eastAsia="zh-CN"/>
        </w:rPr>
        <w:t>民生</w:t>
      </w:r>
      <w:r>
        <w:rPr>
          <w:rFonts w:hint="eastAsia" w:ascii="仿宋_GB2312" w:hAnsi="仿宋_GB2312" w:eastAsia="仿宋_GB2312" w:cs="仿宋_GB2312"/>
          <w:bCs/>
          <w:sz w:val="32"/>
          <w:szCs w:val="32"/>
        </w:rPr>
        <w:t>支出纳入绩效重点评价范围</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强化绩效评价结果应用</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硬化绩效结果与预算安排、改进管理、政策调整挂钩机制，强化绩效管理激励约束，大力削减低效无效资金。</w:t>
      </w:r>
    </w:p>
    <w:p>
      <w:pPr>
        <w:pStyle w:val="34"/>
        <w:keepNext w:val="0"/>
        <w:keepLines w:val="0"/>
        <w:pageBreakBefore w:val="0"/>
        <w:kinsoku/>
        <w:wordWrap/>
        <w:overflowPunct/>
        <w:topLinePunct w:val="0"/>
        <w:autoSpaceDE/>
        <w:autoSpaceDN/>
        <w:bidi w:val="0"/>
        <w:adjustRightInd w:val="0"/>
        <w:snapToGrid w:val="0"/>
        <w:spacing w:line="58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3.推进中期财政规划。</w:t>
      </w:r>
      <w:r>
        <w:rPr>
          <w:rFonts w:hint="eastAsia" w:ascii="Times New Roman" w:hAnsi="Times New Roman" w:eastAsia="仿宋_GB2312" w:cs="Times New Roman"/>
          <w:sz w:val="32"/>
          <w:szCs w:val="32"/>
          <w:lang w:val="en-US" w:eastAsia="zh-CN"/>
        </w:rPr>
        <w:t>加强财政收支预测分析，既要提高年度预算编制的精准度，更要从更长周期、更广范围来提前谋划政策和安排预算，加强中期财政规划管理,完善跨年度预算平衡机制,以丰补歉、削峰填谷，切实提高财政资源跨周期配置效率。强化中期财政规划对年度预算的约束，根据项目预算管理等要求，将全生命周期内对财政支出的影响纳入中期财政规划，区别轻重缓急，统筹安排支出。</w:t>
      </w:r>
    </w:p>
    <w:p>
      <w:pPr>
        <w:pStyle w:val="3"/>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楷体_GB2312" w:hAnsi="楷体" w:eastAsia="楷体_GB2312" w:cs="仿宋_GB2312"/>
          <w:b/>
          <w:sz w:val="32"/>
          <w:szCs w:val="32"/>
        </w:rPr>
      </w:pPr>
      <w:r>
        <w:rPr>
          <w:rFonts w:hint="eastAsia" w:ascii="楷体_GB2312" w:hAnsi="楷体" w:eastAsia="楷体_GB2312" w:cs="仿宋_GB2312"/>
          <w:b/>
          <w:sz w:val="32"/>
          <w:szCs w:val="32"/>
        </w:rPr>
        <w:t>（四）</w:t>
      </w:r>
      <w:r>
        <w:rPr>
          <w:rFonts w:hint="eastAsia" w:ascii="楷体_GB2312" w:hAnsi="楷体" w:eastAsia="楷体_GB2312" w:cs="仿宋_GB2312"/>
          <w:b/>
          <w:sz w:val="32"/>
          <w:szCs w:val="32"/>
          <w:lang w:eastAsia="zh-CN"/>
        </w:rPr>
        <w:t>强化底线思维</w:t>
      </w:r>
      <w:r>
        <w:rPr>
          <w:rFonts w:hint="eastAsia" w:ascii="楷体_GB2312" w:hAnsi="楷体" w:eastAsia="楷体_GB2312" w:cs="仿宋_GB2312"/>
          <w:b/>
          <w:sz w:val="32"/>
          <w:szCs w:val="32"/>
        </w:rPr>
        <w:t>，</w:t>
      </w:r>
      <w:r>
        <w:rPr>
          <w:rFonts w:hint="eastAsia" w:ascii="楷体_GB2312" w:hAnsi="楷体" w:eastAsia="楷体_GB2312" w:cs="仿宋_GB2312"/>
          <w:b/>
          <w:sz w:val="32"/>
          <w:szCs w:val="32"/>
          <w:lang w:eastAsia="zh-CN"/>
        </w:rPr>
        <w:t>筑牢防化</w:t>
      </w:r>
      <w:r>
        <w:rPr>
          <w:rFonts w:hint="eastAsia" w:ascii="楷体_GB2312" w:hAnsi="楷体" w:eastAsia="楷体_GB2312" w:cs="仿宋_GB2312"/>
          <w:b/>
          <w:sz w:val="32"/>
          <w:szCs w:val="32"/>
        </w:rPr>
        <w:t>风险新</w:t>
      </w:r>
      <w:r>
        <w:rPr>
          <w:rFonts w:hint="eastAsia" w:ascii="楷体_GB2312" w:hAnsi="楷体" w:eastAsia="楷体_GB2312" w:cs="仿宋_GB2312"/>
          <w:b/>
          <w:sz w:val="32"/>
          <w:szCs w:val="32"/>
          <w:lang w:eastAsia="zh-CN"/>
        </w:rPr>
        <w:t>维</w:t>
      </w:r>
      <w:r>
        <w:rPr>
          <w:rFonts w:hint="eastAsia" w:ascii="楷体_GB2312" w:hAnsi="楷体" w:eastAsia="楷体_GB2312" w:cs="仿宋_GB2312"/>
          <w:b/>
          <w:sz w:val="32"/>
          <w:szCs w:val="32"/>
        </w:rPr>
        <w:t>度</w:t>
      </w:r>
    </w:p>
    <w:p>
      <w:pPr>
        <w:pStyle w:val="3"/>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Times New Roman" w:hAnsi="Times New Roman" w:eastAsia="仿宋_GB2312"/>
          <w:b w:val="0"/>
          <w:bCs/>
          <w:kern w:val="0"/>
          <w:sz w:val="32"/>
          <w:szCs w:val="32"/>
          <w:highlight w:val="none"/>
          <w:lang w:eastAsia="zh-CN"/>
        </w:rPr>
      </w:pPr>
      <w:r>
        <w:rPr>
          <w:rFonts w:hint="eastAsia" w:ascii="Times New Roman" w:hAnsi="Times New Roman" w:eastAsia="仿宋_GB2312"/>
          <w:b/>
          <w:bCs/>
          <w:kern w:val="0"/>
          <w:sz w:val="32"/>
          <w:szCs w:val="32"/>
          <w:lang w:val="en-US" w:eastAsia="zh-CN"/>
        </w:rPr>
        <w:t>1.兜牢三保底线，严控三公经费支出。</w:t>
      </w:r>
      <w:r>
        <w:rPr>
          <w:rFonts w:hint="eastAsia" w:ascii="Times New Roman" w:hAnsi="Times New Roman" w:eastAsia="仿宋_GB2312"/>
          <w:kern w:val="0"/>
          <w:sz w:val="32"/>
          <w:szCs w:val="32"/>
          <w:lang w:val="en-US" w:eastAsia="zh-CN"/>
        </w:rPr>
        <w:t>一方面加强源头管控，合理组织收入，</w:t>
      </w:r>
      <w:r>
        <w:rPr>
          <w:rFonts w:hint="eastAsia" w:ascii="Times New Roman" w:hAnsi="Times New Roman" w:eastAsia="仿宋_GB2312"/>
          <w:b w:val="0"/>
          <w:bCs/>
          <w:kern w:val="0"/>
          <w:sz w:val="32"/>
          <w:szCs w:val="32"/>
          <w:highlight w:val="none"/>
        </w:rPr>
        <w:t>坚持国库集中支付优先顺序</w:t>
      </w:r>
      <w:r>
        <w:rPr>
          <w:rFonts w:hint="eastAsia" w:ascii="Times New Roman" w:hAnsi="Times New Roman" w:eastAsia="仿宋_GB2312"/>
          <w:b w:val="0"/>
          <w:bCs/>
          <w:kern w:val="0"/>
          <w:sz w:val="32"/>
          <w:szCs w:val="32"/>
          <w:highlight w:val="none"/>
          <w:lang w:eastAsia="zh-CN"/>
        </w:rPr>
        <w:t>，实时动态监控，确保不出现系统性风险。另一方面加大三公经费的执行监控，加大三公经费的公开力度，强化监督检查和问责机制，避免出现违规行为。</w:t>
      </w:r>
    </w:p>
    <w:p>
      <w:pPr>
        <w:pStyle w:val="3"/>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Times New Roman" w:hAnsi="Times New Roman" w:eastAsia="仿宋_GB2312"/>
          <w:kern w:val="0"/>
          <w:sz w:val="32"/>
          <w:szCs w:val="32"/>
        </w:rPr>
      </w:pPr>
      <w:r>
        <w:rPr>
          <w:rFonts w:hint="eastAsia" w:ascii="仿宋_GB2312" w:hAnsi="仿宋_GB2312" w:eastAsia="仿宋_GB2312" w:cs="仿宋_GB2312"/>
          <w:b/>
          <w:bCs w:val="0"/>
          <w:kern w:val="0"/>
          <w:sz w:val="32"/>
          <w:szCs w:val="32"/>
          <w:lang w:val="en-US" w:eastAsia="zh-CN"/>
        </w:rPr>
        <w:t>2</w:t>
      </w:r>
      <w:r>
        <w:rPr>
          <w:rFonts w:hint="eastAsia" w:ascii="仿宋_GB2312" w:hAnsi="仿宋_GB2312" w:eastAsia="仿宋_GB2312" w:cs="仿宋_GB2312"/>
          <w:b/>
          <w:bCs w:val="0"/>
          <w:kern w:val="0"/>
          <w:sz w:val="32"/>
          <w:szCs w:val="32"/>
        </w:rPr>
        <w:t>.</w:t>
      </w:r>
      <w:r>
        <w:rPr>
          <w:rFonts w:hint="eastAsia" w:ascii="Times New Roman" w:hAnsi="Times New Roman" w:eastAsia="仿宋_GB2312"/>
          <w:b/>
          <w:bCs w:val="0"/>
          <w:kern w:val="0"/>
          <w:sz w:val="32"/>
          <w:szCs w:val="32"/>
        </w:rPr>
        <w:t>防范化解债务风险。</w:t>
      </w:r>
      <w:r>
        <w:rPr>
          <w:rFonts w:hint="eastAsia" w:ascii="Times New Roman" w:hAnsi="Times New Roman" w:eastAsia="仿宋_GB2312"/>
          <w:b w:val="0"/>
          <w:bCs/>
          <w:kern w:val="0"/>
          <w:sz w:val="32"/>
          <w:szCs w:val="32"/>
        </w:rPr>
        <w:t>坚持开好前门，加大对新增债券资金的申报和争取力度，用足用好专项债券资金；堵住后门，强化国有企事业单位监管，不越违规举债融资红线。完善债务风险常态化监控机制，稳妥化解隐性债务风险，推动平滑缓释到期债务，扎实推进平台公司市场化转型。加强社保基金封闭运行管理，织密基金风险防控安全</w:t>
      </w:r>
      <w:r>
        <w:rPr>
          <w:rFonts w:hint="eastAsia" w:ascii="Times New Roman" w:hAnsi="Times New Roman" w:eastAsia="仿宋_GB2312"/>
          <w:kern w:val="0"/>
          <w:sz w:val="32"/>
          <w:szCs w:val="32"/>
        </w:rPr>
        <w:t>网。</w:t>
      </w:r>
    </w:p>
    <w:p>
      <w:pPr>
        <w:pStyle w:val="3"/>
        <w:keepNext w:val="0"/>
        <w:keepLines w:val="0"/>
        <w:pageBreakBefore w:val="0"/>
        <w:kinsoku/>
        <w:wordWrap/>
        <w:overflowPunct/>
        <w:topLinePunct w:val="0"/>
        <w:autoSpaceDE/>
        <w:autoSpaceDN/>
        <w:bidi w:val="0"/>
        <w:adjustRightInd w:val="0"/>
        <w:snapToGrid w:val="0"/>
        <w:spacing w:line="580" w:lineRule="exact"/>
        <w:ind w:firstLine="643" w:firstLineChars="200"/>
        <w:textAlignment w:val="auto"/>
        <w:rPr>
          <w:rFonts w:hint="eastAsia" w:ascii="Times New Roman" w:hAnsi="Times New Roman" w:eastAsia="仿宋_GB2312"/>
          <w:b w:val="0"/>
          <w:bCs/>
          <w:kern w:val="0"/>
          <w:sz w:val="32"/>
          <w:szCs w:val="32"/>
          <w:highlight w:val="none"/>
          <w:lang w:eastAsia="zh-CN"/>
        </w:rPr>
      </w:pP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w:t>
      </w:r>
      <w:r>
        <w:rPr>
          <w:rFonts w:hint="eastAsia" w:ascii="仿宋_GB2312" w:hAnsi="Calibri" w:eastAsia="仿宋_GB2312"/>
          <w:b/>
          <w:bCs w:val="0"/>
          <w:kern w:val="2"/>
          <w:sz w:val="32"/>
          <w:szCs w:val="32"/>
          <w:highlight w:val="none"/>
        </w:rPr>
        <w:t>规范政</w:t>
      </w:r>
      <w:r>
        <w:rPr>
          <w:rFonts w:hint="eastAsia" w:ascii="仿宋_GB2312" w:hAnsi="Times New Roman" w:eastAsia="仿宋_GB2312" w:cs="Times New Roman"/>
          <w:b/>
          <w:bCs w:val="0"/>
          <w:color w:val="000000"/>
          <w:sz w:val="32"/>
          <w:szCs w:val="32"/>
          <w:highlight w:val="none"/>
        </w:rPr>
        <w:t>府性投资项目决策和立项</w:t>
      </w:r>
      <w:r>
        <w:rPr>
          <w:rFonts w:ascii="Times New Roman" w:hAnsi="Times New Roman" w:eastAsia="仿宋" w:cs="Times New Roman"/>
          <w:b/>
          <w:bCs w:val="0"/>
          <w:color w:val="000000"/>
          <w:sz w:val="32"/>
          <w:szCs w:val="32"/>
          <w:highlight w:val="none"/>
        </w:rPr>
        <w:t>。</w:t>
      </w:r>
      <w:r>
        <w:rPr>
          <w:rFonts w:ascii="Times New Roman" w:hAnsi="Times New Roman" w:eastAsia="仿宋" w:cs="Times New Roman"/>
          <w:color w:val="000000"/>
          <w:sz w:val="32"/>
          <w:szCs w:val="32"/>
          <w:highlight w:val="none"/>
        </w:rPr>
        <w:t>按照《进一步规范政府性投资项目决策和立项防范政府债务风险的管理办法》</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湘政办发〔2022〕26号</w:t>
      </w:r>
      <w:r>
        <w:rPr>
          <w:rFonts w:hint="eastAsia" w:ascii="Times New Roman" w:hAnsi="Times New Roman" w:eastAsia="仿宋" w:cs="Times New Roman"/>
          <w:color w:val="000000"/>
          <w:sz w:val="32"/>
          <w:szCs w:val="32"/>
          <w:highlight w:val="none"/>
        </w:rPr>
        <w:t>）</w:t>
      </w:r>
      <w:r>
        <w:rPr>
          <w:rFonts w:ascii="Times New Roman" w:hAnsi="Times New Roman" w:eastAsia="仿宋" w:cs="Times New Roman"/>
          <w:color w:val="000000"/>
          <w:sz w:val="32"/>
          <w:szCs w:val="32"/>
          <w:highlight w:val="none"/>
        </w:rPr>
        <w:t>要求，严格履行</w:t>
      </w:r>
      <w:r>
        <w:rPr>
          <w:rFonts w:ascii="Times New Roman" w:hAnsi="Times New Roman" w:eastAsia="仿宋_GB2312" w:cs="Times New Roman"/>
          <w:sz w:val="32"/>
          <w:szCs w:val="32"/>
          <w:highlight w:val="none"/>
        </w:rPr>
        <w:t>政府性投资项目立项决策程序，构建从源头上</w:t>
      </w:r>
      <w:r>
        <w:rPr>
          <w:rFonts w:hint="eastAsia" w:ascii="Times New Roman" w:hAnsi="Times New Roman" w:eastAsia="仿宋_GB2312" w:cs="Times New Roman"/>
          <w:sz w:val="32"/>
          <w:szCs w:val="32"/>
          <w:highlight w:val="none"/>
        </w:rPr>
        <w:t>制止</w:t>
      </w:r>
      <w:r>
        <w:rPr>
          <w:rFonts w:ascii="Times New Roman" w:hAnsi="Times New Roman" w:eastAsia="仿宋_GB2312" w:cs="Times New Roman"/>
          <w:sz w:val="32"/>
          <w:szCs w:val="32"/>
          <w:highlight w:val="none"/>
        </w:rPr>
        <w:t>盲目上项目、铺摊子的新机制，进一步做实做优</w:t>
      </w:r>
      <w:r>
        <w:rPr>
          <w:rFonts w:hint="eastAsia" w:ascii="Times New Roman" w:hAnsi="Times New Roman" w:eastAsia="仿宋_GB2312" w:cs="Times New Roman"/>
          <w:sz w:val="32"/>
          <w:szCs w:val="32"/>
          <w:highlight w:val="none"/>
          <w:lang w:eastAsia="zh-CN"/>
        </w:rPr>
        <w:t>政府投资</w:t>
      </w:r>
      <w:r>
        <w:rPr>
          <w:rFonts w:ascii="Times New Roman" w:hAnsi="Times New Roman" w:eastAsia="仿宋_GB2312" w:cs="Times New Roman"/>
          <w:sz w:val="32"/>
          <w:szCs w:val="32"/>
          <w:highlight w:val="none"/>
        </w:rPr>
        <w:t>项目储备。</w:t>
      </w:r>
    </w:p>
    <w:p>
      <w:pPr>
        <w:pStyle w:val="3"/>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olor w:val="000000"/>
          <w:sz w:val="32"/>
          <w:szCs w:val="32"/>
        </w:rPr>
      </w:pPr>
      <w:r>
        <w:rPr>
          <w:rFonts w:hint="eastAsia" w:ascii="仿宋_GB2312" w:eastAsia="仿宋_GB2312" w:cs="仿宋_GB2312"/>
          <w:color w:val="000000"/>
          <w:sz w:val="32"/>
          <w:szCs w:val="32"/>
        </w:rPr>
        <w:t>各位代表</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2023年</w:t>
      </w:r>
      <w:r>
        <w:rPr>
          <w:rFonts w:eastAsia="仿宋_GB2312"/>
          <w:color w:val="000000"/>
          <w:kern w:val="0"/>
          <w:sz w:val="32"/>
          <w:szCs w:val="32"/>
        </w:rPr>
        <w:t>是全面贯彻落实党的二十大精神的开局之年</w:t>
      </w:r>
      <w:r>
        <w:rPr>
          <w:rFonts w:hint="eastAsia" w:eastAsia="仿宋_GB2312"/>
          <w:color w:val="000000"/>
          <w:kern w:val="0"/>
          <w:sz w:val="32"/>
          <w:szCs w:val="32"/>
        </w:rPr>
        <w:t>，</w:t>
      </w:r>
      <w:r>
        <w:rPr>
          <w:rFonts w:eastAsia="仿宋_GB2312"/>
          <w:color w:val="000000"/>
          <w:kern w:val="0"/>
          <w:sz w:val="32"/>
          <w:szCs w:val="32"/>
        </w:rPr>
        <w:t>落实各项财税政策、推动财政发展改革任务艰巨。我们将以习近平新时代中国特色社会主义思想为指导，全面贯彻党的二十大精神</w:t>
      </w:r>
      <w:r>
        <w:rPr>
          <w:rFonts w:hint="eastAsia" w:ascii="仿宋_GB2312" w:eastAsia="仿宋_GB2312"/>
          <w:color w:val="000000"/>
          <w:sz w:val="32"/>
          <w:szCs w:val="32"/>
        </w:rPr>
        <w:t>，</w:t>
      </w:r>
      <w:r>
        <w:rPr>
          <w:rFonts w:hint="eastAsia" w:ascii="仿宋_GB2312" w:hAnsi="仿宋_GB2312" w:eastAsia="仿宋_GB2312"/>
          <w:color w:val="000000"/>
          <w:sz w:val="32"/>
          <w:szCs w:val="32"/>
        </w:rPr>
        <w:t>在县委县政府的坚强领导下，自觉接受县人大和县政协的监督指导，全面深化财政改革，积极发挥财政职能作用，担当作为、求真务实，踔厉奋发、勇毅前行，为</w:t>
      </w:r>
      <w:r>
        <w:rPr>
          <w:rFonts w:hint="eastAsia" w:ascii="仿宋_GB2312" w:hAnsi="仿宋_GB2312" w:eastAsia="仿宋_GB2312" w:cs="仿宋_GB2312"/>
          <w:sz w:val="32"/>
          <w:szCs w:val="32"/>
        </w:rPr>
        <w:t>开创道县高质量发展新局面</w:t>
      </w:r>
      <w:r>
        <w:rPr>
          <w:rFonts w:hint="eastAsia" w:ascii="仿宋_GB2312" w:hAnsi="仿宋_GB2312" w:eastAsia="仿宋_GB2312"/>
          <w:color w:val="000000"/>
          <w:sz w:val="32"/>
          <w:szCs w:val="32"/>
        </w:rPr>
        <w:t>做出新的更大贡献！</w:t>
      </w:r>
    </w:p>
    <w:p>
      <w:pPr>
        <w:pStyle w:val="3"/>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eastAsia" w:ascii="仿宋_GB2312" w:hAnsi="仿宋_GB2312" w:eastAsia="仿宋_GB2312"/>
          <w:color w:val="000000"/>
          <w:sz w:val="32"/>
          <w:szCs w:val="32"/>
        </w:rPr>
      </w:pPr>
    </w:p>
    <w:p>
      <w:pPr>
        <w:rPr>
          <w:rFonts w:hint="eastAsia"/>
          <w:sz w:val="28"/>
        </w:rPr>
      </w:pPr>
    </w:p>
    <w:p>
      <w:pPr>
        <w:pStyle w:val="2"/>
        <w:rPr>
          <w:rFonts w:hint="eastAsia"/>
        </w:rPr>
      </w:pPr>
    </w:p>
    <w:p>
      <w:pPr>
        <w:rPr>
          <w:rFonts w:hint="eastAsia" w:ascii="仿宋_GB2312" w:hAnsi="仿宋_GB2312" w:eastAsia="仿宋_GB2312"/>
          <w:color w:val="000000"/>
          <w:sz w:val="32"/>
          <w:szCs w:val="32"/>
        </w:rPr>
      </w:pPr>
      <w:r>
        <w:rPr>
          <w:rFonts w:hint="eastAsia" w:ascii="楷体_GB2312" w:hAnsi="楷体" w:eastAsia="楷体_GB2312"/>
          <w:b/>
          <w:bCs/>
          <w:sz w:val="32"/>
          <w:szCs w:val="32"/>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377825"/>
                <wp:effectExtent l="0" t="4445" r="0" b="17780"/>
                <wp:wrapNone/>
                <wp:docPr id="4" name="组合 4"/>
                <wp:cNvGraphicFramePr/>
                <a:graphic xmlns:a="http://schemas.openxmlformats.org/drawingml/2006/main">
                  <a:graphicData uri="http://schemas.microsoft.com/office/word/2010/wordprocessingGroup">
                    <wpg:wgp>
                      <wpg:cNvGrpSpPr/>
                      <wpg:grpSpPr>
                        <a:xfrm>
                          <a:off x="0" y="0"/>
                          <a:ext cx="5600700" cy="377825"/>
                          <a:chOff x="1985" y="13625"/>
                          <a:chExt cx="9720" cy="624"/>
                        </a:xfrm>
                      </wpg:grpSpPr>
                      <wps:wsp>
                        <wps:cNvPr id="2" name="直接连接符 2"/>
                        <wps:cNvCnPr/>
                        <wps:spPr>
                          <a:xfrm>
                            <a:off x="1985" y="14249"/>
                            <a:ext cx="9720" cy="0"/>
                          </a:xfrm>
                          <a:prstGeom prst="line">
                            <a:avLst/>
                          </a:prstGeom>
                          <a:ln w="9525" cap="flat" cmpd="sng">
                            <a:solidFill>
                              <a:srgbClr val="000000"/>
                            </a:solidFill>
                            <a:prstDash val="solid"/>
                            <a:headEnd type="none" w="med" len="med"/>
                            <a:tailEnd type="none" w="med" len="med"/>
                          </a:ln>
                        </wps:spPr>
                        <wps:bodyPr upright="1"/>
                      </wps:wsp>
                      <wps:wsp>
                        <wps:cNvPr id="3" name="直接连接符 3"/>
                        <wps:cNvCnPr/>
                        <wps:spPr>
                          <a:xfrm>
                            <a:off x="1985" y="13625"/>
                            <a:ext cx="9720"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pt;margin-top:0pt;height:29.75pt;width:441pt;z-index:251660288;mso-width-relative:page;mso-height-relative:page;" coordorigin="1985,13625" coordsize="9720,624" o:gfxdata="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eea9edUAAAAEAQAADwAA&#10;AAAAAAABACAAAAAiAAAAZHJzL2Rvd25yZXYueG1sUEsBAhQAFAAAAAgAh07iQOmnJ3mLAgAAIgcA&#10;AA4AAAAAAAAAAQAgAAAAJAEAAGRycy9lMm9Eb2MueG1sUEsFBgAAAAAGAAYAWQEAACEGAAAAAA==&#10;">
                <o:lock v:ext="edit" aspectratio="f"/>
                <v:line id="_x0000_s1026" o:spid="_x0000_s1026" o:spt="20" style="position:absolute;left:1985;top:14249;height:0;width:9720;"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1985;top:13625;height:0;width:972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楷体_GB2312" w:hAnsi="楷体" w:eastAsia="楷体_GB2312"/>
          <w:b/>
          <w:bCs/>
          <w:sz w:val="32"/>
          <w:szCs w:val="32"/>
        </w:rPr>
        <w:t>县十</w:t>
      </w:r>
      <w:r>
        <w:rPr>
          <w:rFonts w:hint="eastAsia" w:ascii="楷体_GB2312" w:hAnsi="楷体" w:eastAsia="楷体_GB2312"/>
          <w:b/>
          <w:bCs/>
          <w:sz w:val="32"/>
          <w:szCs w:val="32"/>
          <w:lang w:eastAsia="zh-CN"/>
        </w:rPr>
        <w:t>八</w:t>
      </w:r>
      <w:r>
        <w:rPr>
          <w:rFonts w:hint="eastAsia" w:ascii="楷体_GB2312" w:hAnsi="楷体" w:eastAsia="楷体_GB2312"/>
          <w:b/>
          <w:bCs/>
          <w:sz w:val="32"/>
          <w:szCs w:val="32"/>
        </w:rPr>
        <w:t>届人大</w:t>
      </w:r>
      <w:r>
        <w:rPr>
          <w:rFonts w:hint="eastAsia" w:ascii="楷体_GB2312" w:hAnsi="楷体" w:eastAsia="楷体_GB2312"/>
          <w:b/>
          <w:bCs/>
          <w:sz w:val="32"/>
          <w:szCs w:val="32"/>
          <w:lang w:eastAsia="zh-CN"/>
        </w:rPr>
        <w:t>三</w:t>
      </w:r>
      <w:r>
        <w:rPr>
          <w:rFonts w:hint="eastAsia" w:ascii="楷体_GB2312" w:hAnsi="楷体" w:eastAsia="楷体_GB2312"/>
          <w:b/>
          <w:bCs/>
          <w:sz w:val="32"/>
          <w:szCs w:val="32"/>
        </w:rPr>
        <w:t>次会议秘书处</w:t>
      </w:r>
      <w:bookmarkStart w:id="0" w:name="_GoBack"/>
      <w:bookmarkEnd w:id="0"/>
    </w:p>
    <w:sectPr>
      <w:footerReference r:id="rId3" w:type="default"/>
      <w:footerReference r:id="rId4" w:type="even"/>
      <w:pgSz w:w="11906" w:h="16838"/>
      <w:pgMar w:top="1757" w:right="1531" w:bottom="1701"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12</w:t>
    </w:r>
    <w:r>
      <w:rPr>
        <w:rStyle w:val="16"/>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8DD8D"/>
    <w:multiLevelType w:val="singleLevel"/>
    <w:tmpl w:val="8B38DD8D"/>
    <w:lvl w:ilvl="0" w:tentative="0">
      <w:start w:val="2"/>
      <w:numFmt w:val="chineseCounting"/>
      <w:suff w:val="nothing"/>
      <w:lvlText w:val="%1、"/>
      <w:lvlJc w:val="left"/>
      <w:rPr>
        <w:rFonts w:hint="eastAsia"/>
      </w:rPr>
    </w:lvl>
  </w:abstractNum>
  <w:abstractNum w:abstractNumId="1">
    <w:nsid w:val="B0587361"/>
    <w:multiLevelType w:val="singleLevel"/>
    <w:tmpl w:val="B058736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mZWUxZjQyNmY5YzQ0NzcyNjkwMWJhYmQ2M2I3MWUifQ=="/>
  </w:docVars>
  <w:rsids>
    <w:rsidRoot w:val="00317748"/>
    <w:rsid w:val="00001795"/>
    <w:rsid w:val="000204E1"/>
    <w:rsid w:val="0002731E"/>
    <w:rsid w:val="000333D2"/>
    <w:rsid w:val="00033914"/>
    <w:rsid w:val="00056CC6"/>
    <w:rsid w:val="00067555"/>
    <w:rsid w:val="00070C8F"/>
    <w:rsid w:val="00096CE1"/>
    <w:rsid w:val="000B4F6C"/>
    <w:rsid w:val="000E25C5"/>
    <w:rsid w:val="000F5261"/>
    <w:rsid w:val="0012566C"/>
    <w:rsid w:val="00135D50"/>
    <w:rsid w:val="00143E5E"/>
    <w:rsid w:val="00156682"/>
    <w:rsid w:val="00156765"/>
    <w:rsid w:val="00165614"/>
    <w:rsid w:val="00171177"/>
    <w:rsid w:val="0019171A"/>
    <w:rsid w:val="00194654"/>
    <w:rsid w:val="001A6E46"/>
    <w:rsid w:val="001B0322"/>
    <w:rsid w:val="001B4839"/>
    <w:rsid w:val="001C74C3"/>
    <w:rsid w:val="001E3C94"/>
    <w:rsid w:val="001E69D8"/>
    <w:rsid w:val="001F5804"/>
    <w:rsid w:val="00202279"/>
    <w:rsid w:val="00202709"/>
    <w:rsid w:val="00204814"/>
    <w:rsid w:val="00241137"/>
    <w:rsid w:val="00250C9A"/>
    <w:rsid w:val="00253EFE"/>
    <w:rsid w:val="00256E54"/>
    <w:rsid w:val="0026468B"/>
    <w:rsid w:val="00267314"/>
    <w:rsid w:val="00270B77"/>
    <w:rsid w:val="00286E42"/>
    <w:rsid w:val="00287C51"/>
    <w:rsid w:val="002F2817"/>
    <w:rsid w:val="00307A30"/>
    <w:rsid w:val="00317748"/>
    <w:rsid w:val="00331815"/>
    <w:rsid w:val="00332F7B"/>
    <w:rsid w:val="003351DA"/>
    <w:rsid w:val="0033682F"/>
    <w:rsid w:val="00354072"/>
    <w:rsid w:val="0035707E"/>
    <w:rsid w:val="003621D5"/>
    <w:rsid w:val="0036684F"/>
    <w:rsid w:val="00366FEA"/>
    <w:rsid w:val="0038547F"/>
    <w:rsid w:val="0038593E"/>
    <w:rsid w:val="003A3347"/>
    <w:rsid w:val="003B69EE"/>
    <w:rsid w:val="003E7437"/>
    <w:rsid w:val="004040E2"/>
    <w:rsid w:val="004125F0"/>
    <w:rsid w:val="00414FDA"/>
    <w:rsid w:val="004243DE"/>
    <w:rsid w:val="004470C6"/>
    <w:rsid w:val="004510DA"/>
    <w:rsid w:val="004539E1"/>
    <w:rsid w:val="0046632F"/>
    <w:rsid w:val="00467734"/>
    <w:rsid w:val="00467DA1"/>
    <w:rsid w:val="0048498E"/>
    <w:rsid w:val="00485A1C"/>
    <w:rsid w:val="004A369C"/>
    <w:rsid w:val="004A5930"/>
    <w:rsid w:val="004B60AB"/>
    <w:rsid w:val="004C0CBB"/>
    <w:rsid w:val="004C28B1"/>
    <w:rsid w:val="004C67D8"/>
    <w:rsid w:val="004F2350"/>
    <w:rsid w:val="00526CC0"/>
    <w:rsid w:val="00554E04"/>
    <w:rsid w:val="00560EC8"/>
    <w:rsid w:val="00572022"/>
    <w:rsid w:val="005748F4"/>
    <w:rsid w:val="00575B84"/>
    <w:rsid w:val="00587505"/>
    <w:rsid w:val="0059326B"/>
    <w:rsid w:val="00595BBC"/>
    <w:rsid w:val="00596B16"/>
    <w:rsid w:val="005A4EE0"/>
    <w:rsid w:val="005B2738"/>
    <w:rsid w:val="005B5130"/>
    <w:rsid w:val="005B56B8"/>
    <w:rsid w:val="005C7C49"/>
    <w:rsid w:val="005D21A2"/>
    <w:rsid w:val="005F258B"/>
    <w:rsid w:val="006047F7"/>
    <w:rsid w:val="00627766"/>
    <w:rsid w:val="006336F0"/>
    <w:rsid w:val="00640DF6"/>
    <w:rsid w:val="0065324E"/>
    <w:rsid w:val="00656EC3"/>
    <w:rsid w:val="00674AB2"/>
    <w:rsid w:val="00683BF0"/>
    <w:rsid w:val="00684174"/>
    <w:rsid w:val="0069030B"/>
    <w:rsid w:val="00690F22"/>
    <w:rsid w:val="006A125D"/>
    <w:rsid w:val="006A777F"/>
    <w:rsid w:val="006B39FF"/>
    <w:rsid w:val="006B4BB7"/>
    <w:rsid w:val="006F3876"/>
    <w:rsid w:val="006F4D74"/>
    <w:rsid w:val="006F5A19"/>
    <w:rsid w:val="0070157C"/>
    <w:rsid w:val="00702358"/>
    <w:rsid w:val="00740242"/>
    <w:rsid w:val="0075457E"/>
    <w:rsid w:val="007551C8"/>
    <w:rsid w:val="00762CA1"/>
    <w:rsid w:val="007647FE"/>
    <w:rsid w:val="00780864"/>
    <w:rsid w:val="00786F2B"/>
    <w:rsid w:val="007A08A7"/>
    <w:rsid w:val="007A3EF7"/>
    <w:rsid w:val="007B4B60"/>
    <w:rsid w:val="007C3A2C"/>
    <w:rsid w:val="007C5DE1"/>
    <w:rsid w:val="007D0783"/>
    <w:rsid w:val="007F036D"/>
    <w:rsid w:val="007F632F"/>
    <w:rsid w:val="008015CD"/>
    <w:rsid w:val="008028B5"/>
    <w:rsid w:val="00805BC6"/>
    <w:rsid w:val="008142BF"/>
    <w:rsid w:val="008262B1"/>
    <w:rsid w:val="008307BC"/>
    <w:rsid w:val="008338E8"/>
    <w:rsid w:val="00835809"/>
    <w:rsid w:val="00837246"/>
    <w:rsid w:val="008429D2"/>
    <w:rsid w:val="00847219"/>
    <w:rsid w:val="008828AB"/>
    <w:rsid w:val="008835BA"/>
    <w:rsid w:val="008C60B8"/>
    <w:rsid w:val="008D2211"/>
    <w:rsid w:val="008E5D5B"/>
    <w:rsid w:val="008F5387"/>
    <w:rsid w:val="00933848"/>
    <w:rsid w:val="0093578D"/>
    <w:rsid w:val="00965A97"/>
    <w:rsid w:val="00974501"/>
    <w:rsid w:val="0097678F"/>
    <w:rsid w:val="00982C28"/>
    <w:rsid w:val="00985989"/>
    <w:rsid w:val="009A5ACC"/>
    <w:rsid w:val="009C37C7"/>
    <w:rsid w:val="009C409A"/>
    <w:rsid w:val="009D49B3"/>
    <w:rsid w:val="009D5ECA"/>
    <w:rsid w:val="009D6E60"/>
    <w:rsid w:val="009E21B4"/>
    <w:rsid w:val="009E4F19"/>
    <w:rsid w:val="009E7266"/>
    <w:rsid w:val="009F4DCC"/>
    <w:rsid w:val="00A01162"/>
    <w:rsid w:val="00A14E29"/>
    <w:rsid w:val="00A255CC"/>
    <w:rsid w:val="00A35E86"/>
    <w:rsid w:val="00A4433D"/>
    <w:rsid w:val="00A4465B"/>
    <w:rsid w:val="00A55032"/>
    <w:rsid w:val="00A727E9"/>
    <w:rsid w:val="00A800C4"/>
    <w:rsid w:val="00A93826"/>
    <w:rsid w:val="00A97E22"/>
    <w:rsid w:val="00AA3DD2"/>
    <w:rsid w:val="00AE2862"/>
    <w:rsid w:val="00AF0E12"/>
    <w:rsid w:val="00AF260A"/>
    <w:rsid w:val="00B16E09"/>
    <w:rsid w:val="00B21DA0"/>
    <w:rsid w:val="00B221D9"/>
    <w:rsid w:val="00B35C32"/>
    <w:rsid w:val="00B72E03"/>
    <w:rsid w:val="00B744E6"/>
    <w:rsid w:val="00B80411"/>
    <w:rsid w:val="00B93467"/>
    <w:rsid w:val="00B93B2C"/>
    <w:rsid w:val="00B94DC4"/>
    <w:rsid w:val="00BA098A"/>
    <w:rsid w:val="00BA0991"/>
    <w:rsid w:val="00BA6F7A"/>
    <w:rsid w:val="00BC1558"/>
    <w:rsid w:val="00BD47D6"/>
    <w:rsid w:val="00BD4E3A"/>
    <w:rsid w:val="00BE0102"/>
    <w:rsid w:val="00BF09B8"/>
    <w:rsid w:val="00BF6ABE"/>
    <w:rsid w:val="00C05F6C"/>
    <w:rsid w:val="00C070BC"/>
    <w:rsid w:val="00C07DD1"/>
    <w:rsid w:val="00C11644"/>
    <w:rsid w:val="00C25D3D"/>
    <w:rsid w:val="00C46835"/>
    <w:rsid w:val="00C57BE3"/>
    <w:rsid w:val="00C64709"/>
    <w:rsid w:val="00C65579"/>
    <w:rsid w:val="00C71B69"/>
    <w:rsid w:val="00CA2A7B"/>
    <w:rsid w:val="00CB37BD"/>
    <w:rsid w:val="00CB504F"/>
    <w:rsid w:val="00CB65CE"/>
    <w:rsid w:val="00CB737D"/>
    <w:rsid w:val="00CC5F6C"/>
    <w:rsid w:val="00CD1A75"/>
    <w:rsid w:val="00CD7EE6"/>
    <w:rsid w:val="00CF19DE"/>
    <w:rsid w:val="00CF5D16"/>
    <w:rsid w:val="00D01F74"/>
    <w:rsid w:val="00D2454F"/>
    <w:rsid w:val="00D5421B"/>
    <w:rsid w:val="00D56347"/>
    <w:rsid w:val="00D60703"/>
    <w:rsid w:val="00D731FC"/>
    <w:rsid w:val="00D739A9"/>
    <w:rsid w:val="00D85307"/>
    <w:rsid w:val="00D901C5"/>
    <w:rsid w:val="00D962BB"/>
    <w:rsid w:val="00DA0162"/>
    <w:rsid w:val="00DB5637"/>
    <w:rsid w:val="00DC57EF"/>
    <w:rsid w:val="00DD0443"/>
    <w:rsid w:val="00DD1F4F"/>
    <w:rsid w:val="00E11686"/>
    <w:rsid w:val="00E131FB"/>
    <w:rsid w:val="00E21ACF"/>
    <w:rsid w:val="00E23DA7"/>
    <w:rsid w:val="00E26E49"/>
    <w:rsid w:val="00E31450"/>
    <w:rsid w:val="00E3341D"/>
    <w:rsid w:val="00E34FFA"/>
    <w:rsid w:val="00E47F42"/>
    <w:rsid w:val="00E64737"/>
    <w:rsid w:val="00E92E57"/>
    <w:rsid w:val="00EA1484"/>
    <w:rsid w:val="00EA6756"/>
    <w:rsid w:val="00ED75B6"/>
    <w:rsid w:val="00EE7157"/>
    <w:rsid w:val="00EE79A3"/>
    <w:rsid w:val="00EF4862"/>
    <w:rsid w:val="00F00514"/>
    <w:rsid w:val="00F00811"/>
    <w:rsid w:val="00F113CC"/>
    <w:rsid w:val="00F17179"/>
    <w:rsid w:val="00F22084"/>
    <w:rsid w:val="00F2773B"/>
    <w:rsid w:val="00F4244F"/>
    <w:rsid w:val="00F53B9C"/>
    <w:rsid w:val="00F569AF"/>
    <w:rsid w:val="00F670EE"/>
    <w:rsid w:val="00F75443"/>
    <w:rsid w:val="00F82934"/>
    <w:rsid w:val="00F9209D"/>
    <w:rsid w:val="00FC38ED"/>
    <w:rsid w:val="00FC4581"/>
    <w:rsid w:val="00FC62E4"/>
    <w:rsid w:val="00FD6242"/>
    <w:rsid w:val="00FE3E40"/>
    <w:rsid w:val="0116312F"/>
    <w:rsid w:val="015325CD"/>
    <w:rsid w:val="01671AEE"/>
    <w:rsid w:val="04153F40"/>
    <w:rsid w:val="04AE1DC1"/>
    <w:rsid w:val="0588136D"/>
    <w:rsid w:val="05963DF1"/>
    <w:rsid w:val="059A743C"/>
    <w:rsid w:val="05F11A75"/>
    <w:rsid w:val="06805C4E"/>
    <w:rsid w:val="06ED2305"/>
    <w:rsid w:val="072C3F1A"/>
    <w:rsid w:val="073D7247"/>
    <w:rsid w:val="07C03DF5"/>
    <w:rsid w:val="08352DCB"/>
    <w:rsid w:val="08A94275"/>
    <w:rsid w:val="093C098B"/>
    <w:rsid w:val="09413F9C"/>
    <w:rsid w:val="097028BE"/>
    <w:rsid w:val="09FA3227"/>
    <w:rsid w:val="0A951569"/>
    <w:rsid w:val="0A9B28F7"/>
    <w:rsid w:val="0A9D21CB"/>
    <w:rsid w:val="0BA90692"/>
    <w:rsid w:val="0BBB4671"/>
    <w:rsid w:val="0BD641F6"/>
    <w:rsid w:val="0BD72F1C"/>
    <w:rsid w:val="0CB502BE"/>
    <w:rsid w:val="0D3209EC"/>
    <w:rsid w:val="0E171746"/>
    <w:rsid w:val="0F526443"/>
    <w:rsid w:val="10622F46"/>
    <w:rsid w:val="106C5698"/>
    <w:rsid w:val="118E01E7"/>
    <w:rsid w:val="11DC7A7D"/>
    <w:rsid w:val="11EC540F"/>
    <w:rsid w:val="12075296"/>
    <w:rsid w:val="13345697"/>
    <w:rsid w:val="13C5459E"/>
    <w:rsid w:val="143E2478"/>
    <w:rsid w:val="14F675B2"/>
    <w:rsid w:val="15000793"/>
    <w:rsid w:val="15EB5841"/>
    <w:rsid w:val="16160F66"/>
    <w:rsid w:val="16AB19FB"/>
    <w:rsid w:val="170E2389"/>
    <w:rsid w:val="17A33DC8"/>
    <w:rsid w:val="17FD4585"/>
    <w:rsid w:val="183E42DA"/>
    <w:rsid w:val="19117935"/>
    <w:rsid w:val="19183BAB"/>
    <w:rsid w:val="1A931CEE"/>
    <w:rsid w:val="1ABD5869"/>
    <w:rsid w:val="1ACB068F"/>
    <w:rsid w:val="1AE9320B"/>
    <w:rsid w:val="1B2132B8"/>
    <w:rsid w:val="1B3E56E1"/>
    <w:rsid w:val="1B426004"/>
    <w:rsid w:val="1B675160"/>
    <w:rsid w:val="1B970AA6"/>
    <w:rsid w:val="1C533ED4"/>
    <w:rsid w:val="1CC71EBA"/>
    <w:rsid w:val="1DB048A2"/>
    <w:rsid w:val="1E913485"/>
    <w:rsid w:val="1F2C1918"/>
    <w:rsid w:val="1F8154FD"/>
    <w:rsid w:val="1F816A0F"/>
    <w:rsid w:val="1FC739E0"/>
    <w:rsid w:val="1FD5147C"/>
    <w:rsid w:val="20464C8D"/>
    <w:rsid w:val="204E5832"/>
    <w:rsid w:val="2099778A"/>
    <w:rsid w:val="21871088"/>
    <w:rsid w:val="21A06DE0"/>
    <w:rsid w:val="21B8541B"/>
    <w:rsid w:val="2258105F"/>
    <w:rsid w:val="225A426B"/>
    <w:rsid w:val="2261488D"/>
    <w:rsid w:val="232434F5"/>
    <w:rsid w:val="236454C0"/>
    <w:rsid w:val="23D457C9"/>
    <w:rsid w:val="24416B0F"/>
    <w:rsid w:val="245B3395"/>
    <w:rsid w:val="24D25C21"/>
    <w:rsid w:val="24FF4E0B"/>
    <w:rsid w:val="25162D27"/>
    <w:rsid w:val="256E4416"/>
    <w:rsid w:val="25CB3636"/>
    <w:rsid w:val="25F807A6"/>
    <w:rsid w:val="26036B53"/>
    <w:rsid w:val="26DB7EAB"/>
    <w:rsid w:val="27501A69"/>
    <w:rsid w:val="27A91D58"/>
    <w:rsid w:val="284C0EBF"/>
    <w:rsid w:val="285C3397"/>
    <w:rsid w:val="28AF35C6"/>
    <w:rsid w:val="28B54AFF"/>
    <w:rsid w:val="28D03FFC"/>
    <w:rsid w:val="291476A5"/>
    <w:rsid w:val="2994385A"/>
    <w:rsid w:val="29FA78CB"/>
    <w:rsid w:val="2A10536F"/>
    <w:rsid w:val="2B58653F"/>
    <w:rsid w:val="2BA43702"/>
    <w:rsid w:val="2BBE47DF"/>
    <w:rsid w:val="2C6D55AF"/>
    <w:rsid w:val="2D084A24"/>
    <w:rsid w:val="2D324DE6"/>
    <w:rsid w:val="2D3C391E"/>
    <w:rsid w:val="2D533517"/>
    <w:rsid w:val="2E24783D"/>
    <w:rsid w:val="2E3B6514"/>
    <w:rsid w:val="2EC27A3E"/>
    <w:rsid w:val="2F417AE0"/>
    <w:rsid w:val="2FD63D1C"/>
    <w:rsid w:val="2FF8482A"/>
    <w:rsid w:val="30011CB8"/>
    <w:rsid w:val="30121E81"/>
    <w:rsid w:val="305B7C4B"/>
    <w:rsid w:val="30696528"/>
    <w:rsid w:val="306C431F"/>
    <w:rsid w:val="309D2507"/>
    <w:rsid w:val="313613CE"/>
    <w:rsid w:val="31997F1F"/>
    <w:rsid w:val="31B627C0"/>
    <w:rsid w:val="337031EB"/>
    <w:rsid w:val="33964E93"/>
    <w:rsid w:val="33B9486D"/>
    <w:rsid w:val="33D96EDC"/>
    <w:rsid w:val="34117602"/>
    <w:rsid w:val="347A126F"/>
    <w:rsid w:val="349F0D00"/>
    <w:rsid w:val="34BD50C3"/>
    <w:rsid w:val="34CE7BDE"/>
    <w:rsid w:val="34DD683A"/>
    <w:rsid w:val="34FD7A39"/>
    <w:rsid w:val="350B4052"/>
    <w:rsid w:val="350E718F"/>
    <w:rsid w:val="35B5220F"/>
    <w:rsid w:val="36D348CC"/>
    <w:rsid w:val="37264C39"/>
    <w:rsid w:val="38004595"/>
    <w:rsid w:val="3834332E"/>
    <w:rsid w:val="392E5AD5"/>
    <w:rsid w:val="3940213D"/>
    <w:rsid w:val="39904B26"/>
    <w:rsid w:val="39C42E41"/>
    <w:rsid w:val="39D53485"/>
    <w:rsid w:val="3AC530CF"/>
    <w:rsid w:val="3AD9493A"/>
    <w:rsid w:val="3BEE1964"/>
    <w:rsid w:val="3C406CD7"/>
    <w:rsid w:val="3C78332E"/>
    <w:rsid w:val="3D037BBA"/>
    <w:rsid w:val="3D4B3B4B"/>
    <w:rsid w:val="3E2542E2"/>
    <w:rsid w:val="3E4A193F"/>
    <w:rsid w:val="3E980E73"/>
    <w:rsid w:val="3ED944DE"/>
    <w:rsid w:val="3EE9375E"/>
    <w:rsid w:val="3F4343E8"/>
    <w:rsid w:val="3FC93CC6"/>
    <w:rsid w:val="3FD16014"/>
    <w:rsid w:val="402050BD"/>
    <w:rsid w:val="41E52258"/>
    <w:rsid w:val="43487189"/>
    <w:rsid w:val="43705B95"/>
    <w:rsid w:val="43934987"/>
    <w:rsid w:val="43AE66F8"/>
    <w:rsid w:val="44487726"/>
    <w:rsid w:val="44C52222"/>
    <w:rsid w:val="44DA759D"/>
    <w:rsid w:val="44E32CCD"/>
    <w:rsid w:val="452F5136"/>
    <w:rsid w:val="45695656"/>
    <w:rsid w:val="459D0033"/>
    <w:rsid w:val="46DE0B39"/>
    <w:rsid w:val="47F118C2"/>
    <w:rsid w:val="482D131D"/>
    <w:rsid w:val="48A203D1"/>
    <w:rsid w:val="48D8316C"/>
    <w:rsid w:val="490270C2"/>
    <w:rsid w:val="498C69B9"/>
    <w:rsid w:val="49B722FB"/>
    <w:rsid w:val="4A542A4F"/>
    <w:rsid w:val="4AFA5462"/>
    <w:rsid w:val="4BF453E8"/>
    <w:rsid w:val="4C3F6DF3"/>
    <w:rsid w:val="4C7E6688"/>
    <w:rsid w:val="4C9444D5"/>
    <w:rsid w:val="4D2B3A0A"/>
    <w:rsid w:val="4D5D47B5"/>
    <w:rsid w:val="4D8F70C1"/>
    <w:rsid w:val="4DAE2777"/>
    <w:rsid w:val="4DD76336"/>
    <w:rsid w:val="4E160A23"/>
    <w:rsid w:val="4E2762B3"/>
    <w:rsid w:val="4E502E97"/>
    <w:rsid w:val="4EEE3A0D"/>
    <w:rsid w:val="508378A2"/>
    <w:rsid w:val="50C77E0B"/>
    <w:rsid w:val="5262015E"/>
    <w:rsid w:val="52917FE5"/>
    <w:rsid w:val="52AE6F76"/>
    <w:rsid w:val="534D3CC3"/>
    <w:rsid w:val="535F228F"/>
    <w:rsid w:val="53B20633"/>
    <w:rsid w:val="54462559"/>
    <w:rsid w:val="54784469"/>
    <w:rsid w:val="54CC4971"/>
    <w:rsid w:val="55153D14"/>
    <w:rsid w:val="55BB2AD2"/>
    <w:rsid w:val="55C8166F"/>
    <w:rsid w:val="55C83FD2"/>
    <w:rsid w:val="55CD48F6"/>
    <w:rsid w:val="563B3BA0"/>
    <w:rsid w:val="567D1DB7"/>
    <w:rsid w:val="57905DD7"/>
    <w:rsid w:val="582E3A6C"/>
    <w:rsid w:val="585A0EA0"/>
    <w:rsid w:val="58EE41B7"/>
    <w:rsid w:val="59237346"/>
    <w:rsid w:val="5943350B"/>
    <w:rsid w:val="598B075D"/>
    <w:rsid w:val="59C348FE"/>
    <w:rsid w:val="5A19102A"/>
    <w:rsid w:val="5A376453"/>
    <w:rsid w:val="5A394DF0"/>
    <w:rsid w:val="5AC4467B"/>
    <w:rsid w:val="5B313939"/>
    <w:rsid w:val="5BDE333B"/>
    <w:rsid w:val="5C2D0ECC"/>
    <w:rsid w:val="5CF65707"/>
    <w:rsid w:val="5D1723CB"/>
    <w:rsid w:val="5D243653"/>
    <w:rsid w:val="5E1D5628"/>
    <w:rsid w:val="5E9113D1"/>
    <w:rsid w:val="5F1A4D6A"/>
    <w:rsid w:val="5F553F98"/>
    <w:rsid w:val="5F950BC7"/>
    <w:rsid w:val="614B38A4"/>
    <w:rsid w:val="61EB6DE5"/>
    <w:rsid w:val="62540B14"/>
    <w:rsid w:val="626D4C68"/>
    <w:rsid w:val="62883DE8"/>
    <w:rsid w:val="62FC3F1D"/>
    <w:rsid w:val="638B1650"/>
    <w:rsid w:val="64860D82"/>
    <w:rsid w:val="64864808"/>
    <w:rsid w:val="66B44B5B"/>
    <w:rsid w:val="671532B3"/>
    <w:rsid w:val="67542D87"/>
    <w:rsid w:val="68742613"/>
    <w:rsid w:val="69250A99"/>
    <w:rsid w:val="692A0C26"/>
    <w:rsid w:val="69707122"/>
    <w:rsid w:val="6A1855BE"/>
    <w:rsid w:val="6A264DD6"/>
    <w:rsid w:val="6A334ED5"/>
    <w:rsid w:val="6B9A0459"/>
    <w:rsid w:val="6BED4A7E"/>
    <w:rsid w:val="6C5B0166"/>
    <w:rsid w:val="6C8E48BC"/>
    <w:rsid w:val="6CBE5AA2"/>
    <w:rsid w:val="6CE10C19"/>
    <w:rsid w:val="6CEE65B7"/>
    <w:rsid w:val="6CFE7DC2"/>
    <w:rsid w:val="6D0C528F"/>
    <w:rsid w:val="6D12598C"/>
    <w:rsid w:val="6D905D77"/>
    <w:rsid w:val="6E1C6AC3"/>
    <w:rsid w:val="6F5E37ED"/>
    <w:rsid w:val="704011DF"/>
    <w:rsid w:val="705C33D8"/>
    <w:rsid w:val="70B26B9C"/>
    <w:rsid w:val="713F19A8"/>
    <w:rsid w:val="714D634B"/>
    <w:rsid w:val="71624157"/>
    <w:rsid w:val="71A05F54"/>
    <w:rsid w:val="7240666D"/>
    <w:rsid w:val="72765576"/>
    <w:rsid w:val="72BE189F"/>
    <w:rsid w:val="7334586C"/>
    <w:rsid w:val="739E549D"/>
    <w:rsid w:val="73A227DF"/>
    <w:rsid w:val="73AD37AA"/>
    <w:rsid w:val="73E060CE"/>
    <w:rsid w:val="73E30900"/>
    <w:rsid w:val="758172E8"/>
    <w:rsid w:val="76051303"/>
    <w:rsid w:val="760B496E"/>
    <w:rsid w:val="760C7D56"/>
    <w:rsid w:val="76671C9E"/>
    <w:rsid w:val="76690939"/>
    <w:rsid w:val="768E480F"/>
    <w:rsid w:val="777C7EBC"/>
    <w:rsid w:val="796B625E"/>
    <w:rsid w:val="79826EF9"/>
    <w:rsid w:val="79927E6B"/>
    <w:rsid w:val="7A0C00F4"/>
    <w:rsid w:val="7A1963AB"/>
    <w:rsid w:val="7A610AC3"/>
    <w:rsid w:val="7A772301"/>
    <w:rsid w:val="7A9730E9"/>
    <w:rsid w:val="7AE13CEE"/>
    <w:rsid w:val="7BD06A28"/>
    <w:rsid w:val="7BDA2C09"/>
    <w:rsid w:val="7BDB6451"/>
    <w:rsid w:val="7BFA1BED"/>
    <w:rsid w:val="7C1705D9"/>
    <w:rsid w:val="7C191192"/>
    <w:rsid w:val="7E4159BB"/>
    <w:rsid w:val="7E6337D1"/>
    <w:rsid w:val="7F574F68"/>
    <w:rsid w:val="7F962939"/>
    <w:rsid w:val="7F9B3F64"/>
    <w:rsid w:val="7F9C43A9"/>
    <w:rsid w:val="7FCD41AB"/>
    <w:rsid w:val="7FF974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5">
    <w:name w:val="heading 3"/>
    <w:basedOn w:val="1"/>
    <w:next w:val="1"/>
    <w:link w:val="29"/>
    <w:qFormat/>
    <w:uiPriority w:val="0"/>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31"/>
    <w:semiHidden/>
    <w:unhideWhenUsed/>
    <w:qFormat/>
    <w:uiPriority w:val="99"/>
    <w:pPr>
      <w:spacing w:after="120"/>
    </w:pPr>
  </w:style>
  <w:style w:type="paragraph" w:styleId="3">
    <w:name w:val="Body Text First Indent"/>
    <w:basedOn w:val="2"/>
    <w:link w:val="32"/>
    <w:qFormat/>
    <w:uiPriority w:val="0"/>
    <w:pPr>
      <w:spacing w:after="0" w:line="360" w:lineRule="auto"/>
      <w:ind w:firstLine="420" w:firstLineChars="100"/>
    </w:pPr>
    <w:rPr>
      <w:rFonts w:ascii="Calibri" w:hAnsi="Calibri" w:eastAsia="华文仿宋"/>
      <w:sz w:val="30"/>
      <w:szCs w:val="21"/>
    </w:rPr>
  </w:style>
  <w:style w:type="paragraph" w:styleId="6">
    <w:name w:val="Plain Text"/>
    <w:basedOn w:val="1"/>
    <w:link w:val="20"/>
    <w:qFormat/>
    <w:uiPriority w:val="99"/>
    <w:rPr>
      <w:rFonts w:ascii="宋体" w:hAnsi="Courier New"/>
      <w:szCs w:val="20"/>
    </w:rPr>
  </w:style>
  <w:style w:type="paragraph" w:styleId="7">
    <w:name w:val="Body Text Indent 2"/>
    <w:basedOn w:val="1"/>
    <w:qFormat/>
    <w:uiPriority w:val="0"/>
    <w:pPr>
      <w:spacing w:after="120" w:line="480" w:lineRule="auto"/>
      <w:ind w:left="420" w:leftChars="200"/>
    </w:pPr>
  </w:style>
  <w:style w:type="paragraph" w:styleId="8">
    <w:name w:val="Balloon Text"/>
    <w:basedOn w:val="1"/>
    <w:link w:val="23"/>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2"/>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6"/>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rFonts w:cs="Times New Roman"/>
      <w:b/>
      <w:bCs/>
    </w:rPr>
  </w:style>
  <w:style w:type="character" w:styleId="16">
    <w:name w:val="page number"/>
    <w:basedOn w:val="14"/>
    <w:qFormat/>
    <w:uiPriority w:val="99"/>
    <w:rPr>
      <w:rFonts w:cs="Times New Roman"/>
    </w:rPr>
  </w:style>
  <w:style w:type="character" w:styleId="17">
    <w:name w:val="FollowedHyperlink"/>
    <w:basedOn w:val="14"/>
    <w:semiHidden/>
    <w:unhideWhenUsed/>
    <w:qFormat/>
    <w:uiPriority w:val="99"/>
    <w:rPr>
      <w:color w:val="000000"/>
      <w:sz w:val="21"/>
      <w:szCs w:val="21"/>
      <w:u w:val="none"/>
    </w:rPr>
  </w:style>
  <w:style w:type="character" w:styleId="18">
    <w:name w:val="Emphasis"/>
    <w:basedOn w:val="14"/>
    <w:qFormat/>
    <w:uiPriority w:val="20"/>
    <w:rPr>
      <w:rFonts w:cs="Times New Roman"/>
      <w:i/>
      <w:iCs/>
    </w:rPr>
  </w:style>
  <w:style w:type="character" w:styleId="19">
    <w:name w:val="Hyperlink"/>
    <w:basedOn w:val="14"/>
    <w:qFormat/>
    <w:uiPriority w:val="99"/>
    <w:rPr>
      <w:color w:val="0000FF"/>
      <w:u w:val="single"/>
    </w:rPr>
  </w:style>
  <w:style w:type="character" w:customStyle="1" w:styleId="20">
    <w:name w:val="纯文本 Char"/>
    <w:basedOn w:val="14"/>
    <w:link w:val="6"/>
    <w:qFormat/>
    <w:uiPriority w:val="99"/>
    <w:rPr>
      <w:rFonts w:ascii="宋体" w:hAnsi="Courier New" w:eastAsia="宋体" w:cs="Times New Roman"/>
      <w:kern w:val="2"/>
      <w:sz w:val="21"/>
      <w:lang w:val="en-US" w:eastAsia="zh-CN" w:bidi="ar-SA"/>
    </w:rPr>
  </w:style>
  <w:style w:type="character" w:customStyle="1" w:styleId="21">
    <w:name w:val="页脚 Char"/>
    <w:basedOn w:val="14"/>
    <w:link w:val="9"/>
    <w:qFormat/>
    <w:uiPriority w:val="99"/>
    <w:rPr>
      <w:rFonts w:cs="Times New Roman"/>
      <w:sz w:val="18"/>
      <w:szCs w:val="18"/>
    </w:rPr>
  </w:style>
  <w:style w:type="character" w:customStyle="1" w:styleId="22">
    <w:name w:val="页眉 Char"/>
    <w:basedOn w:val="14"/>
    <w:link w:val="10"/>
    <w:qFormat/>
    <w:uiPriority w:val="99"/>
    <w:rPr>
      <w:rFonts w:cs="Times New Roman"/>
      <w:sz w:val="18"/>
      <w:szCs w:val="18"/>
    </w:rPr>
  </w:style>
  <w:style w:type="character" w:customStyle="1" w:styleId="23">
    <w:name w:val="批注框文本 Char"/>
    <w:basedOn w:val="14"/>
    <w:link w:val="8"/>
    <w:qFormat/>
    <w:uiPriority w:val="99"/>
    <w:rPr>
      <w:rFonts w:cs="Times New Roman"/>
      <w:sz w:val="2"/>
    </w:rPr>
  </w:style>
  <w:style w:type="paragraph" w:styleId="24">
    <w:name w:val="List Paragraph"/>
    <w:basedOn w:val="1"/>
    <w:qFormat/>
    <w:uiPriority w:val="99"/>
    <w:pPr>
      <w:ind w:firstLine="420" w:firstLineChars="200"/>
    </w:pPr>
  </w:style>
  <w:style w:type="character" w:customStyle="1" w:styleId="25">
    <w:name w:val="apple-converted-space"/>
    <w:basedOn w:val="14"/>
    <w:qFormat/>
    <w:uiPriority w:val="99"/>
    <w:rPr>
      <w:rFonts w:cs="Times New Roman"/>
    </w:rPr>
  </w:style>
  <w:style w:type="character" w:customStyle="1" w:styleId="26">
    <w:name w:val="HTML 预设格式 Char"/>
    <w:basedOn w:val="14"/>
    <w:link w:val="11"/>
    <w:qFormat/>
    <w:uiPriority w:val="99"/>
    <w:rPr>
      <w:rFonts w:ascii="宋体" w:hAnsi="宋体" w:cs="宋体"/>
      <w:kern w:val="0"/>
      <w:sz w:val="24"/>
      <w:szCs w:val="24"/>
    </w:rPr>
  </w:style>
  <w:style w:type="character" w:customStyle="1" w:styleId="27">
    <w:name w:val="标题 1 Char"/>
    <w:basedOn w:val="14"/>
    <w:link w:val="4"/>
    <w:qFormat/>
    <w:uiPriority w:val="0"/>
    <w:rPr>
      <w:b/>
      <w:bCs/>
      <w:kern w:val="44"/>
      <w:sz w:val="44"/>
      <w:szCs w:val="44"/>
    </w:rPr>
  </w:style>
  <w:style w:type="paragraph" w:styleId="28">
    <w:name w:val="No Spacing"/>
    <w:qFormat/>
    <w:uiPriority w:val="1"/>
    <w:pPr>
      <w:widowControl w:val="0"/>
      <w:jc w:val="both"/>
    </w:pPr>
    <w:rPr>
      <w:rFonts w:ascii="Calibri" w:hAnsi="Calibri" w:eastAsia="宋体" w:cs="宋体"/>
      <w:kern w:val="2"/>
      <w:sz w:val="21"/>
      <w:szCs w:val="22"/>
      <w:lang w:val="en-US" w:eastAsia="zh-CN" w:bidi="ar-SA"/>
    </w:rPr>
  </w:style>
  <w:style w:type="character" w:customStyle="1" w:styleId="29">
    <w:name w:val="标题 3 Char"/>
    <w:basedOn w:val="14"/>
    <w:link w:val="5"/>
    <w:qFormat/>
    <w:uiPriority w:val="0"/>
    <w:rPr>
      <w:b/>
      <w:bCs/>
      <w:sz w:val="32"/>
      <w:szCs w:val="32"/>
    </w:rPr>
  </w:style>
  <w:style w:type="character" w:customStyle="1" w:styleId="30">
    <w:name w:val="bjh-p"/>
    <w:basedOn w:val="14"/>
    <w:qFormat/>
    <w:uiPriority w:val="0"/>
  </w:style>
  <w:style w:type="character" w:customStyle="1" w:styleId="31">
    <w:name w:val="正文文本 Char"/>
    <w:basedOn w:val="14"/>
    <w:link w:val="2"/>
    <w:semiHidden/>
    <w:qFormat/>
    <w:uiPriority w:val="99"/>
    <w:rPr>
      <w:kern w:val="2"/>
      <w:sz w:val="21"/>
      <w:szCs w:val="24"/>
    </w:rPr>
  </w:style>
  <w:style w:type="character" w:customStyle="1" w:styleId="32">
    <w:name w:val="正文首行缩进 Char"/>
    <w:basedOn w:val="31"/>
    <w:link w:val="3"/>
    <w:qFormat/>
    <w:uiPriority w:val="0"/>
    <w:rPr>
      <w:rFonts w:ascii="Calibri" w:hAnsi="Calibri" w:eastAsia="华文仿宋"/>
      <w:sz w:val="30"/>
      <w:szCs w:val="21"/>
    </w:rPr>
  </w:style>
  <w:style w:type="paragraph" w:customStyle="1" w:styleId="33">
    <w:name w:val="列出段落1"/>
    <w:next w:val="1"/>
    <w:qFormat/>
    <w:uiPriority w:val="0"/>
    <w:pPr>
      <w:widowControl w:val="0"/>
      <w:ind w:firstLine="420"/>
      <w:jc w:val="both"/>
    </w:pPr>
    <w:rPr>
      <w:rFonts w:ascii="Times New Roman" w:hAnsi="Times New Roman" w:eastAsia="宋体" w:cs="宋体"/>
      <w:kern w:val="2"/>
      <w:sz w:val="21"/>
      <w:szCs w:val="24"/>
      <w:lang w:val="en-US" w:eastAsia="zh-CN" w:bidi="ar-SA"/>
    </w:rPr>
  </w:style>
  <w:style w:type="paragraph" w:customStyle="1" w:styleId="34">
    <w:name w:val="无间隔1"/>
    <w:qFormat/>
    <w:uiPriority w:val="1"/>
    <w:pPr>
      <w:adjustRightInd w:val="0"/>
      <w:snapToGrid w:val="0"/>
    </w:pPr>
    <w:rPr>
      <w:rFonts w:ascii="Tahoma" w:hAnsi="Tahoma" w:eastAsia="微软雅黑" w:cs="宋体"/>
      <w:sz w:val="22"/>
      <w:szCs w:val="22"/>
      <w:lang w:val="en-US" w:eastAsia="zh-CN" w:bidi="ar-SA"/>
    </w:rPr>
  </w:style>
  <w:style w:type="character" w:customStyle="1" w:styleId="35">
    <w:name w:val="gd"/>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DE4B9-E2D1-4782-81D4-3D9D49C0BCB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16</Pages>
  <Words>8049</Words>
  <Characters>8827</Characters>
  <Lines>7</Lines>
  <Paragraphs>16</Paragraphs>
  <TotalTime>0</TotalTime>
  <ScaleCrop>false</ScaleCrop>
  <LinksUpToDate>false</LinksUpToDate>
  <CharactersWithSpaces>8845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2022-01-07T06:42:00Z</dcterms:created>
  <dc:creator>Lenovo</dc:creator>
  <cp:lastModifiedBy>Administrator</cp:lastModifiedBy>
  <cp:lastPrinted>2023-03-13T14:24:00Z</cp:lastPrinted>
  <dcterms:modified xsi:type="dcterms:W3CDTF">2023-03-17T08:53:09Z</dcterms:modified>
  <dc:title>关于道县2014年财政预算执行情况和</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357712DFA8374D51810FE05CCFD886E4</vt:lpwstr>
  </property>
</Properties>
</file>