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ordWrap w:val="false"/>
        <w:spacing w:before="480" w:after="0" w:lineRule="atLeast" w:line="940"/>
        <w:ind w:left="240" w:right="0"/>
        <w:jc w:val="both"/>
        <w:textAlignment w:val="baseline"/>
        <w:rPr>
          <w:b w:val="false"/>
          <w:i w:val="false"/>
          <w:color w:val="000000"/>
          <w:sz w:val="30"/>
        </w:rPr>
      </w:pPr>
      <w:r>
        <w:rPr>
          <w:b w:val="false"/>
          <w:i w:val="false"/>
          <w:color w:val="000000"/>
          <w:sz w:val="30"/>
        </w:rPr>
        <w:t>DXDR-202</w:t>
      </w:r>
      <w:r>
        <w:rPr>
          <w:rFonts w:hint="eastAsia"/>
          <w:b w:val="false"/>
          <w:i w:val="false"/>
          <w:color w:val="000000"/>
          <w:sz w:val="30"/>
          <w:lang w:val="en-US" w:eastAsia="zh-CN"/>
        </w:rPr>
        <w:t>5</w:t>
      </w:r>
      <w:r>
        <w:rPr>
          <w:b w:val="false"/>
          <w:i w:val="false"/>
          <w:color w:val="000000"/>
          <w:sz w:val="30"/>
        </w:rPr>
        <w:t>-60</w:t>
      </w:r>
      <w:r>
        <w:rPr>
          <w:rFonts w:hint="eastAsia"/>
          <w:b w:val="false"/>
          <w:i w:val="false"/>
          <w:color w:val="000000"/>
          <w:sz w:val="30"/>
          <w:lang w:val="en-US" w:eastAsia="zh-CN"/>
        </w:rPr>
        <w:t>0</w:t>
      </w:r>
      <w:r>
        <w:rPr>
          <w:b w:val="false"/>
          <w:i w:val="false"/>
          <w:color w:val="000000"/>
          <w:sz w:val="30"/>
        </w:rPr>
        <w:t>0</w:t>
      </w:r>
      <w:r>
        <w:rPr>
          <w:b w:val="false"/>
          <w:i w:val="false"/>
          <w:color w:val="000000"/>
          <w:sz w:val="30"/>
          <w:lang w:val="en-US"/>
        </w:rPr>
        <w:t>4</w:t>
      </w:r>
    </w:p>
    <w:p>
      <w:pPr>
        <w:pStyle w:val="style0"/>
        <w:wordWrap w:val="false"/>
        <w:spacing w:before="480" w:after="0" w:lineRule="atLeast" w:line="940"/>
        <w:ind w:right="0"/>
        <w:jc w:val="both"/>
        <w:textAlignment w:val="baseline"/>
        <w:rPr>
          <w:b w:val="false"/>
          <w:i w:val="false"/>
          <w:color w:val="000000"/>
          <w:sz w:val="30"/>
        </w:rPr>
      </w:pPr>
    </w:p>
    <w:p>
      <w:pPr>
        <w:pStyle w:val="style0"/>
        <w:jc w:val="center"/>
        <w:rPr>
          <w:sz w:val="30"/>
          <w:szCs w:val="30"/>
        </w:rPr>
      </w:pPr>
    </w:p>
    <w:p>
      <w:pPr>
        <w:pStyle w:val="style0"/>
        <w:jc w:val="center"/>
        <w:rPr>
          <w:sz w:val="30"/>
          <w:szCs w:val="30"/>
        </w:rPr>
      </w:pPr>
    </w:p>
    <w:p>
      <w:pPr>
        <w:pStyle w:val="style0"/>
        <w:jc w:val="center"/>
        <w:rPr>
          <w:sz w:val="30"/>
          <w:szCs w:val="30"/>
        </w:rPr>
      </w:pPr>
    </w:p>
    <w:p>
      <w:pPr>
        <w:pStyle w:val="style0"/>
        <w:jc w:val="center"/>
        <w:rPr>
          <w:sz w:val="30"/>
          <w:szCs w:val="30"/>
        </w:rPr>
      </w:pPr>
      <w:r>
        <w:rPr>
          <w:sz w:val="30"/>
          <w:szCs w:val="30"/>
        </w:rPr>
        <w:t>道公交[202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]</w:t>
      </w:r>
      <w:r>
        <w:rPr>
          <w:sz w:val="30"/>
          <w:szCs w:val="30"/>
          <w:lang w:val="en-US"/>
        </w:rPr>
        <w:t xml:space="preserve"> 04</w:t>
      </w:r>
      <w:r>
        <w:rPr>
          <w:sz w:val="30"/>
          <w:szCs w:val="30"/>
        </w:rPr>
        <w:t>号</w:t>
      </w:r>
    </w:p>
    <w:p>
      <w:pPr>
        <w:pStyle w:val="style0"/>
        <w:spacing w:lineRule="exact" w:line="540"/>
        <w:jc w:val="both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pStyle w:val="style0"/>
        <w:spacing w:lineRule="exact" w:line="54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关于202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5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年春节期间开放城区临时停车场和对相关路段实行交通管制的通告</w:t>
      </w:r>
    </w:p>
    <w:p>
      <w:pPr>
        <w:pStyle w:val="style0"/>
        <w:spacing w:lineRule="exact" w:line="54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widowControl w:val="false"/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为缓解202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cs="仿宋_GB2312" w:eastAsia="仿宋" w:hAnsi="仿宋_GB2312" w:hint="eastAsia"/>
          <w:sz w:val="32"/>
          <w:szCs w:val="32"/>
        </w:rPr>
        <w:t>年春节期间城区停车难和交通拥堵问题，方便群众购物办事和出行，现就开放城区临时停车场和对相关路段实行交通管制事项通告如下：</w:t>
      </w:r>
    </w:p>
    <w:p>
      <w:pPr>
        <w:pStyle w:val="style0"/>
        <w:widowControl w:val="false"/>
        <w:numPr>
          <w:ilvl w:val="0"/>
          <w:numId w:val="1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黑体" w:cs="仿宋_GB2312" w:eastAsia="黑体" w:hAnsi="黑体" w:hint="eastAsia"/>
          <w:sz w:val="32"/>
          <w:szCs w:val="32"/>
        </w:rPr>
      </w:pPr>
      <w:r>
        <w:rPr>
          <w:rFonts w:ascii="黑体" w:cs="仿宋_GB2312" w:eastAsia="黑体" w:hAnsi="黑体" w:hint="eastAsia"/>
          <w:sz w:val="32"/>
          <w:szCs w:val="32"/>
        </w:rPr>
        <w:t>开放城区临时停车场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480" w:firstLineChars="15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（一）</w:t>
      </w:r>
      <w:r>
        <w:rPr>
          <w:rFonts w:ascii="黑体" w:cs="黑体" w:eastAsia="仿宋" w:hAnsi="黑体" w:hint="eastAsia"/>
          <w:b/>
          <w:sz w:val="32"/>
          <w:szCs w:val="32"/>
        </w:rPr>
        <w:t>临时开放单位范围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1、城区所有行政机关和事业单位停车场；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2、城区中小学校停车场：树湘学校、五小、三小、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敦</w:t>
      </w:r>
      <w:r>
        <w:rPr>
          <w:rFonts w:ascii="仿宋_GB2312" w:cs="仿宋_GB2312" w:eastAsia="仿宋" w:hAnsi="仿宋_GB2312" w:hint="eastAsia"/>
          <w:sz w:val="32"/>
          <w:szCs w:val="32"/>
        </w:rPr>
        <w:t>颐学校、十一小、二小、四小、二中、一小。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0" w:firstLineChars="200"/>
        <w:textAlignment w:val="auto"/>
        <w:rPr>
          <w:rFonts w:ascii="黑体" w:cs="黑体" w:eastAsia="仿宋" w:hAnsi="黑体" w:hint="eastAsia"/>
          <w:sz w:val="32"/>
          <w:szCs w:val="32"/>
        </w:rPr>
      </w:pPr>
      <w:r>
        <w:rPr>
          <w:rFonts w:ascii="黑体" w:cs="黑体" w:eastAsia="仿宋" w:hAnsi="黑体" w:hint="eastAsia"/>
          <w:sz w:val="32"/>
          <w:szCs w:val="32"/>
        </w:rPr>
        <w:t>（二）</w:t>
      </w:r>
      <w:r>
        <w:rPr>
          <w:rFonts w:ascii="黑体" w:cs="黑体" w:eastAsia="仿宋" w:hAnsi="黑体" w:hint="eastAsia"/>
          <w:b/>
          <w:sz w:val="32"/>
          <w:szCs w:val="32"/>
        </w:rPr>
        <w:t>临时开放时间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202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cs="仿宋_GB2312" w:eastAsia="仿宋" w:hAnsi="仿宋_GB2312" w:hint="eastAsia"/>
          <w:sz w:val="32"/>
          <w:szCs w:val="32"/>
        </w:rPr>
        <w:t>年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cs="仿宋_GB2312" w:eastAsia="仿宋" w:hAnsi="仿宋_GB2312" w:hint="eastAsia"/>
          <w:sz w:val="32"/>
          <w:szCs w:val="32"/>
        </w:rPr>
        <w:t>月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2</w:t>
      </w:r>
      <w:r>
        <w:rPr>
          <w:rFonts w:ascii="仿宋_GB2312" w:cs="仿宋_GB2312" w:eastAsia="仿宋" w:hAnsi="仿宋_GB2312" w:hint="eastAsia"/>
          <w:sz w:val="32"/>
          <w:szCs w:val="32"/>
        </w:rPr>
        <w:t>3日（农历十二月二十四日）至202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cs="仿宋_GB2312" w:eastAsia="仿宋" w:hAnsi="仿宋_GB2312" w:hint="eastAsia"/>
          <w:sz w:val="32"/>
          <w:szCs w:val="32"/>
        </w:rPr>
        <w:t>年2月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cs="仿宋_GB2312" w:eastAsia="仿宋" w:hAnsi="仿宋_GB2312" w:hint="eastAsia"/>
          <w:sz w:val="32"/>
          <w:szCs w:val="32"/>
        </w:rPr>
        <w:t>日（农历正月初八），每天早上8：00至晚上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9</w:t>
      </w:r>
      <w:r>
        <w:rPr>
          <w:rFonts w:ascii="仿宋_GB2312" w:cs="仿宋_GB2312" w:eastAsia="仿宋" w:hAnsi="仿宋_GB2312" w:hint="eastAsia"/>
          <w:sz w:val="32"/>
          <w:szCs w:val="32"/>
        </w:rPr>
        <w:t>：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0</w:t>
      </w:r>
      <w:r>
        <w:rPr>
          <w:rFonts w:ascii="仿宋_GB2312" w:cs="仿宋_GB2312" w:eastAsia="仿宋" w:hAnsi="仿宋_GB2312" w:hint="eastAsia"/>
          <w:sz w:val="32"/>
          <w:szCs w:val="32"/>
        </w:rPr>
        <w:t>0。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3" w:firstLineChars="200"/>
        <w:textAlignment w:val="auto"/>
        <w:rPr>
          <w:rFonts w:ascii="黑体" w:cs="黑体" w:eastAsia="仿宋" w:hAnsi="黑体" w:hint="eastAsia"/>
          <w:b/>
          <w:sz w:val="32"/>
          <w:szCs w:val="32"/>
        </w:rPr>
      </w:pPr>
      <w:r>
        <w:rPr>
          <w:rFonts w:ascii="黑体" w:cs="黑体" w:eastAsia="仿宋" w:hAnsi="黑体" w:hint="eastAsia"/>
          <w:b/>
          <w:sz w:val="32"/>
          <w:szCs w:val="32"/>
        </w:rPr>
        <w:t>（三）临时开放停车场停入对象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七座位（含）以下牌照齐全的小型汽车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3" w:firstLineChars="200"/>
        <w:textAlignment w:val="auto"/>
        <w:rPr>
          <w:rFonts w:ascii="黑体" w:cs="黑体" w:eastAsia="仿宋" w:hAnsi="黑体" w:hint="eastAsia"/>
          <w:b/>
          <w:sz w:val="32"/>
          <w:szCs w:val="32"/>
        </w:rPr>
      </w:pPr>
      <w:r>
        <w:rPr>
          <w:rFonts w:ascii="黑体" w:cs="黑体" w:eastAsia="仿宋" w:hAnsi="黑体" w:hint="eastAsia"/>
          <w:b/>
          <w:sz w:val="32"/>
          <w:szCs w:val="32"/>
        </w:rPr>
        <w:t>（四）有关要求和注意事项</w:t>
      </w:r>
    </w:p>
    <w:p>
      <w:pPr>
        <w:pStyle w:val="style0"/>
        <w:widowControl w:val="false"/>
        <w:numPr>
          <w:ilvl w:val="0"/>
          <w:numId w:val="2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各临时开放停车场的单位要规范设置停车点及相应的指示标牌，不得收取任何费用或物品；</w:t>
      </w:r>
    </w:p>
    <w:p>
      <w:pPr>
        <w:pStyle w:val="style0"/>
        <w:widowControl w:val="false"/>
        <w:numPr>
          <w:ilvl w:val="0"/>
          <w:numId w:val="2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停入临时开放停车场的车辆驾驶人要做到文明有序停放车辆，自觉服从相关单位的统一管理；</w:t>
      </w:r>
    </w:p>
    <w:p>
      <w:pPr>
        <w:pStyle w:val="style0"/>
        <w:widowControl w:val="false"/>
        <w:numPr>
          <w:ilvl w:val="0"/>
          <w:numId w:val="2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临时开放停车场单位不负责车辆安全保管，请车主自觉做好安全防范工作，车上避免存放贵重物品，避免车辆刮擦损毁。</w:t>
      </w:r>
    </w:p>
    <w:p>
      <w:pPr>
        <w:pStyle w:val="style0"/>
        <w:widowControl w:val="false"/>
        <w:wordWrap/>
        <w:adjustRightInd/>
        <w:snapToGrid/>
        <w:spacing w:lineRule="exact" w:line="560"/>
        <w:textAlignment w:val="auto"/>
        <w:rPr>
          <w:rFonts w:ascii="黑体" w:cs="仿宋_GB2312" w:eastAsia="黑体" w:hAnsi="黑体" w:hint="eastAsia"/>
          <w:sz w:val="32"/>
          <w:szCs w:val="32"/>
        </w:rPr>
      </w:pPr>
      <w:r>
        <w:rPr>
          <w:rFonts w:ascii="黑体" w:cs="仿宋" w:eastAsia="黑体" w:hAnsi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ascii="黑体" w:cs="仿宋_GB2312" w:eastAsia="黑体" w:hAnsi="黑体" w:hint="eastAsia"/>
          <w:sz w:val="32"/>
          <w:szCs w:val="32"/>
        </w:rPr>
        <w:t>二、对相关路段实行交通管制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1、</w:t>
      </w:r>
      <w:r>
        <w:rPr>
          <w:rFonts w:ascii="仿宋_GB2312" w:cs="仿宋_GB2312" w:eastAsia="仿宋" w:hAnsi="仿宋_GB2312" w:hint="eastAsia"/>
          <w:sz w:val="32"/>
          <w:szCs w:val="32"/>
        </w:rPr>
        <w:t>潇水中路、道州中路、爱莲中路、月岩中路、滨河路、濂溪南、北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路</w:t>
      </w:r>
      <w:r>
        <w:rPr>
          <w:rFonts w:ascii="仿宋_GB2312" w:cs="仿宋_GB2312" w:eastAsia="仿宋" w:hAnsi="仿宋_GB2312" w:hint="eastAsia"/>
          <w:sz w:val="32"/>
          <w:szCs w:val="32"/>
        </w:rPr>
        <w:t>、红星街、文化路、营江路路段禁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止</w:t>
      </w:r>
      <w:r>
        <w:rPr>
          <w:rFonts w:ascii="仿宋_GB2312" w:cs="仿宋_GB2312" w:eastAsia="仿宋" w:hAnsi="仿宋_GB2312" w:hint="eastAsia"/>
          <w:sz w:val="32"/>
          <w:szCs w:val="32"/>
        </w:rPr>
        <w:t>停放车辆（施划停车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泊</w:t>
      </w:r>
      <w:r>
        <w:rPr>
          <w:rFonts w:ascii="仿宋_GB2312" w:cs="仿宋_GB2312" w:eastAsia="仿宋" w:hAnsi="仿宋_GB2312" w:hint="eastAsia"/>
          <w:sz w:val="32"/>
          <w:szCs w:val="32"/>
        </w:rPr>
        <w:t>位除外）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，城区道路禁止停放大型货车。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2、</w:t>
      </w:r>
      <w:r>
        <w:rPr>
          <w:rFonts w:ascii="仿宋_GB2312" w:cs="仿宋_GB2312" w:eastAsia="仿宋" w:hAnsi="仿宋_GB2312" w:hint="eastAsia"/>
          <w:sz w:val="32"/>
          <w:szCs w:val="32"/>
        </w:rPr>
        <w:t>潇水中路、月岩中路、滨河路、红星街、文化路、营江路全天候禁止大、中型客(货)车通行（公交车和特种车辆除外）。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3、</w:t>
      </w:r>
      <w:r>
        <w:rPr>
          <w:rFonts w:ascii="仿宋_GB2312" w:cs="仿宋_GB2312" w:eastAsia="仿宋" w:hAnsi="仿宋_GB2312" w:hint="eastAsia"/>
          <w:sz w:val="32"/>
          <w:szCs w:val="32"/>
        </w:rPr>
        <w:t>潇水中路除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信号</w:t>
      </w:r>
      <w:r>
        <w:rPr>
          <w:rFonts w:ascii="仿宋_GB2312" w:cs="仿宋_GB2312" w:eastAsia="仿宋" w:hAnsi="仿宋_GB2312" w:hint="eastAsia"/>
          <w:sz w:val="32"/>
          <w:szCs w:val="32"/>
        </w:rPr>
        <w:t>灯路口外，其他路口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实</w:t>
      </w:r>
      <w:r>
        <w:rPr>
          <w:rFonts w:ascii="仿宋_GB2312" w:cs="仿宋_GB2312" w:eastAsia="仿宋" w:hAnsi="仿宋_GB2312" w:hint="eastAsia"/>
          <w:sz w:val="32"/>
          <w:szCs w:val="32"/>
        </w:rPr>
        <w:t>行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车辆</w:t>
      </w:r>
      <w:r>
        <w:rPr>
          <w:rFonts w:ascii="仿宋_GB2312" w:cs="仿宋_GB2312" w:eastAsia="仿宋" w:hAnsi="仿宋_GB2312" w:hint="eastAsia"/>
          <w:sz w:val="32"/>
          <w:szCs w:val="32"/>
        </w:rPr>
        <w:t>右进右出，禁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止</w:t>
      </w:r>
      <w:r>
        <w:rPr>
          <w:rFonts w:ascii="仿宋_GB2312" w:cs="仿宋_GB2312" w:eastAsia="仿宋" w:hAnsi="仿宋_GB2312" w:hint="eastAsia"/>
          <w:sz w:val="32"/>
          <w:szCs w:val="32"/>
        </w:rPr>
        <w:t>左转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或调头</w:t>
      </w:r>
      <w:r>
        <w:rPr>
          <w:rFonts w:ascii="仿宋_GB2312" w:cs="仿宋_GB2312" w:eastAsia="仿宋" w:hAnsi="仿宋_GB2312" w:hint="eastAsia"/>
          <w:sz w:val="32"/>
          <w:szCs w:val="32"/>
        </w:rPr>
        <w:t>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4、道州中路</w:t>
      </w:r>
      <w:r>
        <w:rPr>
          <w:rFonts w:ascii="仿宋_GB2312" w:cs="仿宋_GB2312" w:eastAsia="仿宋" w:hAnsi="仿宋_GB2312" w:hint="eastAsia"/>
          <w:sz w:val="32"/>
          <w:szCs w:val="32"/>
        </w:rPr>
        <w:t>爱莲广场路口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中间封闭</w:t>
      </w:r>
      <w:r>
        <w:rPr>
          <w:rFonts w:ascii="仿宋_GB2312" w:cs="仿宋_GB2312" w:eastAsia="仿宋" w:hAnsi="仿宋_GB2312" w:hint="eastAsia"/>
          <w:sz w:val="32"/>
          <w:szCs w:val="32"/>
        </w:rPr>
        <w:t>，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潇水北路</w:t>
      </w:r>
      <w:r>
        <w:rPr>
          <w:rFonts w:ascii="仿宋_GB2312" w:cs="仿宋_GB2312" w:eastAsia="仿宋" w:hAnsi="仿宋_GB2312" w:hint="eastAsia"/>
          <w:sz w:val="32"/>
          <w:szCs w:val="32"/>
        </w:rPr>
        <w:t>道州宾馆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路口</w:t>
      </w:r>
      <w:r>
        <w:rPr>
          <w:rFonts w:ascii="仿宋_GB2312" w:cs="仿宋_GB2312" w:eastAsia="仿宋" w:hAnsi="仿宋_GB2312" w:hint="eastAsia"/>
          <w:sz w:val="32"/>
          <w:szCs w:val="32"/>
        </w:rPr>
        <w:t>北往南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方向车辆</w:t>
      </w:r>
      <w:r>
        <w:rPr>
          <w:rFonts w:ascii="仿宋_GB2312" w:cs="仿宋_GB2312" w:eastAsia="仿宋" w:hAnsi="仿宋_GB2312" w:hint="eastAsia"/>
          <w:sz w:val="32"/>
          <w:szCs w:val="32"/>
        </w:rPr>
        <w:t>一律右转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通行</w:t>
      </w:r>
      <w:r>
        <w:rPr>
          <w:rFonts w:ascii="仿宋_GB2312" w:cs="仿宋_GB2312" w:eastAsia="仿宋" w:hAnsi="仿宋_GB2312" w:hint="eastAsia"/>
          <w:sz w:val="32"/>
          <w:szCs w:val="32"/>
        </w:rPr>
        <w:t>，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濂溪</w:t>
      </w:r>
      <w:r>
        <w:rPr>
          <w:rFonts w:ascii="仿宋_GB2312" w:cs="仿宋_GB2312" w:eastAsia="仿宋" w:hAnsi="仿宋_GB2312" w:hint="eastAsia"/>
          <w:sz w:val="32"/>
          <w:szCs w:val="32"/>
        </w:rPr>
        <w:t>南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岸</w:t>
      </w:r>
      <w:r>
        <w:rPr>
          <w:rFonts w:ascii="仿宋_GB2312" w:cs="仿宋_GB2312" w:eastAsia="仿宋" w:hAnsi="仿宋_GB2312" w:hint="eastAsia"/>
          <w:sz w:val="32"/>
          <w:szCs w:val="32"/>
        </w:rPr>
        <w:t>路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往潇水中路方向</w:t>
      </w:r>
      <w:r>
        <w:rPr>
          <w:rFonts w:ascii="仿宋_GB2312" w:cs="仿宋_GB2312" w:eastAsia="仿宋" w:hAnsi="仿宋_GB2312" w:hint="eastAsia"/>
          <w:sz w:val="32"/>
          <w:szCs w:val="32"/>
        </w:rPr>
        <w:t>禁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止车辆</w:t>
      </w:r>
      <w:r>
        <w:rPr>
          <w:rFonts w:ascii="仿宋_GB2312" w:cs="仿宋_GB2312" w:eastAsia="仿宋" w:hAnsi="仿宋_GB2312" w:hint="eastAsia"/>
          <w:sz w:val="32"/>
          <w:szCs w:val="32"/>
        </w:rPr>
        <w:t>左转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驶入西关桥</w:t>
      </w:r>
      <w:r>
        <w:rPr>
          <w:rFonts w:ascii="仿宋_GB2312" w:cs="仿宋_GB2312" w:eastAsia="仿宋" w:hAnsi="仿宋_GB2312" w:hint="eastAsia"/>
          <w:sz w:val="32"/>
          <w:szCs w:val="32"/>
        </w:rPr>
        <w:t>，禁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止车辆经</w:t>
      </w:r>
      <w:r>
        <w:rPr>
          <w:rFonts w:ascii="仿宋_GB2312" w:cs="仿宋_GB2312" w:eastAsia="仿宋" w:hAnsi="仿宋_GB2312" w:hint="eastAsia"/>
          <w:sz w:val="32"/>
          <w:szCs w:val="32"/>
        </w:rPr>
        <w:t>绍基路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往</w:t>
      </w:r>
      <w:r>
        <w:rPr>
          <w:rFonts w:ascii="仿宋_GB2312" w:cs="仿宋_GB2312" w:eastAsia="仿宋" w:hAnsi="仿宋_GB2312" w:hint="eastAsia"/>
          <w:sz w:val="32"/>
          <w:szCs w:val="32"/>
        </w:rPr>
        <w:t>南门口进入寇公街。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5、</w:t>
      </w:r>
      <w:r>
        <w:rPr>
          <w:rFonts w:ascii="仿宋_GB2312" w:cs="仿宋_GB2312" w:eastAsia="仿宋" w:hAnsi="仿宋_GB2312" w:hint="eastAsia"/>
          <w:sz w:val="32"/>
          <w:szCs w:val="32"/>
        </w:rPr>
        <w:t>城区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信号灯</w:t>
      </w:r>
      <w:r>
        <w:rPr>
          <w:rFonts w:ascii="仿宋_GB2312" w:cs="仿宋_GB2312" w:eastAsia="仿宋" w:hAnsi="仿宋_GB2312" w:hint="eastAsia"/>
          <w:sz w:val="32"/>
          <w:szCs w:val="32"/>
        </w:rPr>
        <w:t>路口，右转车道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在不妨碍车辆通行的情况下，</w:t>
      </w:r>
      <w:r>
        <w:rPr>
          <w:rFonts w:ascii="仿宋_GB2312" w:cs="仿宋_GB2312" w:eastAsia="仿宋" w:hAnsi="仿宋_GB2312" w:hint="eastAsia"/>
          <w:sz w:val="32"/>
          <w:szCs w:val="32"/>
        </w:rPr>
        <w:t>可直行。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、根据城区道路交通流量变化，交警大队将对道州宾馆路口、金通路口、食品站路口、三街路口、城中超市路口、爱莲广场路口进行交通管制。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" w:hAnsi="仿宋_GB2312" w:hint="default"/>
          <w:sz w:val="32"/>
          <w:szCs w:val="32"/>
          <w:lang w:val="en-US" w:eastAsia="zh-CN"/>
        </w:rPr>
        <w:t>交通管制时间为2025年1月23日至2025年2月5日。</w:t>
      </w:r>
    </w:p>
    <w:p>
      <w:pPr>
        <w:pStyle w:val="style0"/>
        <w:widowControl w:val="false"/>
        <w:numPr>
          <w:ilvl w:val="0"/>
          <w:numId w:val="0"/>
        </w:numPr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请广大市民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合理</w:t>
      </w:r>
      <w:r>
        <w:rPr>
          <w:rFonts w:ascii="仿宋_GB2312" w:cs="仿宋_GB2312" w:eastAsia="仿宋" w:hAnsi="仿宋_GB2312" w:hint="eastAsia"/>
          <w:sz w:val="32"/>
          <w:szCs w:val="32"/>
        </w:rPr>
        <w:t>安排出行路线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错峰出行</w:t>
      </w:r>
      <w:r>
        <w:rPr>
          <w:rFonts w:ascii="仿宋_GB2312" w:cs="仿宋_GB2312" w:eastAsia="仿宋" w:hAnsi="仿宋_GB2312" w:hint="eastAsia"/>
          <w:sz w:val="32"/>
          <w:szCs w:val="32"/>
        </w:rPr>
        <w:t>，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尽可能选择步行或绿色出行，</w:t>
      </w:r>
      <w:r>
        <w:rPr>
          <w:rFonts w:ascii="仿宋_GB2312" w:cs="仿宋_GB2312" w:eastAsia="仿宋" w:hAnsi="仿宋_GB2312" w:hint="eastAsia"/>
          <w:sz w:val="32"/>
          <w:szCs w:val="32"/>
        </w:rPr>
        <w:t>对因交通管制造成的不便敬请谅解。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" w:hAnsi="仿宋_GB2312" w:hint="eastAsia"/>
          <w:sz w:val="32"/>
          <w:szCs w:val="32"/>
        </w:rPr>
        <w:t>特此通告</w:t>
      </w:r>
      <w:r>
        <w:rPr>
          <w:rFonts w:ascii="仿宋_GB2312" w:cs="仿宋_GB2312" w:eastAsia="仿宋" w:hAnsi="仿宋_GB2312" w:hint="eastAsia"/>
          <w:sz w:val="32"/>
          <w:szCs w:val="32"/>
          <w:lang w:eastAsia="zh-CN"/>
        </w:rPr>
        <w:t>！</w:t>
      </w:r>
    </w:p>
    <w:p>
      <w:pPr>
        <w:pStyle w:val="style0"/>
        <w:widowControl w:val="false"/>
        <w:wordWrap/>
        <w:adjustRightInd/>
        <w:snapToGrid/>
        <w:spacing w:lineRule="exact" w:line="560"/>
        <w:jc w:val="both"/>
        <w:textAlignment w:val="auto"/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 xml:space="preserve">                                    </w:t>
      </w:r>
      <w:r>
        <w:rPr>
          <w:rFonts w:ascii="仿宋_GB2312" w:cs="仿宋_GB2312" w:eastAsia="仿宋" w:hAnsi="仿宋_GB2312" w:hint="default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_GB2312" w:cs="仿宋_GB2312" w:eastAsia="仿宋" w:hAnsi="仿宋_GB2312" w:hint="eastAsia"/>
          <w:sz w:val="32"/>
          <w:szCs w:val="32"/>
        </w:rPr>
        <w:t>道县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公安局交通警察大队</w:t>
      </w:r>
    </w:p>
    <w:p>
      <w:pPr>
        <w:pStyle w:val="style0"/>
        <w:widowControl w:val="false"/>
        <w:wordWrap/>
        <w:adjustRightInd/>
        <w:snapToGrid/>
        <w:spacing w:lineRule="exact" w:line="560"/>
        <w:ind w:firstLine="5120" w:firstLineChars="1600"/>
        <w:textAlignment w:val="auto"/>
        <w:rPr>
          <w:sz w:val="32"/>
          <w:szCs w:val="32"/>
        </w:rPr>
      </w:pP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 xml:space="preserve">        </w:t>
      </w:r>
      <w:r>
        <w:rPr>
          <w:rFonts w:ascii="仿宋_GB2312" w:cs="仿宋_GB2312" w:eastAsia="仿宋" w:hAnsi="仿宋_GB2312" w:hint="default"/>
          <w:sz w:val="32"/>
          <w:szCs w:val="32"/>
          <w:lang w:val="en-US" w:eastAsia="zh-CN"/>
        </w:rPr>
        <w:t xml:space="preserve">  </w:t>
      </w:r>
      <w:r>
        <w:rPr>
          <w:rFonts w:ascii="仿宋_GB2312" w:cs="仿宋_GB2312" w:eastAsia="仿宋" w:hAnsi="仿宋_GB2312" w:hint="eastAsia"/>
          <w:sz w:val="32"/>
          <w:szCs w:val="32"/>
        </w:rPr>
        <w:t>202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cs="仿宋_GB2312" w:eastAsia="仿宋" w:hAnsi="仿宋_GB2312" w:hint="eastAsia"/>
          <w:sz w:val="32"/>
          <w:szCs w:val="32"/>
        </w:rPr>
        <w:t>年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cs="仿宋_GB2312" w:eastAsia="仿宋" w:hAnsi="仿宋_GB2312" w:hint="eastAsia"/>
          <w:sz w:val="32"/>
          <w:szCs w:val="32"/>
        </w:rPr>
        <w:t>月</w:t>
      </w:r>
      <w:r>
        <w:rPr>
          <w:rFonts w:ascii="仿宋_GB2312" w:cs="仿宋_GB2312" w:eastAsia="仿宋" w:hAnsi="仿宋_GB2312" w:hint="eastAsia"/>
          <w:sz w:val="32"/>
          <w:szCs w:val="32"/>
          <w:lang w:val="en-US" w:eastAsia="zh-CN"/>
        </w:rPr>
        <w:t>22</w:t>
      </w:r>
      <w:r>
        <w:rPr>
          <w:rFonts w:ascii="仿宋_GB2312" w:cs="仿宋_GB2312" w:eastAsia="仿宋" w:hAnsi="仿宋_GB2312"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</w:p>
    <w:sectPr>
      <w:pgSz w:w="11900" w:h="16820" w:orient="portrait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decimal"/>
      <w:suff w:val="nothing"/>
      <w:lvlText w:val="%1、"/>
      <w:lvlJc w:val="left"/>
      <w:pPr/>
    </w:lvl>
    <w:lvl w:ilvl="1">
      <w:start w:val="1"/>
      <w:numFmt w:val="lowerLetter"/>
      <w:lvlText w:val="%2)"/>
      <w:lvlJc w:val="left"/>
      <w:pPr>
        <w:tabs>
          <w:tab w:val="left" w:leader="none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leader="none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leader="none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leader="none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leader="none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leader="none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leader="none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leader="none" w:pos="4260"/>
        </w:tabs>
        <w:ind w:left="4260" w:hanging="420"/>
      </w:pPr>
    </w:lvl>
  </w:abstractNum>
  <w:abstractNum w:abstractNumId="1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99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867</Words>
  <Pages>2</Pages>
  <Characters>913</Characters>
  <Application>WPS Office</Application>
  <DocSecurity>0</DocSecurity>
  <Paragraphs>34</Paragraphs>
  <ScaleCrop>false</ScaleCrop>
  <LinksUpToDate>false</LinksUpToDate>
  <CharactersWithSpaces>1005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2024-01-25T07:29:00Z</dcterms:created>
  <dc:creator>Apache POI</dc:creator>
  <lastModifiedBy>Redmi K30</lastModifiedBy>
  <lastPrinted>2025-01-22T02:58:00Z</lastPrinted>
  <dcterms:modified xsi:type="dcterms:W3CDTF">2025-01-22T04:25:24Z</dcterms:modified>
  <dc:title>DXDR-2024-60001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EDD0684CEC4F46DC83B997871AD99A65_13</vt:lpwstr>
  </property>
  <property fmtid="{D5CDD505-2E9C-101B-9397-08002B2CF9AE}" pid="4" name="KSOTemplateDocerSaveRecord">
    <vt:lpwstr>eyJoZGlkIjoiMzM3ZDg2ODFjOWMwOTYyY2FjNTIyYTYyMmY5MGVmNzAiLCJ1c2VySWQiOiI2NDEyMTA3OTkifQ==</vt:lpwstr>
  </property>
</Properties>
</file>