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78F7B">
      <w:pPr>
        <w:spacing w:before="189" w:line="180" w:lineRule="auto"/>
        <w:ind w:left="670" w:right="526" w:hanging="220"/>
        <w:jc w:val="center"/>
        <w:outlineLvl w:val="0"/>
        <w:rPr>
          <w:rFonts w:ascii="微软雅黑" w:hAnsi="微软雅黑" w:eastAsia="微软雅黑" w:cs="微软雅黑"/>
          <w:spacing w:val="9"/>
          <w:sz w:val="44"/>
          <w:szCs w:val="44"/>
        </w:rPr>
      </w:pPr>
      <w:r>
        <w:rPr>
          <w:rFonts w:ascii="微软雅黑" w:hAnsi="微软雅黑" w:eastAsia="微软雅黑" w:cs="微软雅黑"/>
          <w:spacing w:val="-4"/>
          <w:sz w:val="44"/>
          <w:szCs w:val="44"/>
        </w:rPr>
        <w:t>关于印发《关于优化道县房地产开发项目</w:t>
      </w:r>
      <w:r>
        <w:rPr>
          <w:rFonts w:ascii="微软雅黑" w:hAnsi="微软雅黑" w:eastAsia="微软雅黑" w:cs="微软雅黑"/>
          <w:spacing w:val="9"/>
          <w:sz w:val="44"/>
          <w:szCs w:val="44"/>
        </w:rPr>
        <w:t>规划管理的若干措施(试行)》的</w:t>
      </w:r>
    </w:p>
    <w:p w14:paraId="384141D5">
      <w:pPr>
        <w:spacing w:before="189" w:line="180" w:lineRule="auto"/>
        <w:ind w:left="670" w:right="526" w:hanging="220"/>
        <w:jc w:val="center"/>
        <w:outlineLvl w:val="0"/>
      </w:pPr>
      <w:r>
        <w:rPr>
          <w:rFonts w:ascii="微软雅黑" w:hAnsi="微软雅黑" w:eastAsia="微软雅黑" w:cs="微软雅黑"/>
          <w:spacing w:val="9"/>
          <w:sz w:val="44"/>
          <w:szCs w:val="44"/>
        </w:rPr>
        <w:t>通知</w:t>
      </w:r>
    </w:p>
    <w:p w14:paraId="1524E303">
      <w:pPr>
        <w:pStyle w:val="2"/>
        <w:spacing w:line="321" w:lineRule="auto"/>
      </w:pPr>
    </w:p>
    <w:p w14:paraId="0A52C920">
      <w:pPr>
        <w:spacing w:before="101" w:line="221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县直、省市驻道县各单位、各乡镇人民政府、街道办</w:t>
      </w:r>
      <w:r>
        <w:rPr>
          <w:rFonts w:ascii="仿宋" w:hAnsi="仿宋" w:eastAsia="仿宋" w:cs="仿宋"/>
          <w:spacing w:val="8"/>
          <w:sz w:val="31"/>
          <w:szCs w:val="31"/>
        </w:rPr>
        <w:t>事处：</w:t>
      </w:r>
    </w:p>
    <w:p w14:paraId="73D12EBB">
      <w:pPr>
        <w:spacing w:before="207" w:line="335" w:lineRule="auto"/>
        <w:ind w:right="42" w:firstLine="632"/>
        <w:jc w:val="both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《关于优化道县房地产开发项目规划管理的若干措施（试</w:t>
      </w:r>
      <w:r>
        <w:rPr>
          <w:rFonts w:ascii="仿宋" w:hAnsi="仿宋" w:eastAsia="仿宋" w:cs="仿宋"/>
          <w:spacing w:val="1"/>
          <w:sz w:val="31"/>
          <w:szCs w:val="31"/>
        </w:rPr>
        <w:t>行）》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已经2025年第4次县政府常务会、2025年第7次县委</w:t>
      </w:r>
      <w:r>
        <w:rPr>
          <w:rFonts w:ascii="仿宋" w:hAnsi="仿宋" w:eastAsia="仿宋" w:cs="仿宋"/>
          <w:sz w:val="31"/>
          <w:szCs w:val="31"/>
        </w:rPr>
        <w:t>常委会</w:t>
      </w:r>
      <w:r>
        <w:rPr>
          <w:rFonts w:ascii="仿宋" w:hAnsi="仿宋" w:eastAsia="仿宋" w:cs="仿宋"/>
          <w:spacing w:val="8"/>
          <w:sz w:val="31"/>
          <w:szCs w:val="31"/>
        </w:rPr>
        <w:t>审议通过，现印发给你们，请认真贯彻执行。</w:t>
      </w:r>
    </w:p>
    <w:p w14:paraId="393DE269">
      <w:pPr>
        <w:spacing w:before="207" w:line="335" w:lineRule="auto"/>
        <w:ind w:right="42" w:firstLine="632"/>
        <w:jc w:val="both"/>
        <w:rPr>
          <w:rFonts w:ascii="仿宋" w:hAnsi="仿宋" w:eastAsia="仿宋" w:cs="仿宋"/>
          <w:spacing w:val="8"/>
          <w:sz w:val="31"/>
          <w:szCs w:val="31"/>
        </w:rPr>
      </w:pPr>
    </w:p>
    <w:p w14:paraId="794AFECC">
      <w:pPr>
        <w:spacing w:before="207" w:line="335" w:lineRule="auto"/>
        <w:ind w:right="42" w:firstLine="652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附件：关于优化道县房地产开发项目规划管理的若干措施</w:t>
      </w:r>
      <w:r>
        <w:rPr>
          <w:rFonts w:ascii="仿宋" w:hAnsi="仿宋" w:eastAsia="仿宋" w:cs="仿宋"/>
          <w:spacing w:val="16"/>
          <w:sz w:val="31"/>
          <w:szCs w:val="31"/>
        </w:rPr>
        <w:t>（试行）</w:t>
      </w:r>
    </w:p>
    <w:p w14:paraId="34CACFB6">
      <w:pPr>
        <w:pStyle w:val="2"/>
        <w:spacing w:line="257" w:lineRule="auto"/>
      </w:pPr>
    </w:p>
    <w:p w14:paraId="5F0D9774">
      <w:pPr>
        <w:pStyle w:val="2"/>
        <w:spacing w:line="257" w:lineRule="auto"/>
      </w:pPr>
    </w:p>
    <w:p w14:paraId="7F70D582">
      <w:pPr>
        <w:pStyle w:val="2"/>
        <w:spacing w:line="257" w:lineRule="auto"/>
      </w:pPr>
    </w:p>
    <w:p w14:paraId="183329FC">
      <w:pPr>
        <w:pStyle w:val="2"/>
        <w:spacing w:line="257" w:lineRule="auto"/>
      </w:pPr>
    </w:p>
    <w:p w14:paraId="5C379826">
      <w:pPr>
        <w:pStyle w:val="2"/>
        <w:spacing w:line="257" w:lineRule="auto"/>
      </w:pPr>
    </w:p>
    <w:p w14:paraId="4B00EB3E">
      <w:pPr>
        <w:pStyle w:val="2"/>
        <w:spacing w:line="257" w:lineRule="auto"/>
      </w:pPr>
    </w:p>
    <w:p w14:paraId="2A7A7D8F">
      <w:pPr>
        <w:pStyle w:val="2"/>
        <w:spacing w:line="258" w:lineRule="auto"/>
      </w:pPr>
    </w:p>
    <w:p w14:paraId="45495F52">
      <w:pPr>
        <w:pStyle w:val="2"/>
        <w:spacing w:line="258" w:lineRule="auto"/>
      </w:pPr>
    </w:p>
    <w:p w14:paraId="6F39BA78">
      <w:pPr>
        <w:pStyle w:val="2"/>
        <w:spacing w:line="258" w:lineRule="auto"/>
      </w:pPr>
    </w:p>
    <w:p w14:paraId="62D6609E">
      <w:pPr>
        <w:pStyle w:val="2"/>
        <w:spacing w:line="258" w:lineRule="auto"/>
      </w:pPr>
    </w:p>
    <w:p w14:paraId="54515A88">
      <w:pPr>
        <w:pStyle w:val="2"/>
        <w:spacing w:line="258" w:lineRule="auto"/>
      </w:pPr>
    </w:p>
    <w:p w14:paraId="69B8C2EC">
      <w:pPr>
        <w:spacing w:before="101" w:line="222" w:lineRule="auto"/>
        <w:ind w:left="652"/>
        <w:jc w:val="center"/>
        <w:rPr>
          <w:rFonts w:ascii="仿宋" w:hAnsi="仿宋" w:eastAsia="仿宋" w:cs="仿宋"/>
          <w:spacing w:val="7"/>
          <w:sz w:val="31"/>
          <w:szCs w:val="31"/>
        </w:rPr>
      </w:pPr>
      <w:r>
        <w:rPr>
          <w:rFonts w:hint="eastAsia" w:ascii="仿宋" w:hAnsi="仿宋" w:eastAsia="仿宋" w:cs="仿宋"/>
          <w:spacing w:val="7"/>
          <w:sz w:val="31"/>
          <w:szCs w:val="31"/>
          <w:lang w:val="en-US" w:eastAsia="zh-CN"/>
        </w:rPr>
        <w:t xml:space="preserve">                                </w:t>
      </w:r>
      <w:r>
        <w:rPr>
          <w:rFonts w:ascii="仿宋" w:hAnsi="仿宋" w:eastAsia="仿宋" w:cs="仿宋"/>
          <w:spacing w:val="7"/>
          <w:sz w:val="31"/>
          <w:szCs w:val="31"/>
        </w:rPr>
        <w:t>道县自然资源局</w:t>
      </w:r>
    </w:p>
    <w:p w14:paraId="1A604CFC">
      <w:pPr>
        <w:spacing w:before="101" w:line="222" w:lineRule="auto"/>
        <w:ind w:left="65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道县住房和城乡建设局</w:t>
      </w:r>
    </w:p>
    <w:p w14:paraId="2DCE1C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1" w:lineRule="auto"/>
        <w:ind w:right="0"/>
        <w:jc w:val="right"/>
        <w:textAlignment w:val="baseline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道县城市管理和综合执法局</w:t>
      </w:r>
    </w:p>
    <w:p w14:paraId="0491B7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1" w:lineRule="auto"/>
        <w:ind w:right="0"/>
        <w:jc w:val="right"/>
        <w:textAlignment w:val="baseline"/>
        <w:rPr>
          <w:rFonts w:ascii="仿宋" w:hAnsi="仿宋" w:eastAsia="仿宋" w:cs="仿宋"/>
          <w:spacing w:val="-7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2025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4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25 日</w:t>
      </w:r>
    </w:p>
    <w:p w14:paraId="08FAF105">
      <w:pPr>
        <w:spacing w:before="101" w:line="401" w:lineRule="auto"/>
        <w:ind w:right="640"/>
        <w:jc w:val="right"/>
        <w:rPr>
          <w:rFonts w:ascii="仿宋" w:hAnsi="仿宋" w:eastAsia="仿宋" w:cs="仿宋"/>
          <w:spacing w:val="-7"/>
          <w:sz w:val="31"/>
          <w:szCs w:val="31"/>
        </w:rPr>
      </w:pPr>
    </w:p>
    <w:p w14:paraId="4707390F">
      <w:pPr>
        <w:spacing w:before="188" w:line="200" w:lineRule="auto"/>
        <w:ind w:left="2658" w:right="518" w:hanging="2200"/>
      </w:pPr>
      <w:r>
        <w:rPr>
          <w:rFonts w:ascii="微软雅黑" w:hAnsi="微软雅黑" w:eastAsia="微软雅黑" w:cs="微软雅黑"/>
          <w:spacing w:val="-2"/>
          <w:sz w:val="44"/>
          <w:szCs w:val="44"/>
        </w:rPr>
        <w:t>关于优化道县房地产开发项目规划管理的</w:t>
      </w:r>
      <w:r>
        <w:rPr>
          <w:rFonts w:ascii="微软雅黑" w:hAnsi="微软雅黑" w:eastAsia="微软雅黑" w:cs="微软雅黑"/>
          <w:spacing w:val="41"/>
          <w:sz w:val="42"/>
          <w:szCs w:val="42"/>
        </w:rPr>
        <w:t>若干措施(试行)</w:t>
      </w:r>
    </w:p>
    <w:p w14:paraId="4C37A639">
      <w:pPr>
        <w:pStyle w:val="2"/>
        <w:spacing w:line="308" w:lineRule="auto"/>
      </w:pPr>
    </w:p>
    <w:p w14:paraId="093B20B6">
      <w:pPr>
        <w:spacing w:before="101" w:line="328" w:lineRule="auto"/>
        <w:ind w:left="11"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为全面贯彻落实党中央、国务院和省委、省政府决策部署，</w:t>
      </w:r>
      <w:r>
        <w:rPr>
          <w:rFonts w:ascii="仿宋" w:hAnsi="仿宋" w:eastAsia="仿宋" w:cs="仿宋"/>
          <w:spacing w:val="17"/>
          <w:sz w:val="31"/>
          <w:szCs w:val="31"/>
        </w:rPr>
        <w:t>适应房地产市场供求关系发生重大变化的新形势，进一步推动我县住房建设多样性和高品质，更好满足居民刚性和改善性住房需求，促进我县房地产市场平稳健康发展，结合市场需求和</w:t>
      </w:r>
      <w:r>
        <w:rPr>
          <w:rFonts w:ascii="仿宋" w:hAnsi="仿宋" w:eastAsia="仿宋" w:cs="仿宋"/>
          <w:spacing w:val="8"/>
          <w:sz w:val="31"/>
          <w:szCs w:val="31"/>
        </w:rPr>
        <w:t>我县实际情况，特制定本措施。</w:t>
      </w:r>
    </w:p>
    <w:p w14:paraId="36178282">
      <w:pPr>
        <w:spacing w:before="47" w:line="226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一、试点建设城市空中花园建筑（第四代住房）项目</w:t>
      </w:r>
    </w:p>
    <w:p w14:paraId="6EC5A81F">
      <w:pPr>
        <w:spacing w:before="180" w:line="320" w:lineRule="auto"/>
        <w:ind w:left="49" w:right="242" w:firstLine="5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试点实施的空中花园建筑（第四代住房）项目必须在土地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出让的规划条件中予以约定。</w:t>
      </w:r>
    </w:p>
    <w:p w14:paraId="30118617">
      <w:pPr>
        <w:spacing w:before="44" w:line="330" w:lineRule="auto"/>
        <w:ind w:left="7" w:right="35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1.建筑面积、容积率和产权面积。</w:t>
      </w:r>
      <w:r>
        <w:rPr>
          <w:rFonts w:ascii="楷体" w:hAnsi="楷体" w:eastAsia="楷体" w:cs="楷体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空中花园建筑（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第四代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住房）绿化平台，每户可设计一个户属空中花园，每户住宅套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内阳台(含生活阳台)、空中花园水平投影面积之和不得超过套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内建筑面积的40%;满足两个自然层高且不小于5.6米，无围护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墙、不封闭、覆土深度不低于0.5米且植树，</w:t>
      </w:r>
      <w:r>
        <w:rPr>
          <w:rFonts w:ascii="仿宋" w:hAnsi="仿宋" w:eastAsia="仿宋" w:cs="仿宋"/>
          <w:spacing w:val="13"/>
          <w:sz w:val="31"/>
          <w:szCs w:val="31"/>
        </w:rPr>
        <w:t>绿化面积须大于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或等于平台水平投影50%，绿化平台计入建筑</w:t>
      </w:r>
      <w:r>
        <w:rPr>
          <w:rFonts w:ascii="仿宋" w:hAnsi="仿宋" w:eastAsia="仿宋" w:cs="仿宋"/>
          <w:spacing w:val="17"/>
          <w:sz w:val="31"/>
          <w:szCs w:val="31"/>
        </w:rPr>
        <w:t>面积，不计入容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积率和产权面积，绿化平台建筑面积不纳入指标配套公共服务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设施。不缴纳城市基础设施配套费。</w:t>
      </w:r>
    </w:p>
    <w:p w14:paraId="11B42666">
      <w:pPr>
        <w:spacing w:before="51" w:line="222" w:lineRule="auto"/>
        <w:ind w:left="661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2.建筑密度、绿地率和采光率。</w:t>
      </w:r>
    </w:p>
    <w:p w14:paraId="064034E2">
      <w:pPr>
        <w:spacing w:before="186" w:line="318" w:lineRule="auto"/>
        <w:ind w:right="35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①项目建筑密度按首层建筑基底面积标准计算，且应符合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《城市居住区规划设计标准》（</w:t>
      </w:r>
      <w:r>
        <w:rPr>
          <w:rFonts w:ascii="仿宋" w:hAnsi="仿宋" w:eastAsia="仿宋" w:cs="仿宋"/>
          <w:sz w:val="31"/>
          <w:szCs w:val="31"/>
        </w:rPr>
        <w:t>GB</w:t>
      </w:r>
      <w:r>
        <w:rPr>
          <w:rFonts w:ascii="仿宋" w:hAnsi="仿宋" w:eastAsia="仿宋" w:cs="仿宋"/>
          <w:spacing w:val="3"/>
          <w:sz w:val="31"/>
          <w:szCs w:val="31"/>
        </w:rPr>
        <w:t>50180—2</w:t>
      </w:r>
      <w:r>
        <w:rPr>
          <w:rFonts w:ascii="仿宋" w:hAnsi="仿宋" w:eastAsia="仿宋" w:cs="仿宋"/>
          <w:spacing w:val="2"/>
          <w:sz w:val="31"/>
          <w:szCs w:val="31"/>
        </w:rPr>
        <w:t>018）的规定；</w:t>
      </w:r>
    </w:p>
    <w:p w14:paraId="3F5EE3A7">
      <w:pPr>
        <w:spacing w:line="318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10" w:h="16840"/>
          <w:pgMar w:top="1431" w:right="1496" w:bottom="1349" w:left="1535" w:header="0" w:footer="1073" w:gutter="0"/>
          <w:cols w:space="720" w:num="1"/>
        </w:sectPr>
      </w:pPr>
    </w:p>
    <w:p w14:paraId="339821FC">
      <w:pPr>
        <w:pStyle w:val="2"/>
        <w:spacing w:line="246" w:lineRule="auto"/>
      </w:pPr>
    </w:p>
    <w:p w14:paraId="1F81016A">
      <w:pPr>
        <w:pStyle w:val="2"/>
        <w:spacing w:line="246" w:lineRule="auto"/>
      </w:pPr>
    </w:p>
    <w:p w14:paraId="7C15FBC7">
      <w:pPr>
        <w:pStyle w:val="2"/>
        <w:spacing w:line="246" w:lineRule="auto"/>
      </w:pPr>
    </w:p>
    <w:p w14:paraId="57D8A728">
      <w:pPr>
        <w:spacing w:before="101" w:line="296" w:lineRule="auto"/>
        <w:ind w:left="6" w:right="187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②项目平台绿地面积的20%折算计入项目</w:t>
      </w:r>
      <w:r>
        <w:rPr>
          <w:rFonts w:ascii="仿宋" w:hAnsi="仿宋" w:eastAsia="仿宋" w:cs="仿宋"/>
          <w:spacing w:val="17"/>
          <w:sz w:val="31"/>
          <w:szCs w:val="31"/>
        </w:rPr>
        <w:t>绿地率和绿地面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积；但项目地面各类绿地面积计算的绿地率不得低于国家标准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或规划条件要求；</w:t>
      </w:r>
    </w:p>
    <w:p w14:paraId="13B886E6">
      <w:pPr>
        <w:spacing w:before="185" w:line="306" w:lineRule="auto"/>
        <w:ind w:left="6" w:right="187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③要保证每户均没有“黑房子”，住户</w:t>
      </w:r>
      <w:r>
        <w:rPr>
          <w:rFonts w:ascii="仿宋" w:hAnsi="仿宋" w:eastAsia="仿宋" w:cs="仿宋"/>
          <w:spacing w:val="-10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“私密性”和</w:t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“安全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性”得到充分保障，满足空中花园庭院对应的上下层房间为直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接采光的条件。日照时间符合《城市居住区规划</w:t>
      </w:r>
      <w:r>
        <w:rPr>
          <w:rFonts w:ascii="仿宋" w:hAnsi="仿宋" w:eastAsia="仿宋" w:cs="仿宋"/>
          <w:spacing w:val="24"/>
          <w:sz w:val="31"/>
          <w:szCs w:val="31"/>
        </w:rPr>
        <w:t>设计标准》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(</w:t>
      </w:r>
      <w:r>
        <w:rPr>
          <w:rFonts w:ascii="仿宋" w:hAnsi="仿宋" w:eastAsia="仿宋" w:cs="仿宋"/>
          <w:sz w:val="31"/>
          <w:szCs w:val="31"/>
        </w:rPr>
        <w:t>GB</w:t>
      </w:r>
      <w:r>
        <w:rPr>
          <w:rFonts w:ascii="仿宋" w:hAnsi="仿宋" w:eastAsia="仿宋" w:cs="仿宋"/>
          <w:spacing w:val="5"/>
          <w:sz w:val="31"/>
          <w:szCs w:val="31"/>
        </w:rPr>
        <w:t>50180—2018)相关规定。</w:t>
      </w:r>
    </w:p>
    <w:p w14:paraId="0DC9A953">
      <w:pPr>
        <w:spacing w:before="186" w:line="221" w:lineRule="auto"/>
        <w:ind w:left="671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3.其他条件。</w:t>
      </w:r>
    </w:p>
    <w:p w14:paraId="56907EAF">
      <w:pPr>
        <w:spacing w:before="189" w:line="278" w:lineRule="auto"/>
        <w:ind w:left="18" w:right="187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①空中花园建筑原则上至少满足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1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个居住街坊（用地规模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2-4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公顷）的规模；</w:t>
      </w:r>
    </w:p>
    <w:p w14:paraId="76232EE1">
      <w:pPr>
        <w:spacing w:before="192" w:line="322" w:lineRule="auto"/>
        <w:ind w:firstLine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②在保证建筑结构安全的条件下，空中花园建筑绿化平台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进深应控制在6米以内，绿化平台面积不受《</w:t>
      </w:r>
      <w:r>
        <w:rPr>
          <w:rFonts w:ascii="仿宋" w:hAnsi="仿宋" w:eastAsia="仿宋" w:cs="仿宋"/>
          <w:spacing w:val="14"/>
          <w:sz w:val="31"/>
          <w:szCs w:val="31"/>
        </w:rPr>
        <w:t>永州市城市规划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管理技术规定》（2023年修订）“正文第三章第七十四条第（3）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节”的限制。[《永州市城市规划管理技术规定》（2023年修订）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第三章第七十四条第（3）节：居住建筑按正投影</w:t>
      </w:r>
      <w:r>
        <w:rPr>
          <w:rFonts w:ascii="仿宋" w:hAnsi="仿宋" w:eastAsia="仿宋" w:cs="仿宋"/>
          <w:spacing w:val="5"/>
          <w:sz w:val="31"/>
          <w:szCs w:val="31"/>
        </w:rPr>
        <w:t>面积的1/2计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算建筑面积的部分（如阳台、计算面积的搁板、</w:t>
      </w:r>
      <w:r>
        <w:rPr>
          <w:rFonts w:ascii="仿宋" w:hAnsi="仿宋" w:eastAsia="仿宋" w:cs="仿宋"/>
          <w:spacing w:val="10"/>
          <w:sz w:val="31"/>
          <w:szCs w:val="31"/>
        </w:rPr>
        <w:t>花池等</w:t>
      </w:r>
      <w:r>
        <w:rPr>
          <w:rFonts w:ascii="仿宋" w:hAnsi="仿宋" w:eastAsia="仿宋" w:cs="仿宋"/>
          <w:spacing w:val="-62"/>
          <w:sz w:val="31"/>
          <w:szCs w:val="31"/>
        </w:rPr>
        <w:t>），</w:t>
      </w:r>
      <w:r>
        <w:rPr>
          <w:rFonts w:ascii="仿宋" w:hAnsi="仿宋" w:eastAsia="仿宋" w:cs="仿宋"/>
          <w:spacing w:val="10"/>
          <w:sz w:val="31"/>
          <w:szCs w:val="31"/>
        </w:rPr>
        <w:t>其建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筑面积之和不应超过该户套内房间建筑面积的10%,超过10%的，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超出部分按正投影面积计算建筑面积和容积率。其中套内房间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4"/>
          <w:sz w:val="31"/>
          <w:szCs w:val="31"/>
        </w:rPr>
        <w:t>建筑面积为入户门内不含计算1/2建筑面积部分的各建筑面积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之和]；</w:t>
      </w:r>
    </w:p>
    <w:p w14:paraId="3C01D7B7">
      <w:pPr>
        <w:spacing w:before="187" w:line="277" w:lineRule="auto"/>
        <w:ind w:left="15" w:right="187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③空中花园绿化设计一并纳入规划建筑设计方案审查。植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物应采用适宜本地气候品种，灌、花、草合理</w:t>
      </w:r>
      <w:r>
        <w:rPr>
          <w:rFonts w:ascii="仿宋" w:hAnsi="仿宋" w:eastAsia="仿宋" w:cs="仿宋"/>
          <w:spacing w:val="16"/>
          <w:sz w:val="31"/>
          <w:szCs w:val="31"/>
        </w:rPr>
        <w:t>搭配，体现植物</w:t>
      </w:r>
    </w:p>
    <w:p w14:paraId="7664F1BD">
      <w:pPr>
        <w:spacing w:line="277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10" w:h="16840"/>
          <w:pgMar w:top="1431" w:right="1345" w:bottom="1349" w:left="1537" w:header="0" w:footer="1076" w:gutter="0"/>
          <w:cols w:space="720" w:num="1"/>
        </w:sectPr>
      </w:pPr>
    </w:p>
    <w:p w14:paraId="5FC627F6">
      <w:pPr>
        <w:pStyle w:val="2"/>
        <w:spacing w:line="246" w:lineRule="auto"/>
      </w:pPr>
    </w:p>
    <w:p w14:paraId="359C7DEC">
      <w:pPr>
        <w:pStyle w:val="2"/>
        <w:spacing w:line="246" w:lineRule="auto"/>
      </w:pPr>
    </w:p>
    <w:p w14:paraId="44B66A7D">
      <w:pPr>
        <w:pStyle w:val="2"/>
        <w:spacing w:line="246" w:lineRule="auto"/>
      </w:pPr>
    </w:p>
    <w:p w14:paraId="4297337B">
      <w:pPr>
        <w:spacing w:before="101" w:line="317" w:lineRule="auto"/>
        <w:ind w:left="16" w:right="11" w:hanging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色相、季相。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绿化平台种植区域应做降板处理，满足覆土深度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要求，绿化栽植基层应做好防水排灌系统，设置耐根系防水层；</w:t>
      </w:r>
    </w:p>
    <w:p w14:paraId="24A72B6C">
      <w:pPr>
        <w:spacing w:before="52" w:line="278" w:lineRule="auto"/>
        <w:ind w:left="7" w:right="35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④项目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内部日照按建筑主体测算，对项目周边日照严格执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行国家建筑日照技术标准；</w:t>
      </w:r>
    </w:p>
    <w:p w14:paraId="022258F6">
      <w:pPr>
        <w:spacing w:before="189" w:line="277" w:lineRule="auto"/>
        <w:ind w:left="3" w:right="34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⑤应符合《城市森林花园住宅设计标准》(T/</w:t>
      </w:r>
      <w:r>
        <w:rPr>
          <w:rFonts w:ascii="仿宋" w:hAnsi="仿宋" w:eastAsia="仿宋" w:cs="仿宋"/>
          <w:sz w:val="31"/>
          <w:szCs w:val="31"/>
        </w:rPr>
        <w:t>CECS</w:t>
      </w:r>
      <w:r>
        <w:rPr>
          <w:rFonts w:ascii="仿宋" w:hAnsi="仿宋" w:eastAsia="仿宋" w:cs="仿宋"/>
          <w:spacing w:val="6"/>
          <w:sz w:val="31"/>
          <w:szCs w:val="31"/>
        </w:rPr>
        <w:t>8552021)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相关要求；</w:t>
      </w:r>
    </w:p>
    <w:p w14:paraId="7DC700F4">
      <w:pPr>
        <w:spacing w:before="189" w:line="311" w:lineRule="auto"/>
        <w:ind w:left="7" w:right="35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⑥住建部门监督开发企业将空中花园平台用途及业主相关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义务纳入房屋销售合同，</w:t>
      </w:r>
      <w:r>
        <w:rPr>
          <w:rFonts w:ascii="仿宋" w:hAnsi="仿宋" w:eastAsia="仿宋" w:cs="仿宋"/>
          <w:spacing w:val="-9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明确业主后期管理和维护</w:t>
      </w:r>
      <w:r>
        <w:rPr>
          <w:rFonts w:ascii="仿宋" w:hAnsi="仿宋" w:eastAsia="仿宋" w:cs="仿宋"/>
          <w:spacing w:val="14"/>
          <w:sz w:val="31"/>
          <w:szCs w:val="31"/>
        </w:rPr>
        <w:t>义务，并取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得业主承诺，一经审核不得擅自变更。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除允许设置隐形防护网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外，严禁业主封闭空中花园平台，私自改变用途，否则由城管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部门依法查处；</w:t>
      </w:r>
    </w:p>
    <w:p w14:paraId="6CED2F94">
      <w:pPr>
        <w:spacing w:before="186" w:line="306" w:lineRule="auto"/>
        <w:ind w:left="11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⑦空中花园建筑由住建、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自然资源部门负责监督空中花园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平台与主体工程一并建成（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完成绿化种植</w:t>
      </w:r>
      <w:r>
        <w:rPr>
          <w:rFonts w:ascii="仿宋" w:hAnsi="仿宋" w:eastAsia="仿宋" w:cs="仿宋"/>
          <w:spacing w:val="-55"/>
          <w:sz w:val="31"/>
          <w:szCs w:val="31"/>
        </w:rPr>
        <w:t>），</w:t>
      </w:r>
      <w:r>
        <w:rPr>
          <w:rFonts w:ascii="仿宋" w:hAnsi="仿宋" w:eastAsia="仿宋" w:cs="仿宋"/>
          <w:spacing w:val="7"/>
          <w:sz w:val="31"/>
          <w:szCs w:val="31"/>
        </w:rPr>
        <w:t>并纳入建筑主体工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程同步验收。验收不合格或擅自改变功能的不享受本支持政策，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由此造成的超容积率、超面积等按违法建设处理。</w:t>
      </w:r>
    </w:p>
    <w:p w14:paraId="3F45DBF9">
      <w:pPr>
        <w:spacing w:before="186" w:line="226" w:lineRule="auto"/>
        <w:ind w:left="653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二、调整或优化新审批项目的规划管理</w:t>
      </w:r>
    </w:p>
    <w:p w14:paraId="77735D82">
      <w:pPr>
        <w:spacing w:before="176" w:line="329" w:lineRule="auto"/>
        <w:ind w:right="28" w:firstLine="64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1.调整阳台面积控制要求。</w:t>
      </w:r>
      <w:r>
        <w:rPr>
          <w:rFonts w:ascii="仿宋" w:hAnsi="仿宋" w:eastAsia="仿宋" w:cs="仿宋"/>
          <w:spacing w:val="3"/>
          <w:sz w:val="31"/>
          <w:szCs w:val="31"/>
        </w:rPr>
        <w:t>支持塑造更加整洁的建筑整体形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象，营造舒适宜居的居住空间，优化阳台等空间面积计算规则。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居住建筑阳台等按正投影面积（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阳台按全面积正投影）的1/2计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算建筑面积和容积率的部分，其正投影面积之和按不超过该户套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内建筑面积20%控制，因城市风貌景观要求必须封闭的阳台，按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正投影面积的1/2计算建筑面积、容积率和产权面积。</w:t>
      </w:r>
    </w:p>
    <w:p w14:paraId="5BBC94DF">
      <w:pPr>
        <w:spacing w:line="329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10" w:h="16840"/>
          <w:pgMar w:top="1431" w:right="1497" w:bottom="1344" w:left="1536" w:header="0" w:footer="1073" w:gutter="0"/>
          <w:cols w:space="720" w:num="1"/>
        </w:sectPr>
      </w:pPr>
    </w:p>
    <w:p w14:paraId="15D8A0B9">
      <w:pPr>
        <w:pStyle w:val="2"/>
        <w:spacing w:line="245" w:lineRule="auto"/>
      </w:pPr>
    </w:p>
    <w:p w14:paraId="63BA1FD6">
      <w:pPr>
        <w:pStyle w:val="2"/>
        <w:spacing w:line="245" w:lineRule="auto"/>
      </w:pPr>
    </w:p>
    <w:p w14:paraId="4B079725">
      <w:pPr>
        <w:pStyle w:val="2"/>
        <w:spacing w:line="246" w:lineRule="auto"/>
      </w:pPr>
    </w:p>
    <w:p w14:paraId="3FDCBC1C">
      <w:pPr>
        <w:spacing w:before="101" w:line="331" w:lineRule="auto"/>
        <w:ind w:firstLine="659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2.优化飘（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凸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）窗和设备平台设置要求。</w:t>
      </w:r>
      <w:r>
        <w:rPr>
          <w:rFonts w:ascii="仿宋" w:hAnsi="仿宋" w:eastAsia="仿宋" w:cs="仿宋"/>
          <w:spacing w:val="-3"/>
          <w:sz w:val="31"/>
          <w:szCs w:val="31"/>
        </w:rPr>
        <w:t>合理调</w:t>
      </w:r>
      <w:r>
        <w:rPr>
          <w:rFonts w:ascii="仿宋" w:hAnsi="仿宋" w:eastAsia="仿宋" w:cs="仿宋"/>
          <w:spacing w:val="-4"/>
          <w:sz w:val="31"/>
          <w:szCs w:val="31"/>
        </w:rPr>
        <w:t>整飘（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凸）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窗和设备平台管控要求，进一步提升住宅使用功能完整性。在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符合国家规范要求的前提下，允许飘（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凸）窗宽</w:t>
      </w:r>
      <w:r>
        <w:rPr>
          <w:rFonts w:ascii="仿宋" w:hAnsi="仿宋" w:eastAsia="仿宋" w:cs="仿宋"/>
          <w:spacing w:val="13"/>
          <w:sz w:val="31"/>
          <w:szCs w:val="31"/>
        </w:rPr>
        <w:t>度可与房间等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宽，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出挑宽度不超过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0.8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米，飘（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凸）窗可不计算建筑面积。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允许每套户型可同时设置分体式空调外机搁板和分户式中央空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调外机设备平台，水平总投影面积不大于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4.0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平方米/户的设备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平台不计入容积率和建筑面积（如超出上述规定，设备平台的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超出部分按其水平投影面积的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1/2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计算建筑面积和容积率）。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建筑物顶部有围护结构的楼梯间、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电梯机房等辅助用房，其正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投影面积不超过建筑物中间层（标准层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）正投影计容面积的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1/6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的不计算容积率指标（超过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1/6，不超过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1/4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时需计入容积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率指标，超过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1/4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时则需计入建筑层数与建筑高度）。</w:t>
      </w:r>
    </w:p>
    <w:p w14:paraId="74E7EF75">
      <w:pPr>
        <w:spacing w:before="54" w:line="329" w:lineRule="auto"/>
        <w:ind w:left="6" w:right="129" w:firstLine="66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4"/>
          <w:sz w:val="31"/>
          <w:szCs w:val="31"/>
        </w:rPr>
        <w:t>3.加强社区配套用房配置。</w:t>
      </w:r>
      <w:r>
        <w:rPr>
          <w:rFonts w:ascii="仿宋" w:hAnsi="仿宋" w:eastAsia="仿宋" w:cs="仿宋"/>
          <w:spacing w:val="14"/>
          <w:sz w:val="31"/>
          <w:szCs w:val="31"/>
        </w:rPr>
        <w:t>加强社区配套用房统筹配置和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管理利用，提升社区公共服务水平。新建项目按规定要求配建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且无偿移交属地政府的公共服务设施（含社区用房、社区日间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照料中心、托幼等</w:t>
      </w:r>
      <w:r>
        <w:rPr>
          <w:rFonts w:ascii="仿宋" w:hAnsi="仿宋" w:eastAsia="仿宋" w:cs="仿宋"/>
          <w:spacing w:val="31"/>
          <w:sz w:val="31"/>
          <w:szCs w:val="31"/>
        </w:rPr>
        <w:t>），</w:t>
      </w:r>
      <w:r>
        <w:rPr>
          <w:rFonts w:ascii="仿宋" w:hAnsi="仿宋" w:eastAsia="仿宋" w:cs="仿宋"/>
          <w:spacing w:val="16"/>
          <w:sz w:val="31"/>
          <w:szCs w:val="31"/>
        </w:rPr>
        <w:t>该部分配套设施计入建筑面积，不计入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容积率。在保证社区办公用房需求的前提下，鼓励属地政府利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用配套用房引入项目开发企业建设社区食堂、健身房、养老等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社区公共服务设施。</w:t>
      </w:r>
    </w:p>
    <w:p w14:paraId="71538940">
      <w:pPr>
        <w:spacing w:before="48" w:line="323" w:lineRule="auto"/>
        <w:ind w:left="9" w:right="94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5"/>
          <w:sz w:val="31"/>
          <w:szCs w:val="31"/>
        </w:rPr>
        <w:t>4.适用范围。</w:t>
      </w:r>
      <w:r>
        <w:rPr>
          <w:rFonts w:ascii="仿宋" w:hAnsi="仿宋" w:eastAsia="仿宋" w:cs="仿宋"/>
          <w:spacing w:val="15"/>
          <w:sz w:val="31"/>
          <w:szCs w:val="31"/>
        </w:rPr>
        <w:t>本措施出台前，县政府通过公开招拍挂出让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尚未实施（含开发小区内单栋未建设项目）的房地产开发项目，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在不突破原有规划条件的前提下，支持开发企业按以上规划管</w:t>
      </w:r>
    </w:p>
    <w:p w14:paraId="0F819669"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10" w:h="16840"/>
          <w:pgMar w:top="1431" w:right="1402" w:bottom="1349" w:left="1537" w:header="0" w:footer="1073" w:gutter="0"/>
          <w:cols w:space="720" w:num="1"/>
        </w:sectPr>
      </w:pPr>
    </w:p>
    <w:p w14:paraId="34BDBA6F">
      <w:pPr>
        <w:pStyle w:val="2"/>
        <w:spacing w:line="246" w:lineRule="auto"/>
      </w:pPr>
    </w:p>
    <w:p w14:paraId="7C902EEC">
      <w:pPr>
        <w:pStyle w:val="2"/>
        <w:spacing w:line="246" w:lineRule="auto"/>
      </w:pPr>
    </w:p>
    <w:p w14:paraId="11BF9149">
      <w:pPr>
        <w:pStyle w:val="2"/>
        <w:spacing w:line="246" w:lineRule="auto"/>
      </w:pPr>
    </w:p>
    <w:p w14:paraId="0055C444">
      <w:pPr>
        <w:spacing w:before="101" w:line="318" w:lineRule="auto"/>
        <w:ind w:left="11" w:right="2" w:hanging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理要求调整或优化规划设计并依据城乡规划法履行规划变更审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批程序。</w:t>
      </w:r>
    </w:p>
    <w:p w14:paraId="0250DFFF">
      <w:pPr>
        <w:spacing w:before="48" w:line="226" w:lineRule="auto"/>
        <w:ind w:left="6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三、容缺办理相关审批手续</w:t>
      </w:r>
    </w:p>
    <w:p w14:paraId="39CF9415">
      <w:pPr>
        <w:spacing w:before="186" w:line="329" w:lineRule="auto"/>
        <w:ind w:left="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本措施有效期内县政府公开招拍挂出让的房</w:t>
      </w:r>
      <w:r>
        <w:rPr>
          <w:rFonts w:ascii="仿宋" w:hAnsi="仿宋" w:eastAsia="仿宋" w:cs="仿宋"/>
          <w:spacing w:val="17"/>
          <w:sz w:val="31"/>
          <w:szCs w:val="31"/>
        </w:rPr>
        <w:t>地产开发项目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用地，在签订《成交确认书》和《国有建设用地使用权出让合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同》后，按合同约定缴足土地出让金总价款50</w:t>
      </w:r>
      <w:r>
        <w:rPr>
          <w:rFonts w:ascii="仿宋" w:hAnsi="仿宋" w:eastAsia="仿宋" w:cs="仿宋"/>
          <w:spacing w:val="17"/>
          <w:sz w:val="31"/>
          <w:szCs w:val="31"/>
        </w:rPr>
        <w:t>%的项目，各相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关职能部门给予容缺办理建设用地规划许可证，不高于已审定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规划总平面中计容面积50%的建设工程规划许</w:t>
      </w:r>
      <w:r>
        <w:rPr>
          <w:rFonts w:ascii="仿宋" w:hAnsi="仿宋" w:eastAsia="仿宋" w:cs="仿宋"/>
          <w:spacing w:val="17"/>
          <w:sz w:val="31"/>
          <w:szCs w:val="31"/>
        </w:rPr>
        <w:t>可证、施工许可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证等审批手续；住建部门在核发办理商品房预售许可证时，需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监督开发企业缴清全部土地出让金，否则不予办</w:t>
      </w:r>
      <w:r>
        <w:rPr>
          <w:rFonts w:ascii="仿宋" w:hAnsi="仿宋" w:eastAsia="仿宋" w:cs="仿宋"/>
          <w:spacing w:val="8"/>
          <w:sz w:val="31"/>
          <w:szCs w:val="31"/>
        </w:rPr>
        <w:t>理。</w:t>
      </w:r>
    </w:p>
    <w:p w14:paraId="46411A59">
      <w:pPr>
        <w:spacing w:before="48" w:line="228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四、优化土地供应条件</w:t>
      </w:r>
    </w:p>
    <w:p w14:paraId="47CE5CC9">
      <w:pPr>
        <w:spacing w:before="177" w:line="318" w:lineRule="auto"/>
        <w:ind w:left="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本措施有效期内县政府公开招拍挂出让的房</w:t>
      </w:r>
      <w:r>
        <w:rPr>
          <w:rFonts w:ascii="仿宋" w:hAnsi="仿宋" w:eastAsia="仿宋" w:cs="仿宋"/>
          <w:spacing w:val="17"/>
          <w:sz w:val="31"/>
          <w:szCs w:val="31"/>
        </w:rPr>
        <w:t>地产开发项目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用地，在土地挂牌条件中，可降低商业用地供应比</w:t>
      </w:r>
      <w:r>
        <w:rPr>
          <w:rFonts w:ascii="仿宋" w:hAnsi="仿宋" w:eastAsia="仿宋" w:cs="仿宋"/>
          <w:spacing w:val="8"/>
          <w:sz w:val="31"/>
          <w:szCs w:val="31"/>
        </w:rPr>
        <w:t>例。</w:t>
      </w:r>
    </w:p>
    <w:p w14:paraId="591D1EFA">
      <w:pPr>
        <w:spacing w:before="51" w:line="227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五、支持“商改住”</w:t>
      </w:r>
      <w:r>
        <w:rPr>
          <w:rFonts w:ascii="黑体" w:hAnsi="黑体" w:eastAsia="黑体" w:cs="黑体"/>
          <w:spacing w:val="-9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4"/>
          <w:sz w:val="31"/>
          <w:szCs w:val="31"/>
        </w:rPr>
        <w:t>、住宅“小改大”</w:t>
      </w:r>
    </w:p>
    <w:p w14:paraId="7A508116">
      <w:pPr>
        <w:spacing w:before="176" w:line="328" w:lineRule="auto"/>
        <w:ind w:right="2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1.对已完成项目规划总平面图审批且未开工建设的房地产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开发项目（含开发小区内单栋未建设项目</w:t>
      </w:r>
      <w:r>
        <w:rPr>
          <w:rFonts w:ascii="仿宋" w:hAnsi="仿宋" w:eastAsia="仿宋" w:cs="仿宋"/>
          <w:spacing w:val="6"/>
          <w:sz w:val="31"/>
          <w:szCs w:val="31"/>
        </w:rPr>
        <w:t>），</w:t>
      </w:r>
      <w:r>
        <w:rPr>
          <w:rFonts w:ascii="仿宋" w:hAnsi="仿宋" w:eastAsia="仿宋" w:cs="仿宋"/>
          <w:spacing w:val="18"/>
          <w:sz w:val="31"/>
          <w:szCs w:val="31"/>
        </w:rPr>
        <w:t>在保证容积率不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突破和满足其他建设规划条件的情况下，支持开发企业适应市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场需求，按规划审批程序将住宅小户型调整变更为大户型，商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业用房调整变更为住宅用房。</w:t>
      </w:r>
    </w:p>
    <w:p w14:paraId="65F6F732">
      <w:pPr>
        <w:spacing w:before="52" w:line="323" w:lineRule="auto"/>
        <w:ind w:left="2" w:right="2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2.对已开发建成，商业用房销售困难的项目，在满足房屋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质量安全、消防安全和住宅设计建设规范等条件的前提下，支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持开发企业将商业用房调整变更为住宅用房。单个项目商业用</w:t>
      </w:r>
    </w:p>
    <w:p w14:paraId="3F55728E">
      <w:pPr>
        <w:spacing w:line="323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10" w:h="16840"/>
          <w:pgMar w:top="1431" w:right="1530" w:bottom="1344" w:left="1542" w:header="0" w:footer="1073" w:gutter="0"/>
          <w:cols w:space="720" w:num="1"/>
        </w:sectPr>
      </w:pPr>
    </w:p>
    <w:p w14:paraId="35713DDB">
      <w:pPr>
        <w:pStyle w:val="2"/>
        <w:spacing w:line="245" w:lineRule="auto"/>
      </w:pPr>
    </w:p>
    <w:p w14:paraId="18B88F0C">
      <w:pPr>
        <w:pStyle w:val="2"/>
        <w:spacing w:line="245" w:lineRule="auto"/>
      </w:pPr>
    </w:p>
    <w:p w14:paraId="633CE4AF">
      <w:pPr>
        <w:pStyle w:val="2"/>
        <w:spacing w:line="246" w:lineRule="auto"/>
      </w:pPr>
    </w:p>
    <w:p w14:paraId="286304A4">
      <w:pPr>
        <w:spacing w:before="101" w:line="319" w:lineRule="auto"/>
        <w:ind w:left="62" w:right="49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房调整变更为住宅用房的，调整的商业用房面积不</w:t>
      </w:r>
      <w:r>
        <w:rPr>
          <w:rFonts w:ascii="仿宋" w:hAnsi="仿宋" w:eastAsia="仿宋" w:cs="仿宋"/>
          <w:spacing w:val="16"/>
          <w:sz w:val="31"/>
          <w:szCs w:val="31"/>
        </w:rPr>
        <w:t>得高于原审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批商业用房总面积的50%。</w:t>
      </w:r>
    </w:p>
    <w:p w14:paraId="0EF07137">
      <w:pPr>
        <w:spacing w:before="46" w:line="324" w:lineRule="auto"/>
        <w:ind w:left="59" w:right="47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因调整变更导致商业用房总计容建筑面积减少的，县人民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政府不承担因商业用房面积减少造成的土地出让金价值</w:t>
      </w:r>
      <w:r>
        <w:rPr>
          <w:rFonts w:ascii="仿宋" w:hAnsi="仿宋" w:eastAsia="仿宋" w:cs="仿宋"/>
          <w:spacing w:val="16"/>
          <w:sz w:val="31"/>
          <w:szCs w:val="31"/>
        </w:rPr>
        <w:t>及项目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开发收益等减少的补偿责任。</w:t>
      </w:r>
    </w:p>
    <w:p w14:paraId="11560B05">
      <w:pPr>
        <w:spacing w:before="48" w:line="225" w:lineRule="auto"/>
        <w:ind w:left="7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六、执行水、电、燃气“三同时”制度</w:t>
      </w:r>
    </w:p>
    <w:p w14:paraId="1ECFE065">
      <w:pPr>
        <w:spacing w:before="191" w:line="329" w:lineRule="auto"/>
        <w:ind w:left="50" w:right="14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为充分保障购房户的用水、用电、用气安全稳定问题，新</w:t>
      </w:r>
      <w:r>
        <w:rPr>
          <w:rFonts w:ascii="仿宋" w:hAnsi="仿宋" w:eastAsia="仿宋" w:cs="仿宋"/>
          <w:spacing w:val="14"/>
          <w:sz w:val="31"/>
          <w:szCs w:val="31"/>
        </w:rPr>
        <w:t>建或调整优化建设的房地产项目，以及正在建设尚未竣工验收交付使用的项目，需执行水、电、燃气与主体工程同时规划设</w:t>
      </w:r>
      <w:r>
        <w:rPr>
          <w:rFonts w:ascii="仿宋" w:hAnsi="仿宋" w:eastAsia="仿宋" w:cs="仿宋"/>
          <w:spacing w:val="8"/>
          <w:sz w:val="31"/>
          <w:szCs w:val="31"/>
        </w:rPr>
        <w:t>计、同时施工、同时竣工验收“三同时”制度，房屋交付时自</w:t>
      </w:r>
      <w:r>
        <w:rPr>
          <w:rFonts w:ascii="仿宋" w:hAnsi="仿宋" w:eastAsia="仿宋" w:cs="仿宋"/>
          <w:spacing w:val="4"/>
          <w:sz w:val="31"/>
          <w:szCs w:val="31"/>
        </w:rPr>
        <w:t>来水、居民用电必须达到自来水公司、电力公司直供抄表到户，</w:t>
      </w:r>
      <w:r>
        <w:rPr>
          <w:rFonts w:ascii="仿宋" w:hAnsi="仿宋" w:eastAsia="仿宋" w:cs="仿宋"/>
          <w:spacing w:val="17"/>
          <w:sz w:val="31"/>
          <w:szCs w:val="31"/>
        </w:rPr>
        <w:t>燃气管道建设到户的条件。县自来水公司、县电力公司、管道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bookmarkStart w:id="0" w:name="_GoBack"/>
      <w:bookmarkEnd w:id="0"/>
      <w:r>
        <w:rPr>
          <w:rFonts w:ascii="仿宋" w:hAnsi="仿宋" w:eastAsia="仿宋" w:cs="仿宋"/>
          <w:spacing w:val="17"/>
          <w:sz w:val="31"/>
          <w:szCs w:val="31"/>
        </w:rPr>
        <w:t>燃气公司按照行业分工，参与项目规划图、施工图审查，建设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过程监管指导，竣工验收、设备设施移交接收等工作。</w:t>
      </w:r>
    </w:p>
    <w:p w14:paraId="3FBE759F">
      <w:pPr>
        <w:spacing w:before="51" w:line="227" w:lineRule="auto"/>
        <w:ind w:left="6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七、附则</w:t>
      </w:r>
    </w:p>
    <w:p w14:paraId="46F3E2B4">
      <w:pPr>
        <w:spacing w:before="180" w:line="319" w:lineRule="auto"/>
        <w:ind w:left="60" w:right="47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本措施自公布之日起施行，有效期两年，国家另有规定的</w:t>
      </w:r>
      <w:r>
        <w:rPr>
          <w:rFonts w:ascii="仿宋" w:hAnsi="仿宋" w:eastAsia="仿宋" w:cs="仿宋"/>
          <w:spacing w:val="3"/>
          <w:sz w:val="31"/>
          <w:szCs w:val="31"/>
        </w:rPr>
        <w:t>从其规定。</w:t>
      </w:r>
    </w:p>
    <w:p w14:paraId="527F52E3">
      <w:pPr>
        <w:pStyle w:val="2"/>
        <w:spacing w:line="274" w:lineRule="auto"/>
      </w:pPr>
    </w:p>
    <w:p w14:paraId="310853C1">
      <w:pPr>
        <w:pStyle w:val="2"/>
        <w:spacing w:line="274" w:lineRule="auto"/>
      </w:pPr>
    </w:p>
    <w:p w14:paraId="1014E96F">
      <w:pPr>
        <w:pStyle w:val="2"/>
        <w:spacing w:line="274" w:lineRule="auto"/>
      </w:pPr>
    </w:p>
    <w:p w14:paraId="5FAE88D0">
      <w:pPr>
        <w:pStyle w:val="2"/>
        <w:spacing w:line="275" w:lineRule="auto"/>
      </w:pPr>
    </w:p>
    <w:p w14:paraId="7B7C1CE9">
      <w:pPr>
        <w:pStyle w:val="2"/>
        <w:spacing w:line="275" w:lineRule="auto"/>
      </w:pPr>
    </w:p>
    <w:p w14:paraId="5E6D9169">
      <w:pPr>
        <w:spacing w:before="101" w:line="222" w:lineRule="auto"/>
        <w:ind w:left="3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公开方式:主动公开</w:t>
      </w:r>
    </w:p>
    <w:p w14:paraId="0B6D5D64">
      <w:pPr>
        <w:spacing w:line="67" w:lineRule="exact"/>
      </w:pPr>
    </w:p>
    <w:tbl>
      <w:tblPr>
        <w:tblStyle w:val="5"/>
        <w:tblW w:w="893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3"/>
        <w:gridCol w:w="4232"/>
      </w:tblGrid>
      <w:tr w14:paraId="520F245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4703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 w14:paraId="33FB50F4">
            <w:pPr>
              <w:spacing w:line="267" w:lineRule="auto"/>
              <w:rPr>
                <w:rFonts w:ascii="Arial"/>
                <w:sz w:val="21"/>
              </w:rPr>
            </w:pPr>
          </w:p>
          <w:p w14:paraId="1CCE7C78">
            <w:pPr>
              <w:spacing w:before="101" w:line="223" w:lineRule="auto"/>
              <w:ind w:left="375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8"/>
                <w:sz w:val="31"/>
                <w:szCs w:val="31"/>
              </w:rPr>
              <w:t>道县自然资源局办公室</w:t>
            </w:r>
          </w:p>
        </w:tc>
        <w:tc>
          <w:tcPr>
            <w:tcW w:w="4232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 w14:paraId="2E5F8646">
            <w:pPr>
              <w:spacing w:line="267" w:lineRule="auto"/>
              <w:rPr>
                <w:rFonts w:ascii="Arial"/>
                <w:sz w:val="21"/>
              </w:rPr>
            </w:pPr>
          </w:p>
          <w:p w14:paraId="619C5B12">
            <w:pPr>
              <w:spacing w:before="100" w:line="222" w:lineRule="auto"/>
              <w:ind w:left="1282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2025年4月25</w:t>
            </w:r>
            <w:r>
              <w:rPr>
                <w:rFonts w:ascii="仿宋" w:hAnsi="仿宋" w:eastAsia="仿宋" w:cs="仿宋"/>
                <w:spacing w:val="-7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31"/>
                <w:szCs w:val="31"/>
              </w:rPr>
              <w:t>日印发</w:t>
            </w:r>
          </w:p>
        </w:tc>
      </w:tr>
    </w:tbl>
    <w:p w14:paraId="0B2F0F50">
      <w:pPr>
        <w:pStyle w:val="2"/>
      </w:pPr>
    </w:p>
    <w:sectPr>
      <w:footerReference r:id="rId10" w:type="default"/>
      <w:pgSz w:w="11910" w:h="16840"/>
      <w:pgMar w:top="1431" w:right="1483" w:bottom="1349" w:left="1491" w:header="0" w:footer="10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DADA8">
    <w:pPr>
      <w:spacing w:line="175" w:lineRule="auto"/>
      <w:ind w:right="3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4"/>
        <w:sz w:val="28"/>
        <w:szCs w:val="28"/>
      </w:rPr>
      <w:t>-</w:t>
    </w:r>
    <w:r>
      <w:rPr>
        <w:rFonts w:ascii="仿宋" w:hAnsi="仿宋" w:eastAsia="仿宋" w:cs="仿宋"/>
        <w:spacing w:val="31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sz w:val="28"/>
        <w:szCs w:val="28"/>
      </w:rPr>
      <w:t>3</w:t>
    </w:r>
    <w:r>
      <w:rPr>
        <w:rFonts w:ascii="仿宋" w:hAnsi="仿宋" w:eastAsia="仿宋" w:cs="仿宋"/>
        <w:spacing w:val="9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CAFE5">
    <w:pPr>
      <w:spacing w:line="173" w:lineRule="auto"/>
      <w:ind w:left="7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0"/>
        <w:sz w:val="28"/>
        <w:szCs w:val="28"/>
      </w:rPr>
      <w:t>-</w:t>
    </w:r>
    <w:r>
      <w:rPr>
        <w:rFonts w:ascii="仿宋" w:hAnsi="仿宋" w:eastAsia="仿宋" w:cs="仿宋"/>
        <w:spacing w:val="21"/>
        <w:sz w:val="28"/>
        <w:szCs w:val="28"/>
      </w:rPr>
      <w:t xml:space="preserve"> </w:t>
    </w:r>
    <w:r>
      <w:rPr>
        <w:rFonts w:ascii="仿宋" w:hAnsi="仿宋" w:eastAsia="仿宋" w:cs="仿宋"/>
        <w:spacing w:val="-10"/>
        <w:sz w:val="28"/>
        <w:szCs w:val="28"/>
      </w:rPr>
      <w:t>4</w:t>
    </w:r>
    <w:r>
      <w:rPr>
        <w:rFonts w:ascii="仿宋" w:hAnsi="仿宋" w:eastAsia="仿宋" w:cs="仿宋"/>
        <w:spacing w:val="7"/>
        <w:sz w:val="28"/>
        <w:szCs w:val="28"/>
      </w:rPr>
      <w:t xml:space="preserve"> </w:t>
    </w:r>
    <w:r>
      <w:rPr>
        <w:rFonts w:ascii="仿宋" w:hAnsi="仿宋" w:eastAsia="仿宋" w:cs="仿宋"/>
        <w:spacing w:val="-10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47A42">
    <w:pPr>
      <w:spacing w:before="1" w:line="171" w:lineRule="auto"/>
      <w:ind w:right="30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2"/>
        <w:sz w:val="28"/>
        <w:szCs w:val="28"/>
      </w:rPr>
      <w:t>-</w:t>
    </w:r>
    <w:r>
      <w:rPr>
        <w:rFonts w:ascii="仿宋" w:hAnsi="仿宋" w:eastAsia="仿宋" w:cs="仿宋"/>
        <w:spacing w:val="25"/>
        <w:sz w:val="28"/>
        <w:szCs w:val="28"/>
      </w:rPr>
      <w:t xml:space="preserve"> </w:t>
    </w:r>
    <w:r>
      <w:rPr>
        <w:rFonts w:ascii="仿宋" w:hAnsi="仿宋" w:eastAsia="仿宋" w:cs="仿宋"/>
        <w:spacing w:val="-12"/>
        <w:sz w:val="28"/>
        <w:szCs w:val="28"/>
      </w:rPr>
      <w:t>5</w:t>
    </w:r>
    <w:r>
      <w:rPr>
        <w:rFonts w:ascii="仿宋" w:hAnsi="仿宋" w:eastAsia="仿宋" w:cs="仿宋"/>
        <w:spacing w:val="9"/>
        <w:sz w:val="28"/>
        <w:szCs w:val="28"/>
      </w:rPr>
      <w:t xml:space="preserve"> </w:t>
    </w:r>
    <w:r>
      <w:rPr>
        <w:rFonts w:ascii="仿宋" w:hAnsi="仿宋" w:eastAsia="仿宋" w:cs="仿宋"/>
        <w:spacing w:val="-12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6A46C">
    <w:pPr>
      <w:spacing w:line="175" w:lineRule="auto"/>
      <w:ind w:left="7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1"/>
        <w:sz w:val="28"/>
        <w:szCs w:val="28"/>
      </w:rPr>
      <w:t>-</w:t>
    </w:r>
    <w:r>
      <w:rPr>
        <w:rFonts w:ascii="仿宋" w:hAnsi="仿宋" w:eastAsia="仿宋" w:cs="仿宋"/>
        <w:spacing w:val="24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6</w:t>
    </w:r>
    <w:r>
      <w:rPr>
        <w:rFonts w:ascii="仿宋" w:hAnsi="仿宋" w:eastAsia="仿宋" w:cs="仿宋"/>
        <w:spacing w:val="7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21475">
    <w:pPr>
      <w:spacing w:before="1" w:line="171" w:lineRule="auto"/>
      <w:jc w:val="right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6"/>
        <w:sz w:val="28"/>
        <w:szCs w:val="28"/>
      </w:rPr>
      <w:t>-</w:t>
    </w:r>
    <w:r>
      <w:rPr>
        <w:rFonts w:ascii="仿宋" w:hAnsi="仿宋" w:eastAsia="仿宋" w:cs="仿宋"/>
        <w:spacing w:val="22"/>
        <w:sz w:val="28"/>
        <w:szCs w:val="28"/>
      </w:rPr>
      <w:t xml:space="preserve"> </w:t>
    </w:r>
    <w:r>
      <w:rPr>
        <w:rFonts w:ascii="仿宋" w:hAnsi="仿宋" w:eastAsia="仿宋" w:cs="仿宋"/>
        <w:spacing w:val="-15"/>
        <w:sz w:val="28"/>
        <w:szCs w:val="28"/>
      </w:rPr>
      <w:t>7</w:t>
    </w:r>
    <w:r>
      <w:rPr>
        <w:rFonts w:ascii="仿宋" w:hAnsi="仿宋" w:eastAsia="仿宋" w:cs="仿宋"/>
        <w:spacing w:val="9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A8960">
    <w:pPr>
      <w:spacing w:line="175" w:lineRule="auto"/>
      <w:ind w:left="53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1"/>
        <w:sz w:val="28"/>
        <w:szCs w:val="28"/>
      </w:rPr>
      <w:t>-</w:t>
    </w:r>
    <w:r>
      <w:rPr>
        <w:rFonts w:ascii="仿宋" w:hAnsi="仿宋" w:eastAsia="仿宋" w:cs="仿宋"/>
        <w:spacing w:val="24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8</w:t>
    </w:r>
    <w:r>
      <w:rPr>
        <w:rFonts w:ascii="仿宋" w:hAnsi="仿宋" w:eastAsia="仿宋" w:cs="仿宋"/>
        <w:spacing w:val="7"/>
        <w:sz w:val="28"/>
        <w:szCs w:val="28"/>
      </w:rPr>
      <w:t xml:space="preserve"> </w:t>
    </w:r>
    <w:r>
      <w:rPr>
        <w:rFonts w:ascii="仿宋" w:hAnsi="仿宋" w:eastAsia="仿宋" w:cs="仿宋"/>
        <w:spacing w:val="-11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00C2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3111</Words>
  <Characters>3222</Characters>
  <TotalTime>5</TotalTime>
  <ScaleCrop>false</ScaleCrop>
  <LinksUpToDate>false</LinksUpToDate>
  <CharactersWithSpaces>3421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2025-05-07T09:52:00Z</dcterms:created>
  <dc:creator>Administrator</dc:creator>
  <cp:lastModifiedBy>诗两行</cp:lastModifiedBy>
  <dcterms:modified xsi:type="dcterms:W3CDTF">2025-05-07T01:59:53Z</dcterms:modified>
  <dc:title>道田长办发〔2023〕9号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2025-05-07T09:53:46Z</vt:filetime>
  </property>
  <property fmtid="{D5CDD505-2E9C-101B-9397-08002B2CF9AE}" pid="4" name="KSOTemplateDocerSaveRecord">
    <vt:lpwstr>eyJoZGlkIjoiMzM3ZDg2ODFjOWMwOTYyY2FjNTIyYTYyMmY5MGVmNzAiLCJ1c2VySWQiOiI2NDEyMTA3OTkifQ==</vt:lpwstr>
  </property>
  <property fmtid="{D5CDD505-2E9C-101B-9397-08002B2CF9AE}" pid="5" name="KSOProductBuildVer">
    <vt:lpwstr>2052-12.1.0.20784</vt:lpwstr>
  </property>
  <property fmtid="{D5CDD505-2E9C-101B-9397-08002B2CF9AE}" pid="6" name="ICV">
    <vt:lpwstr>12F8BF2BA10F4DF99E3980798D1C8789_12</vt:lpwstr>
  </property>
</Properties>
</file>