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sz w:val="44"/>
          <w:szCs w:val="44"/>
        </w:rPr>
      </w:pPr>
      <w:r>
        <w:rPr>
          <w:rFonts w:hint="eastAsia"/>
          <w:sz w:val="44"/>
          <w:szCs w:val="44"/>
        </w:rPr>
        <w:t>道县公安局交警大队</w:t>
      </w:r>
    </w:p>
    <w:p>
      <w:pPr>
        <w:spacing w:line="600" w:lineRule="exact"/>
        <w:jc w:val="center"/>
        <w:rPr>
          <w:sz w:val="44"/>
          <w:szCs w:val="44"/>
        </w:rPr>
      </w:pPr>
      <w:r>
        <w:rPr>
          <w:rFonts w:hint="eastAsia"/>
          <w:sz w:val="44"/>
          <w:szCs w:val="44"/>
        </w:rPr>
        <w:t>关于《关于启用</w:t>
      </w:r>
      <w:r>
        <w:rPr>
          <w:rFonts w:hint="eastAsia"/>
          <w:sz w:val="44"/>
          <w:szCs w:val="44"/>
          <w:lang w:val="en-US" w:eastAsia="zh-CN"/>
        </w:rPr>
        <w:t>城东液化气站路口</w:t>
      </w:r>
      <w:r>
        <w:rPr>
          <w:rFonts w:hint="eastAsia"/>
          <w:sz w:val="44"/>
          <w:szCs w:val="44"/>
        </w:rPr>
        <w:t>电子警察抓拍设备的</w:t>
      </w:r>
      <w:r>
        <w:rPr>
          <w:rFonts w:hint="eastAsia"/>
          <w:sz w:val="44"/>
          <w:szCs w:val="44"/>
          <w:lang w:eastAsia="zh-CN"/>
        </w:rPr>
        <w:t>通</w:t>
      </w:r>
      <w:r>
        <w:rPr>
          <w:rFonts w:hint="eastAsia"/>
          <w:sz w:val="44"/>
          <w:szCs w:val="44"/>
        </w:rPr>
        <w:t>告》的政策解读</w:t>
      </w:r>
    </w:p>
    <w:p>
      <w:pPr>
        <w:spacing w:line="680" w:lineRule="exact"/>
        <w:ind w:firstLine="640" w:firstLineChars="200"/>
        <w:rPr>
          <w:rFonts w:ascii="宋体" w:cs="宋体"/>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rPr>
        <w:t>一、起草背景</w:t>
      </w:r>
    </w:p>
    <w:p>
      <w:pPr>
        <w:numPr>
          <w:numId w:val="0"/>
        </w:numPr>
        <w:spacing w:line="6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道路交通秩序，有效预防和减少道路交通事故，营造良好的交通环境，根据《中华人民共和国道路交通安全法》和《中华人民共和国道路交通安全法实施条例》等法律法规规定，我大队起草了《关于启用</w:t>
      </w:r>
      <w:r>
        <w:rPr>
          <w:rFonts w:hint="eastAsia" w:ascii="仿宋_GB2312" w:hAnsi="仿宋_GB2312" w:eastAsia="仿宋_GB2312" w:cs="仿宋_GB2312"/>
          <w:sz w:val="32"/>
          <w:szCs w:val="32"/>
          <w:lang w:val="en-US" w:eastAsia="zh-CN"/>
        </w:rPr>
        <w:t>城东液化气站路口</w:t>
      </w:r>
      <w:r>
        <w:rPr>
          <w:rFonts w:hint="eastAsia" w:ascii="仿宋_GB2312" w:hAnsi="仿宋_GB2312" w:eastAsia="仿宋_GB2312" w:cs="仿宋_GB2312"/>
          <w:sz w:val="32"/>
          <w:szCs w:val="32"/>
        </w:rPr>
        <w:t>电子警察抓拍设备的</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告》。</w:t>
      </w:r>
    </w:p>
    <w:p>
      <w:pPr>
        <w:numPr>
          <w:numId w:val="0"/>
        </w:numPr>
        <w:spacing w:line="680" w:lineRule="exact"/>
        <w:ind w:firstLine="640" w:firstLineChars="200"/>
        <w:rPr>
          <w:rFonts w:hint="eastAsia" w:ascii="仿宋_GB2312" w:hAnsi="仿宋_GB2312" w:eastAsia="仿宋_GB2312" w:cs="仿宋_GB2312"/>
          <w:sz w:val="32"/>
          <w:szCs w:val="32"/>
        </w:rPr>
      </w:pPr>
    </w:p>
    <w:p>
      <w:pPr>
        <w:spacing w:line="600" w:lineRule="exact"/>
        <w:ind w:firstLine="630"/>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二、抓拍交通违法行为</w:t>
      </w:r>
    </w:p>
    <w:p>
      <w:pPr>
        <w:numPr>
          <w:ilvl w:val="0"/>
          <w:numId w:val="1"/>
        </w:numPr>
        <w:spacing w:line="60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驾驶机动车不按交通信号灯指示通行的</w:t>
      </w:r>
    </w:p>
    <w:p>
      <w:pPr>
        <w:numPr>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2、驾驶机动车通过有灯控路口时，不按所需行进方向驶入导向车道的</w:t>
      </w:r>
    </w:p>
    <w:p>
      <w:pPr>
        <w:numPr>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3、驾驶机动车违反禁止标线指示的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4、驾驶机动车在高速公路、城市快速路以外的道路上逆向行驶的</w:t>
      </w:r>
    </w:p>
    <w:p>
      <w:pPr>
        <w:numPr>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5、驾驶机动车在高速公路以外的道路上行驶时，驾驶人未按规定使用安全带的</w:t>
      </w:r>
    </w:p>
    <w:p>
      <w:pPr>
        <w:numPr>
          <w:numId w:val="0"/>
        </w:num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6、驾驶时拨打接听手持电话的</w:t>
      </w:r>
    </w:p>
    <w:p>
      <w:pPr>
        <w:numPr>
          <w:numId w:val="0"/>
        </w:numPr>
        <w:spacing w:line="600" w:lineRule="exact"/>
        <w:ind w:firstLine="640" w:firstLineChars="200"/>
        <w:rPr>
          <w:rFonts w:hint="eastAsia" w:ascii="仿宋_GB2312" w:hAnsi="仿宋_GB2312" w:eastAsia="仿宋_GB2312" w:cs="仿宋_GB2312"/>
          <w:sz w:val="32"/>
          <w:szCs w:val="32"/>
          <w:lang w:val="en-US" w:eastAsia="zh-CN"/>
        </w:rPr>
      </w:pPr>
    </w:p>
    <w:p>
      <w:pPr>
        <w:spacing w:line="6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新增</w:t>
      </w:r>
      <w:r>
        <w:rPr>
          <w:rFonts w:hint="eastAsia" w:ascii="黑体" w:hAnsi="黑体" w:eastAsia="黑体" w:cs="黑体"/>
          <w:sz w:val="32"/>
          <w:szCs w:val="32"/>
        </w:rPr>
        <w:t>“电子警察”设施位置</w:t>
      </w:r>
    </w:p>
    <w:tbl>
      <w:tblPr>
        <w:tblW w:w="9060" w:type="dxa"/>
        <w:tblInd w:w="1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72"/>
        <w:gridCol w:w="8488"/>
      </w:tblGrid>
      <w:tr>
        <w:trPr>
          <w:trHeight w:val="776" w:hRule="atLeast"/>
        </w:trPr>
        <w:tc>
          <w:tcPr>
            <w:tcW w:w="572"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8"/>
                <w:szCs w:val="28"/>
              </w:rPr>
            </w:pPr>
            <w:r>
              <w:rPr>
                <w:rFonts w:hint="eastAsia" w:ascii="宋体" w:hAnsi="宋体" w:cs="宋体"/>
                <w:color w:val="000000"/>
                <w:kern w:val="0"/>
                <w:sz w:val="28"/>
                <w:szCs w:val="28"/>
              </w:rPr>
              <w:t>1</w:t>
            </w:r>
          </w:p>
        </w:tc>
        <w:tc>
          <w:tcPr>
            <w:tcW w:w="8488"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lang w:eastAsia="zh-CN"/>
              </w:rPr>
            </w:pPr>
            <w:r>
              <w:rPr>
                <w:rFonts w:hint="eastAsia" w:ascii="宋体" w:hAnsi="宋体" w:cs="宋体"/>
                <w:color w:val="000000"/>
                <w:sz w:val="28"/>
                <w:szCs w:val="28"/>
              </w:rPr>
              <w:t>道县</w:t>
            </w:r>
            <w:r>
              <w:rPr>
                <w:rFonts w:hint="eastAsia" w:ascii="宋体" w:hAnsi="宋体" w:cs="宋体"/>
                <w:color w:val="000000"/>
                <w:sz w:val="28"/>
                <w:szCs w:val="28"/>
                <w:lang w:val="en-US" w:eastAsia="zh-CN"/>
              </w:rPr>
              <w:t>月岩东路 上坦线路口（城东液化气站路口）</w:t>
            </w:r>
          </w:p>
        </w:tc>
      </w:tr>
    </w:tbl>
    <w:p>
      <w:pPr>
        <w:rPr>
          <w:rStyle w:val="7"/>
          <w:rFonts w:hint="eastAsia" w:ascii="仿宋_GB2312" w:hAnsi="仿宋_GB2312" w:eastAsia="仿宋_GB2312" w:cs="仿宋_GB2312"/>
          <w:b w:val="0"/>
          <w:color w:val="000000"/>
          <w:sz w:val="32"/>
          <w:szCs w:val="32"/>
          <w:lang w:val="en-US" w:eastAsia="zh-CN"/>
        </w:rPr>
      </w:pPr>
      <w:r>
        <w:rPr>
          <w:rStyle w:val="7"/>
          <w:rFonts w:hint="eastAsia" w:ascii="仿宋_GB2312" w:hAnsi="仿宋_GB2312" w:eastAsia="仿宋_GB2312" w:cs="仿宋_GB2312"/>
          <w:b w:val="0"/>
          <w:color w:val="000000"/>
          <w:sz w:val="32"/>
          <w:szCs w:val="32"/>
          <w:lang w:val="en-US" w:eastAsia="zh-CN"/>
        </w:rPr>
        <w:t xml:space="preserve">    </w:t>
      </w:r>
    </w:p>
    <w:p>
      <w:pPr>
        <w:rPr>
          <w:rStyle w:val="7"/>
          <w:rFonts w:hint="eastAsia" w:ascii="仿宋_GB2312" w:hAnsi="仿宋_GB2312" w:eastAsia="仿宋_GB2312" w:cs="仿宋_GB2312"/>
          <w:b w:val="0"/>
          <w:color w:val="000000"/>
          <w:sz w:val="32"/>
          <w:szCs w:val="32"/>
          <w:lang w:eastAsia="zh-CN"/>
        </w:rPr>
      </w:pPr>
      <w:r>
        <w:rPr>
          <w:rStyle w:val="7"/>
          <w:rFonts w:hint="eastAsia" w:ascii="仿宋_GB2312" w:hAnsi="仿宋_GB2312" w:eastAsia="仿宋_GB2312" w:cs="仿宋_GB2312"/>
          <w:b w:val="0"/>
          <w:color w:val="000000"/>
          <w:sz w:val="32"/>
          <w:szCs w:val="32"/>
          <w:lang w:val="en-US" w:eastAsia="zh-CN"/>
        </w:rPr>
        <w:t xml:space="preserve">    </w:t>
      </w:r>
      <w:r>
        <w:rPr>
          <w:rFonts w:hint="eastAsia" w:ascii="黑体" w:hAnsi="黑体" w:eastAsia="黑体" w:cs="黑体"/>
          <w:sz w:val="32"/>
          <w:szCs w:val="32"/>
          <w:lang w:val="en-US" w:eastAsia="zh-CN"/>
        </w:rPr>
        <w:t>四、相关规定</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上述抓拍影响交通安全违法行为的电子监控</w:t>
      </w:r>
      <w:r>
        <w:rPr>
          <w:rFonts w:hint="eastAsia" w:ascii="仿宋_GB2312" w:hAnsi="仿宋_GB2312" w:eastAsia="仿宋_GB2312" w:cs="仿宋_GB2312"/>
          <w:sz w:val="32"/>
          <w:szCs w:val="32"/>
          <w:lang w:val="en-US" w:eastAsia="zh-CN"/>
        </w:rPr>
        <w:t>取证</w:t>
      </w:r>
      <w:r>
        <w:rPr>
          <w:rFonts w:hint="eastAsia" w:ascii="仿宋_GB2312" w:hAnsi="仿宋_GB2312" w:eastAsia="仿宋_GB2312" w:cs="仿宋_GB2312"/>
          <w:sz w:val="32"/>
          <w:szCs w:val="32"/>
        </w:rPr>
        <w:t>设备于202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日零时启用。根据电子监控</w:t>
      </w:r>
      <w:r>
        <w:rPr>
          <w:rFonts w:hint="eastAsia" w:ascii="仿宋_GB2312" w:hAnsi="仿宋_GB2312" w:eastAsia="仿宋_GB2312" w:cs="仿宋_GB2312"/>
          <w:sz w:val="32"/>
          <w:szCs w:val="32"/>
          <w:lang w:val="en-US" w:eastAsia="zh-CN"/>
        </w:rPr>
        <w:t>取证</w:t>
      </w:r>
      <w:r>
        <w:rPr>
          <w:rFonts w:hint="eastAsia" w:ascii="仿宋_GB2312" w:hAnsi="仿宋_GB2312" w:eastAsia="仿宋_GB2312" w:cs="仿宋_GB2312"/>
          <w:sz w:val="32"/>
          <w:szCs w:val="32"/>
        </w:rPr>
        <w:t>抓拍记录，上述位置凡有相关机动车违法行为的，我大队将按照《中华人民共和国道路交通安全法》和《机动车驾驶证申领和使用规定》对驾驶员处以记分、罚款。</w:t>
      </w:r>
    </w:p>
    <w:p>
      <w:pPr>
        <w:spacing w:line="600" w:lineRule="exact"/>
        <w:ind w:firstLine="640" w:firstLineChars="200"/>
        <w:rPr>
          <w:rFonts w:hint="eastAsia" w:ascii="仿宋_GB2312" w:hAnsi="仿宋_GB2312" w:eastAsia="仿宋_GB2312" w:cs="仿宋_GB2312"/>
          <w:sz w:val="32"/>
          <w:szCs w:val="32"/>
        </w:rPr>
      </w:pP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、起草依据</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为做好交通安全管理工作，更好地防事故、保安全、保畅通，我大队指派相关业务股室和辖区中队民警深入上述电子警察抓拍地进行实地勘查，并依据《中华人民共和国道路交通安全法》第</w:t>
      </w:r>
      <w:r>
        <w:rPr>
          <w:rFonts w:hint="eastAsia" w:ascii="仿宋_GB2312" w:hAnsi="仿宋_GB2312" w:eastAsia="仿宋_GB2312" w:cs="仿宋_GB2312"/>
          <w:sz w:val="32"/>
          <w:szCs w:val="32"/>
          <w:lang w:eastAsia="zh-CN"/>
        </w:rPr>
        <w:t>九十</w:t>
      </w:r>
      <w:r>
        <w:rPr>
          <w:rFonts w:hint="eastAsia" w:ascii="仿宋_GB2312" w:hAnsi="仿宋_GB2312" w:eastAsia="仿宋_GB2312" w:cs="仿宋_GB2312"/>
          <w:sz w:val="32"/>
          <w:szCs w:val="32"/>
        </w:rPr>
        <w:t>条的相关要求，召开专题会议，讨论和通过《关于启用</w:t>
      </w:r>
      <w:r>
        <w:rPr>
          <w:rFonts w:hint="eastAsia" w:ascii="仿宋_GB2312" w:hAnsi="仿宋_GB2312" w:eastAsia="仿宋_GB2312" w:cs="仿宋_GB2312"/>
          <w:sz w:val="32"/>
          <w:szCs w:val="32"/>
          <w:lang w:val="en-US" w:eastAsia="zh-CN"/>
        </w:rPr>
        <w:t>城东液化气站路口</w:t>
      </w:r>
      <w:r>
        <w:rPr>
          <w:rFonts w:hint="eastAsia" w:ascii="仿宋_GB2312" w:hAnsi="仿宋_GB2312" w:eastAsia="仿宋_GB2312" w:cs="仿宋_GB2312"/>
          <w:sz w:val="32"/>
          <w:szCs w:val="32"/>
        </w:rPr>
        <w:t>电子警察抓拍设备的</w:t>
      </w:r>
      <w:r>
        <w:rPr>
          <w:rFonts w:hint="eastAsia" w:ascii="仿宋_GB2312" w:hAnsi="仿宋_GB2312" w:eastAsia="仿宋_GB2312" w:cs="仿宋_GB2312"/>
          <w:sz w:val="32"/>
          <w:szCs w:val="32"/>
          <w:lang w:eastAsia="zh-CN"/>
        </w:rPr>
        <w:t>通</w:t>
      </w:r>
      <w:r>
        <w:rPr>
          <w:rFonts w:hint="eastAsia" w:ascii="仿宋_GB2312" w:hAnsi="仿宋_GB2312" w:eastAsia="仿宋_GB2312" w:cs="仿宋_GB2312"/>
          <w:sz w:val="32"/>
          <w:szCs w:val="32"/>
        </w:rPr>
        <w:t>告》。</w:t>
      </w:r>
    </w:p>
    <w:p>
      <w:pPr>
        <w:spacing w:line="600" w:lineRule="exact"/>
        <w:ind w:firstLine="640" w:firstLineChars="200"/>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、政策时限</w:t>
      </w:r>
    </w:p>
    <w:p>
      <w:pPr>
        <w:spacing w:line="600" w:lineRule="exact"/>
        <w:ind w:firstLine="640" w:firstLineChars="200"/>
        <w:rPr>
          <w:rFonts w:ascii="仿宋_GB2312" w:hAnsi="仿宋_GB2312" w:eastAsia="仿宋_GB2312" w:cs="仿宋_GB2312"/>
          <w:sz w:val="32"/>
          <w:szCs w:val="32"/>
        </w:rPr>
      </w:pPr>
      <w:r>
        <w:rPr>
          <w:rStyle w:val="7"/>
          <w:rFonts w:hint="eastAsia" w:ascii="仿宋_GB2312" w:hAnsi="仿宋_GB2312" w:eastAsia="仿宋_GB2312" w:cs="仿宋_GB2312"/>
          <w:b w:val="0"/>
          <w:color w:val="000000"/>
          <w:sz w:val="32"/>
          <w:szCs w:val="32"/>
        </w:rPr>
        <w:t>2025年</w:t>
      </w:r>
      <w:r>
        <w:rPr>
          <w:rStyle w:val="7"/>
          <w:rFonts w:hint="eastAsia" w:ascii="仿宋_GB2312" w:hAnsi="仿宋_GB2312" w:eastAsia="仿宋_GB2312" w:cs="仿宋_GB2312"/>
          <w:b w:val="0"/>
          <w:color w:val="000000"/>
          <w:sz w:val="32"/>
          <w:szCs w:val="32"/>
          <w:lang w:val="en-US" w:eastAsia="zh-CN"/>
        </w:rPr>
        <w:t>7</w:t>
      </w:r>
      <w:r>
        <w:rPr>
          <w:rStyle w:val="7"/>
          <w:rFonts w:hint="eastAsia" w:ascii="仿宋_GB2312" w:hAnsi="仿宋_GB2312" w:eastAsia="仿宋_GB2312" w:cs="仿宋_GB2312"/>
          <w:b w:val="0"/>
          <w:color w:val="000000"/>
          <w:sz w:val="32"/>
          <w:szCs w:val="32"/>
        </w:rPr>
        <w:t>月</w:t>
      </w:r>
      <w:r>
        <w:rPr>
          <w:rStyle w:val="7"/>
          <w:rFonts w:hint="eastAsia" w:ascii="仿宋_GB2312" w:hAnsi="仿宋_GB2312" w:eastAsia="仿宋_GB2312" w:cs="仿宋_GB2312"/>
          <w:b w:val="0"/>
          <w:color w:val="000000"/>
          <w:sz w:val="32"/>
          <w:szCs w:val="32"/>
          <w:lang w:val="en-US" w:eastAsia="zh-CN"/>
        </w:rPr>
        <w:t>25</w:t>
      </w:r>
      <w:r>
        <w:rPr>
          <w:rStyle w:val="7"/>
          <w:rFonts w:hint="eastAsia" w:ascii="仿宋_GB2312" w:hAnsi="仿宋_GB2312" w:eastAsia="仿宋_GB2312" w:cs="仿宋_GB2312"/>
          <w:b w:val="0"/>
          <w:color w:val="000000"/>
          <w:sz w:val="32"/>
          <w:szCs w:val="32"/>
        </w:rPr>
        <w:t>日</w:t>
      </w:r>
      <w:r>
        <w:rPr>
          <w:rFonts w:hint="eastAsia" w:ascii="仿宋_GB2312" w:hAnsi="仿宋_GB2312" w:eastAsia="仿宋_GB2312" w:cs="仿宋_GB2312"/>
          <w:sz w:val="32"/>
          <w:szCs w:val="32"/>
        </w:rPr>
        <w:t>零时起启用</w:t>
      </w:r>
      <w:r>
        <w:rPr>
          <w:rFonts w:hint="eastAsia" w:ascii="仿宋_GB2312" w:hAnsi="仿宋_GB2312" w:eastAsia="仿宋_GB2312" w:cs="仿宋_GB2312"/>
          <w:color w:val="000000"/>
          <w:sz w:val="32"/>
          <w:szCs w:val="32"/>
        </w:rPr>
        <w:t>道县新增电子警察抓拍设备</w:t>
      </w:r>
      <w:r>
        <w:rPr>
          <w:rFonts w:hint="eastAsia" w:ascii="仿宋_GB2312" w:hAnsi="仿宋_GB2312" w:eastAsia="仿宋_GB2312" w:cs="仿宋_GB2312"/>
          <w:sz w:val="32"/>
          <w:szCs w:val="32"/>
        </w:rPr>
        <w:t>。</w:t>
      </w:r>
    </w:p>
    <w:p>
      <w:pPr>
        <w:spacing w:line="600" w:lineRule="exact"/>
        <w:ind w:firstLine="640" w:firstLineChars="200"/>
        <w:textAlignment w:val="baseline"/>
        <w:rPr>
          <w:rFonts w:ascii="宋体" w:cs="宋体"/>
          <w:sz w:val="32"/>
          <w:szCs w:val="32"/>
        </w:rPr>
      </w:pPr>
    </w:p>
    <w:p>
      <w:pPr>
        <w:spacing w:line="600" w:lineRule="exact"/>
        <w:ind w:firstLine="640" w:firstLineChars="200"/>
        <w:textAlignment w:val="baseline"/>
        <w:rPr>
          <w:rFonts w:ascii="宋体" w:cs="宋体"/>
          <w:color w:val="000000"/>
          <w:sz w:val="32"/>
          <w:szCs w:val="32"/>
        </w:rPr>
      </w:pPr>
      <w:r>
        <w:rPr>
          <w:rFonts w:ascii="宋体" w:hAnsi="宋体" w:cs="宋体"/>
          <w:color w:val="000000"/>
          <w:sz w:val="32"/>
          <w:szCs w:val="32"/>
        </w:rPr>
        <w:t xml:space="preserve">                               </w:t>
      </w:r>
    </w:p>
    <w:p>
      <w:pPr>
        <w:spacing w:line="600" w:lineRule="exact"/>
        <w:ind w:firstLine="420" w:firstLineChars="200"/>
      </w:pPr>
      <w:r>
        <w:t xml:space="preserve">                                     </w:t>
      </w:r>
    </w:p>
    <w:p>
      <w:pPr>
        <w:spacing w:line="600" w:lineRule="exact"/>
        <w:ind w:firstLine="420" w:firstLineChars="200"/>
      </w:pPr>
    </w:p>
    <w:p>
      <w:pPr>
        <w:spacing w:line="600" w:lineRule="exact"/>
        <w:ind w:firstLine="420" w:firstLineChars="200"/>
        <w:rPr>
          <w:rFonts w:ascii="仿宋_GB2312" w:hAnsi="仿宋_GB2312" w:eastAsia="仿宋_GB2312" w:cs="仿宋_GB2312"/>
          <w:sz w:val="32"/>
          <w:szCs w:val="32"/>
        </w:rPr>
      </w:pPr>
      <w:r>
        <w:rPr>
          <w:rFonts w:hint="eastAsia" w:eastAsia="仿宋_GB2312"/>
          <w:lang w:val="en-US" w:eastAsia="zh-CN"/>
        </w:rPr>
        <w:t xml:space="preserve">                                     </w:t>
      </w:r>
      <w:bookmarkStart w:id="0" w:name="_GoBack"/>
      <w:bookmarkEnd w:id="0"/>
      <w:r>
        <w:rPr>
          <w:rFonts w:hint="eastAsia" w:ascii="仿宋_GB2312" w:hAnsi="仿宋_GB2312" w:eastAsia="仿宋_GB2312" w:cs="仿宋_GB2312"/>
          <w:sz w:val="32"/>
          <w:szCs w:val="32"/>
        </w:rPr>
        <w:t>道县公安局交警大队</w:t>
      </w:r>
    </w:p>
    <w:p>
      <w:pPr>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wordWrap w:val="0"/>
        <w:spacing w:line="720" w:lineRule="atLeast"/>
        <w:textAlignment w:val="baseline"/>
        <w:rPr>
          <w:rFonts w:ascii="仿宋_GB2312" w:hAnsi="仿宋_GB2312" w:eastAsia="仿宋_GB2312" w:cs="仿宋_GB2312"/>
        </w:rPr>
      </w:pPr>
    </w:p>
    <w:sectPr>
      <w:headerReference r:id="rId6" w:type="first"/>
      <w:footerReference r:id="rId9" w:type="first"/>
      <w:headerReference r:id="rId4" w:type="default"/>
      <w:footerReference r:id="rId7" w:type="default"/>
      <w:headerReference r:id="rId5" w:type="even"/>
      <w:footerReference r:id="rId8" w:type="even"/>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altName w:val="黑体"/>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仿宋">
    <w:altName w:val="仿宋_GB2312"/>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A00002BF" w:usb1="38CF7CFA" w:usb2="00000016" w:usb3="00000000" w:csb0="00040001" w:csb1="00000000"/>
  </w:font>
  <w:font w:name="等线">
    <w:altName w:val="宋体"/>
    <w:panose1 w:val="02010600030101010101"/>
    <w:charset w:val="86"/>
    <w:family w:val="auto"/>
    <w:pitch w:val="default"/>
    <w:sig w:usb0="A00002BF" w:usb1="38CF7CFA" w:usb2="00000016" w:usb3="00000000" w:csb0="0004000F" w:csb1="00000000"/>
  </w:font>
  <w:font w:name="Source Han Sans SC">
    <w:altName w:val="Cambria"/>
    <w:panose1 w:val="00000000000000000000"/>
    <w:charset w:val="00"/>
    <w:family w:val="auto"/>
    <w:pitch w:val="default"/>
    <w:sig w:usb0="00000000" w:usb1="00000000" w:usb2="00000000" w:usb3="00000000" w:csb0="00040001" w:csb1="00000000"/>
  </w:font>
  <w:font w:name="Times New Toman">
    <w:altName w:val="Times New Roman"/>
    <w:panose1 w:val="02020603050004020304"/>
    <w:charset w:val="00"/>
    <w:family w:val="auto"/>
    <w:pitch w:val="default"/>
    <w:sig w:usb0="20007A87" w:usb1="80000000" w:usb2="00000008" w:usb3="00000000" w:csb0="000001FF" w:csb1="00000000"/>
  </w:font>
  <w:font w:name="Microsoft JhengHei">
    <w:altName w:val="PMingLiU"/>
    <w:panose1 w:val="020B0604030005040204"/>
    <w:charset w:val="88"/>
    <w:family w:val="auto"/>
    <w:pitch w:val="default"/>
    <w:sig w:usb0="000002A7" w:usb1="28CF4400" w:usb2="00000016" w:usb3="00000000" w:csb0="00100009" w:csb1="00000000"/>
  </w:font>
  <w:font w:name="PMingLiU">
    <w:panose1 w:val="02020300000000000000"/>
    <w:charset w:val="88"/>
    <w:family w:val="auto"/>
    <w:pitch w:val="default"/>
    <w:sig w:usb0="00000003" w:usb1="082E0000" w:usb2="00000016" w:usb3="00000000" w:csb0="00100001" w:csb1="00000000"/>
  </w:font>
  <w:font w:name="ＭＳ 明朝">
    <w:altName w:val="MS Gothic"/>
    <w:panose1 w:val="00000000000000000000"/>
    <w:charset w:val="80"/>
    <w:family w:val="auto"/>
    <w:pitch w:val="default"/>
    <w:sig w:usb0="00000001" w:usb1="08070000" w:usb2="00000010" w:usb3="00000000" w:csb0="00020000" w:csb1="00000000"/>
  </w:font>
  <w:font w:name="MS Gothic">
    <w:panose1 w:val="020B0609070205080204"/>
    <w:charset w:val="80"/>
    <w:family w:val="auto"/>
    <w:pitch w:val="default"/>
    <w:sig w:usb0="A00002BF" w:usb1="68C7FCFB" w:usb2="00000010" w:usb3="00000000" w:csb0="4002009F" w:csb1="DFD70000"/>
  </w:font>
  <w:font w:name="Courier">
    <w:altName w:val="Courier New"/>
    <w:panose1 w:val="02000500000000000000"/>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1</w:t>
    </w:r>
    <w:r>
      <w:rPr>
        <w:rFonts w:cs="黑体"/>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framePr w:wrap="around" w:hAnchor="margin" w:vAnchor="text" w:xAlign="center" w:y="1"/>
      <w:rPr>
        <w:rStyle w:val="8"/>
        <w:rFonts w:cs="黑体"/>
      </w:rPr>
    </w:pPr>
    <w:r>
      <w:rPr>
        <w:rFonts w:cs="黑体"/>
      </w:rPr>
      <w:fldChar w:fldCharType="begin"/>
    </w:r>
    <w:r>
      <w:rPr>
        <w:rStyle w:val="8"/>
        <w:rFonts w:cs="黑体"/>
      </w:rPr>
      <w:instrText xml:space="preserve">PAGE  </w:instrText>
    </w:r>
    <w:r>
      <w:rPr>
        <w:rFonts w:cs="黑体"/>
      </w:rPr>
      <w:fldChar w:fldCharType="separate"/>
    </w:r>
    <w:r>
      <w:rPr>
        <w:rStyle w:val="8"/>
        <w:rFonts w:cs="黑体"/>
      </w:rPr>
      <w:t>3</w:t>
    </w:r>
    <w:r>
      <w:rPr>
        <w:rFonts w:cs="黑体"/>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52549399">
    <w:nsid w:val="6875C817"/>
    <w:multiLevelType w:val="singleLevel"/>
    <w:tmpl w:val="6875C817"/>
    <w:lvl w:ilvl="0" w:tentative="1">
      <w:start w:val="1"/>
      <w:numFmt w:val="decimal"/>
      <w:suff w:val="nothing"/>
      <w:lvlText w:val="%1、"/>
      <w:lvlJc w:val="left"/>
    </w:lvl>
  </w:abstractNum>
  <w:num w:numId="1">
    <w:abstractNumId w:val="175254939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0" w:name="Normal Indent" w:locked="1"/>
    <w:lsdException w:uiPriority="0" w:name="footnote text" w:locked="1"/>
    <w:lsdException w:uiPriority="0" w:name="annotation text" w:locked="1"/>
    <w:lsdException w:unhideWhenUsed="0" w:uiPriority="99" w:semiHidden="0" w:name="header"/>
    <w:lsdException w:unhideWhenUsed="0" w:uiPriority="99" w:semiHidden="0" w:name="footer"/>
    <w:lsdException w:uiPriority="0" w:name="index heading" w:locked="1"/>
    <w:lsdException w:qFormat="1" w:uiPriority="35" w:name="caption" w:locked="1"/>
    <w:lsdException w:uiPriority="0" w:name="table of figures" w:locked="1"/>
    <w:lsdException w:uiPriority="0" w:name="envelope address" w:locked="1"/>
    <w:lsdException w:uiPriority="0" w:name="envelope return" w:locked="1"/>
    <w:lsdException w:uiPriority="0" w:name="footnote reference" w:locked="1"/>
    <w:lsdException w:uiPriority="0" w:name="annotation reference" w:locked="1"/>
    <w:lsdException w:uiPriority="0" w:name="line number" w:locked="1"/>
    <w:lsdException w:unhideWhenUsed="0" w:uiPriority="99" w:semiHidden="0" w:name="page number"/>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iPriority="0" w:name="List Number" w:locked="1"/>
    <w:lsdException w:uiPriority="0" w:name="List 2" w:locked="1"/>
    <w:lsdException w:uiPriority="0" w:name="List 3" w:locked="1"/>
    <w:lsdException w:uiPriority="0" w:name="List 4" w:locked="1"/>
    <w:lsdException w:uiPriority="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10" w:semiHidden="0" w:name="Title" w:locked="1"/>
    <w:lsdException w:uiPriority="0" w:name="Closing" w:locked="1"/>
    <w:lsdException w:uiPriority="0" w:name="Signature" w:locked="1"/>
    <w:lsdException w:unhideWhenUsed="0" w:uiPriority="99"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11" w:semiHidden="0" w:name="Subtitle" w:locked="1"/>
    <w:lsdException w:uiPriority="0" w:name="Salutation" w:locked="1"/>
    <w:lsdException w:uiPriority="0" w:name="Date" w:locked="1"/>
    <w:lsdException w:uiPriority="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uiPriority="0" w:name="Body Text Indent 2" w:locked="1"/>
    <w:lsdException w:uiPriority="0" w:name="Body Text Indent 3" w:locked="1"/>
    <w:lsdException w:uiPriority="0" w:name="Block Text" w:locked="1"/>
    <w:lsdException w:uiPriority="0" w:name="Hyperlink" w:locked="1"/>
    <w:lsdException w:uiPriority="0" w:name="FollowedHyperlink" w:locked="1"/>
    <w:lsdException w:qFormat="1" w:unhideWhenUsed="0" w:uiPriority="22" w:semiHidden="0" w:name="Strong" w:locked="1"/>
    <w:lsdException w:qFormat="1" w:unhideWhenUsed="0" w:uiPriority="20" w:semiHidden="0" w:name="Emphasis" w:locked="1"/>
    <w:lsdException w:uiPriority="0" w:name="Document Map" w:locked="1"/>
    <w:lsdException w:uiPriority="0" w:name="Plain Text" w:locked="1"/>
    <w:lsdException w:uiPriority="0" w:name="E-mail Signature" w:locked="1"/>
    <w:lsdException w:unhideWhenUsed="0" w:uiPriority="99"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0" w:name="annotation subject" w:locked="1"/>
    <w:lsdException w:uiPriority="0" w:name="Balloon Text" w:locked="1"/>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link w:val="9"/>
    <w:qFormat/>
    <w:uiPriority w:val="99"/>
    <w:pPr>
      <w:keepNext/>
      <w:keepLines/>
      <w:spacing w:before="260" w:after="260" w:line="413" w:lineRule="auto"/>
      <w:outlineLvl w:val="2"/>
    </w:pPr>
    <w:rPr>
      <w:b/>
      <w:sz w:val="32"/>
    </w:rPr>
  </w:style>
  <w:style w:type="character" w:default="1" w:styleId="6">
    <w:name w:val="Default Paragraph Font"/>
    <w:semiHidden/>
    <w:uiPriority w:val="99"/>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Times New Roman" w:hAnsi="Times New Roman" w:cs="宋体"/>
      <w:kern w:val="0"/>
      <w:sz w:val="28"/>
    </w:rPr>
  </w:style>
  <w:style w:type="character" w:styleId="7">
    <w:name w:val="Strong"/>
    <w:basedOn w:val="6"/>
    <w:qFormat/>
    <w:locked/>
    <w:uiPriority w:val="22"/>
    <w:rPr>
      <w:b/>
    </w:rPr>
  </w:style>
  <w:style w:type="character" w:styleId="8">
    <w:name w:val="page number"/>
    <w:basedOn w:val="6"/>
    <w:uiPriority w:val="99"/>
    <w:rPr>
      <w:rFonts w:cs="Times New Roman"/>
    </w:rPr>
  </w:style>
  <w:style w:type="character" w:customStyle="1" w:styleId="9">
    <w:name w:val="Heading 3 Char"/>
    <w:basedOn w:val="6"/>
    <w:link w:val="2"/>
    <w:uiPriority w:val="99"/>
    <w:rPr>
      <w:rFonts w:ascii="Calibri" w:hAnsi="Calibri" w:cs="黑体"/>
      <w:b/>
      <w:bCs/>
      <w:sz w:val="32"/>
      <w:szCs w:val="32"/>
    </w:rPr>
  </w:style>
  <w:style w:type="character" w:customStyle="1" w:styleId="10">
    <w:name w:val="Footer Char"/>
    <w:basedOn w:val="6"/>
    <w:link w:val="3"/>
    <w:uiPriority w:val="99"/>
    <w:rPr>
      <w:rFonts w:ascii="Calibri" w:hAnsi="Calibri" w:cs="黑体"/>
      <w:sz w:val="18"/>
      <w:szCs w:val="18"/>
    </w:rPr>
  </w:style>
  <w:style w:type="character" w:customStyle="1" w:styleId="11">
    <w:name w:val="Header Char"/>
    <w:basedOn w:val="6"/>
    <w:link w:val="4"/>
    <w:uiPriority w:val="99"/>
    <w:rPr>
      <w:rFonts w:ascii="Calibri" w:hAnsi="Calibri" w:cs="黑体"/>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118</Words>
  <Characters>678</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2024-07-29T08:38:00Z</dcterms:created>
  <dc:creator>Administrator</dc:creator>
  <cp:lastModifiedBy>Administrator</cp:lastModifiedBy>
  <cp:lastPrinted>2025-07-15T06:22:57Z</cp:lastPrinted>
  <dcterms:modified xsi:type="dcterms:W3CDTF">2025-07-15T06:23:52Z</dcterms:modified>
  <dc:title>道县公安局交警大队关于《关于对道县滨河路（敦颐广场至食品站路口）实行交通管制的通告》的政策解读</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