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700" w:lineRule="exact"/>
        <w:jc w:val="center"/>
        <w:rPr>
          <w:rFonts w:hint="eastAsia" w:ascii="宋体"/>
          <w:sz w:val="44"/>
          <w:szCs w:val="44"/>
        </w:rPr>
      </w:pPr>
      <w:r>
        <w:rPr>
          <w:rFonts w:hint="eastAsia" w:ascii="方正小标宋简体" w:hAnsi="方正小标宋简体" w:eastAsia="方正小标宋简体" w:cs="方正小标宋简体"/>
          <w:sz w:val="36"/>
          <w:szCs w:val="36"/>
          <w:lang w:eastAsia="zh-CN"/>
        </w:rPr>
        <w:t>道县农村经营服务站解读</w:t>
      </w:r>
      <w:r>
        <w:rPr>
          <w:rFonts w:hint="eastAsia" w:ascii="方正小标宋简体" w:hAnsi="方正小标宋简体" w:eastAsia="方正小标宋简体" w:cs="方正小标宋简体"/>
          <w:sz w:val="36"/>
          <w:szCs w:val="36"/>
        </w:rPr>
        <w:t>《</w:t>
      </w:r>
      <w:bookmarkStart w:id="0" w:name="OLE_LINK1"/>
      <w:r>
        <w:rPr>
          <w:rFonts w:hint="eastAsia" w:ascii="方正小标宋简体" w:hAnsi="方正小标宋简体" w:eastAsia="方正小标宋简体" w:cs="方正小标宋简体"/>
          <w:sz w:val="36"/>
          <w:szCs w:val="36"/>
          <w:lang w:eastAsia="zh-CN" w:bidi="ar-SA"/>
        </w:rPr>
        <w:t>道县</w:t>
      </w:r>
      <w:r>
        <w:rPr>
          <w:rFonts w:hint="eastAsia" w:ascii="方正小标宋简体" w:hAnsi="方正小标宋简体" w:eastAsia="方正小标宋简体" w:cs="方正小标宋简体"/>
          <w:sz w:val="36"/>
          <w:szCs w:val="36"/>
          <w:lang w:bidi="ar-SA"/>
        </w:rPr>
        <w:t>农村产权流转交易管理办法（试行）</w:t>
      </w:r>
      <w:bookmarkEnd w:id="0"/>
      <w:r>
        <w:rPr>
          <w:rFonts w:hint="eastAsia" w:ascii="方正小标宋简体" w:hAnsi="方正小标宋简体" w:eastAsia="方正小标宋简体" w:cs="方正小标宋简体"/>
          <w:sz w:val="36"/>
          <w:szCs w:val="36"/>
        </w:rPr>
        <w:t>》和《</w:t>
      </w:r>
      <w:r>
        <w:rPr>
          <w:rFonts w:hint="eastAsia" w:ascii="方正小标宋简体" w:hAnsi="方正小标宋简体" w:eastAsia="方正小标宋简体" w:cs="方正小标宋简体"/>
          <w:sz w:val="36"/>
          <w:szCs w:val="36"/>
          <w:lang w:bidi="ar-SA"/>
        </w:rPr>
        <w:t>农村产权流转交易</w:t>
      </w:r>
      <w:r>
        <w:rPr>
          <w:rFonts w:hint="eastAsia" w:ascii="方正小标宋简体" w:hAnsi="方正小标宋简体" w:eastAsia="方正小标宋简体" w:cs="方正小标宋简体"/>
          <w:sz w:val="36"/>
          <w:szCs w:val="36"/>
          <w:lang w:eastAsia="zh-CN" w:bidi="ar-SA"/>
        </w:rPr>
        <w:t>操作</w:t>
      </w:r>
      <w:r>
        <w:rPr>
          <w:rFonts w:hint="eastAsia" w:ascii="方正小标宋简体" w:hAnsi="方正小标宋简体" w:eastAsia="方正小标宋简体" w:cs="方正小标宋简体"/>
          <w:sz w:val="36"/>
          <w:szCs w:val="36"/>
          <w:lang w:bidi="ar-SA"/>
        </w:rPr>
        <w:t>规则</w:t>
      </w:r>
      <w:r>
        <w:rPr>
          <w:rFonts w:hint="eastAsia" w:ascii="方正小标宋简体" w:hAnsi="方正小标宋简体" w:eastAsia="方正小标宋简体" w:cs="方正小标宋简体"/>
          <w:sz w:val="36"/>
          <w:szCs w:val="36"/>
          <w:lang w:eastAsia="zh-CN" w:bidi="ar-SA"/>
        </w:rPr>
        <w:t>（</w:t>
      </w:r>
      <w:r>
        <w:rPr>
          <w:rFonts w:hint="eastAsia" w:ascii="方正小标宋简体" w:hAnsi="方正小标宋简体" w:eastAsia="方正小标宋简体" w:cs="方正小标宋简体"/>
          <w:sz w:val="36"/>
          <w:szCs w:val="36"/>
        </w:rPr>
        <w:t>试行）》</w:t>
      </w:r>
      <w:bookmarkStart w:id="28" w:name="_GoBack"/>
      <w:bookmarkEnd w:id="28"/>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一、文件出台的背景及意义</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为贯彻落实党的二十大关于畅通城乡要素流动的战略部署,持续深化农村集体产权制度改革，加快推进</w:t>
      </w:r>
      <w:r>
        <w:rPr>
          <w:rFonts w:hint="eastAsia" w:ascii="仿宋_GB2312" w:hAnsi="仿宋_GB2312" w:eastAsia="仿宋_GB2312" w:cs="仿宋_GB2312"/>
          <w:b w:val="0"/>
          <w:bCs w:val="0"/>
          <w:sz w:val="32"/>
          <w:szCs w:val="32"/>
          <w:lang w:eastAsia="zh-CN"/>
        </w:rPr>
        <w:t>道县</w:t>
      </w:r>
      <w:r>
        <w:rPr>
          <w:rFonts w:hint="eastAsia" w:ascii="仿宋_GB2312" w:hAnsi="仿宋_GB2312" w:eastAsia="仿宋_GB2312" w:cs="仿宋_GB2312"/>
          <w:b w:val="0"/>
          <w:bCs w:val="0"/>
          <w:sz w:val="32"/>
          <w:szCs w:val="32"/>
        </w:rPr>
        <w:t>农村产权流转交易流转体系建设，按照中央 国务院关于稳步推进农村集体产权制度改革的意见》和《国务院办公厅关于引导农村产权流转交易市场健康发展的意见》要求，对照农业农村部、中央农办、国家发改委等11个部委联合印发的《农村产权流转交易规范化试点方案》</w:t>
      </w:r>
      <w:r>
        <w:rPr>
          <w:rFonts w:hint="eastAsia" w:ascii="仿宋_GB2312" w:hAnsi="仿宋_GB2312" w:eastAsia="仿宋_GB2312" w:cs="仿宋_GB2312"/>
          <w:b w:val="0"/>
          <w:bCs w:val="0"/>
          <w:sz w:val="32"/>
          <w:szCs w:val="32"/>
          <w:lang w:eastAsia="zh-CN"/>
        </w:rPr>
        <w:t>和</w:t>
      </w:r>
      <w:r>
        <w:rPr>
          <w:rFonts w:hint="eastAsia" w:ascii="仿宋" w:eastAsia="仿宋" w:cs="仿宋"/>
          <w:color w:val="000000"/>
          <w:sz w:val="32"/>
          <w:szCs w:val="32"/>
          <w:lang w:bidi="ar-SA"/>
        </w:rPr>
        <w:t>《湖南省人民政府办公厅关于推进农村产权流转交易市场体系建设的指导意见》</w:t>
      </w:r>
      <w:r>
        <w:rPr>
          <w:rFonts w:hint="eastAsia" w:ascii="仿宋" w:eastAsia="仿宋" w:cs="仿宋"/>
          <w:color w:val="000000"/>
          <w:sz w:val="32"/>
          <w:szCs w:val="32"/>
          <w:lang w:eastAsia="zh-CN" w:bidi="ar-SA"/>
        </w:rPr>
        <w:t>要求，</w:t>
      </w:r>
      <w:r>
        <w:rPr>
          <w:rFonts w:hint="eastAsia" w:ascii="仿宋" w:eastAsia="仿宋" w:cs="仿宋"/>
          <w:color w:val="000000"/>
          <w:sz w:val="32"/>
          <w:szCs w:val="32"/>
          <w:lang w:bidi="ar-SA"/>
        </w:rPr>
        <w:t>为规范我县农村产权流转交易行为，保障交易主体的合法权益，发挥市场配置农村资源的基础性作用，推进全县乡村振兴，加快农业现代化</w:t>
      </w:r>
      <w:r>
        <w:rPr>
          <w:rFonts w:hint="eastAsia" w:ascii="仿宋_GB2312" w:hAnsi="仿宋_GB2312" w:eastAsia="仿宋_GB2312" w:cs="仿宋_GB2312"/>
          <w:color w:val="auto"/>
          <w:sz w:val="32"/>
          <w:szCs w:val="32"/>
          <w:lang w:eastAsia="zh-CN"/>
        </w:rPr>
        <w:t>。</w:t>
      </w:r>
      <w:r>
        <w:rPr>
          <w:rFonts w:hint="eastAsia" w:ascii="仿宋" w:eastAsia="仿宋" w:cs="仿宋"/>
          <w:color w:val="000000"/>
          <w:sz w:val="32"/>
          <w:szCs w:val="32"/>
          <w:lang w:bidi="ar-SA"/>
        </w:rPr>
        <w:t>遵守有关法律、法规、规章和政策规定，</w:t>
      </w:r>
      <w:r>
        <w:rPr>
          <w:rFonts w:hint="eastAsia" w:ascii="仿宋" w:eastAsia="仿宋" w:cs="仿宋"/>
          <w:color w:val="000000"/>
          <w:sz w:val="32"/>
          <w:szCs w:val="32"/>
          <w:lang w:eastAsia="zh-CN" w:bidi="ar-SA"/>
        </w:rPr>
        <w:t>进一步</w:t>
      </w:r>
      <w:r>
        <w:rPr>
          <w:rFonts w:hint="eastAsia" w:ascii="仿宋_GB2312" w:hAnsi="仿宋_GB2312" w:eastAsia="仿宋_GB2312"/>
          <w:sz w:val="32"/>
          <w:szCs w:val="32"/>
          <w:lang w:eastAsia="zh-CN"/>
        </w:rPr>
        <w:t>规范</w:t>
      </w:r>
      <w:r>
        <w:rPr>
          <w:rFonts w:hint="eastAsia" w:ascii="仿宋" w:eastAsia="仿宋" w:cs="仿宋"/>
          <w:color w:val="000000"/>
          <w:sz w:val="32"/>
          <w:szCs w:val="32"/>
          <w:lang w:bidi="ar-SA"/>
        </w:rPr>
        <w:t>农村产权流转交易</w:t>
      </w:r>
      <w:r>
        <w:rPr>
          <w:rFonts w:hint="eastAsia" w:ascii="仿宋" w:eastAsia="仿宋" w:cs="仿宋"/>
          <w:color w:val="000000"/>
          <w:sz w:val="32"/>
          <w:szCs w:val="32"/>
          <w:lang w:eastAsia="zh-CN" w:bidi="ar-SA"/>
        </w:rPr>
        <w:t>行为</w:t>
      </w:r>
      <w:r>
        <w:rPr>
          <w:rFonts w:hint="eastAsia" w:ascii="仿宋" w:eastAsia="仿宋" w:cs="仿宋"/>
          <w:color w:val="000000"/>
          <w:sz w:val="32"/>
          <w:szCs w:val="32"/>
          <w:lang w:bidi="ar-SA"/>
        </w:rPr>
        <w:t>，加强行业规范、管理制度和服务标准建设，流转交易过程应公开、公正、规范，不得暗箱操作。</w:t>
      </w:r>
      <w:r>
        <w:rPr>
          <w:rFonts w:hint="eastAsia" w:ascii="仿宋_GB2312" w:hAnsi="仿宋_GB2312" w:eastAsia="仿宋_GB2312" w:cs="仿宋_GB2312"/>
          <w:b w:val="0"/>
          <w:bCs w:val="0"/>
          <w:sz w:val="32"/>
          <w:szCs w:val="32"/>
        </w:rPr>
        <w:t>制定《</w:t>
      </w:r>
      <w:r>
        <w:rPr>
          <w:rFonts w:hint="eastAsia" w:ascii="仿宋_GB2312" w:hAnsi="仿宋_GB2312" w:eastAsia="仿宋_GB2312" w:cs="仿宋_GB2312"/>
          <w:b w:val="0"/>
          <w:bCs w:val="0"/>
          <w:sz w:val="32"/>
          <w:szCs w:val="32"/>
          <w:lang w:eastAsia="zh-CN"/>
        </w:rPr>
        <w:t>道县</w:t>
      </w:r>
      <w:r>
        <w:rPr>
          <w:rFonts w:hint="eastAsia" w:ascii="仿宋_GB2312" w:hAnsi="仿宋_GB2312" w:eastAsia="仿宋_GB2312" w:cs="仿宋_GB2312"/>
          <w:b w:val="0"/>
          <w:bCs w:val="0"/>
          <w:sz w:val="32"/>
          <w:szCs w:val="32"/>
        </w:rPr>
        <w:t>农村产权流转交易管理办法（试行）》和《农村产权流转交易</w:t>
      </w:r>
      <w:r>
        <w:rPr>
          <w:rFonts w:hint="eastAsia" w:ascii="仿宋_GB2312" w:hAnsi="仿宋_GB2312" w:eastAsia="仿宋_GB2312" w:cs="仿宋_GB2312"/>
          <w:b w:val="0"/>
          <w:bCs w:val="0"/>
          <w:sz w:val="32"/>
          <w:szCs w:val="32"/>
          <w:lang w:eastAsia="zh-CN"/>
        </w:rPr>
        <w:t>操作</w:t>
      </w:r>
      <w:r>
        <w:rPr>
          <w:rFonts w:hint="eastAsia" w:ascii="仿宋_GB2312" w:hAnsi="仿宋_GB2312" w:eastAsia="仿宋_GB2312" w:cs="仿宋_GB2312"/>
          <w:b w:val="0"/>
          <w:bCs w:val="0"/>
          <w:sz w:val="32"/>
          <w:szCs w:val="32"/>
        </w:rPr>
        <w:t>规则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试行）》。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文件起草依据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根据</w:t>
      </w:r>
      <w:r>
        <w:rPr>
          <w:rFonts w:hint="eastAsia" w:ascii="仿宋" w:eastAsia="仿宋" w:cs="仿宋"/>
          <w:b w:val="0"/>
          <w:bCs/>
          <w:color w:val="000000"/>
          <w:sz w:val="32"/>
          <w:szCs w:val="32"/>
          <w:lang w:bidi="ar-SA"/>
        </w:rPr>
        <w:t>《中华人民共和国农村土地承包法》、《中华人民共和国</w:t>
      </w:r>
      <w:r>
        <w:rPr>
          <w:rFonts w:hint="eastAsia" w:ascii="仿宋" w:eastAsia="仿宋" w:cs="仿宋"/>
          <w:b w:val="0"/>
          <w:bCs/>
          <w:color w:val="000000"/>
          <w:sz w:val="32"/>
          <w:szCs w:val="32"/>
          <w:lang w:eastAsia="zh-CN" w:bidi="ar-SA"/>
        </w:rPr>
        <w:t>民法典</w:t>
      </w:r>
      <w:r>
        <w:rPr>
          <w:rFonts w:hint="eastAsia" w:ascii="仿宋" w:eastAsia="仿宋" w:cs="仿宋"/>
          <w:b w:val="0"/>
          <w:bCs/>
          <w:color w:val="000000"/>
          <w:sz w:val="32"/>
          <w:szCs w:val="32"/>
          <w:lang w:bidi="ar-SA"/>
        </w:rPr>
        <w:t>》</w:t>
      </w:r>
      <w:r>
        <w:rPr>
          <w:rFonts w:hint="eastAsia" w:ascii="仿宋_GB2312" w:hAnsi="仿宋_GB2312" w:eastAsia="仿宋_GB2312" w:cs="仿宋_GB2312"/>
          <w:b w:val="0"/>
          <w:bCs w:val="0"/>
          <w:sz w:val="32"/>
          <w:szCs w:val="32"/>
        </w:rPr>
        <w:t>农业农村部、中央农办、国家发改委等11个部委联合印发的《农村产权流转交易规范化试点方案》</w:t>
      </w:r>
      <w:r>
        <w:rPr>
          <w:rFonts w:hint="eastAsia" w:ascii="仿宋" w:eastAsia="仿宋" w:cs="仿宋"/>
          <w:b w:val="0"/>
          <w:bCs/>
          <w:color w:val="000000"/>
          <w:sz w:val="32"/>
          <w:szCs w:val="32"/>
          <w:lang w:eastAsia="zh-CN" w:bidi="ar-SA"/>
        </w:rPr>
        <w:t>和</w:t>
      </w:r>
      <w:r>
        <w:rPr>
          <w:rFonts w:hint="eastAsia" w:ascii="仿宋" w:eastAsia="仿宋" w:cs="仿宋"/>
          <w:color w:val="000000"/>
          <w:sz w:val="32"/>
          <w:szCs w:val="32"/>
          <w:lang w:bidi="ar-SA"/>
        </w:rPr>
        <w:t>《湖南省人民政府办公厅关于推进农村产权流转交易市场体系建设的指导意见》（湘政办发〔2022〕44号）</w:t>
      </w:r>
      <w:r>
        <w:rPr>
          <w:rFonts w:hint="eastAsia" w:ascii="仿宋_GB2312" w:hAnsi="仿宋_GB2312" w:eastAsia="仿宋_GB2312" w:cs="仿宋_GB2312"/>
          <w:b w:val="0"/>
          <w:bCs w:val="0"/>
          <w:sz w:val="32"/>
          <w:szCs w:val="32"/>
        </w:rPr>
        <w:t>，制定出台本文件。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三、文件主要内容</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《道县农村产权流转交易管理办法</w:t>
      </w:r>
      <w:bookmarkStart w:id="1" w:name="_Toc13297"/>
      <w:bookmarkStart w:id="2" w:name="_Toc14353"/>
      <w:bookmarkStart w:id="3" w:name="_Toc145337542"/>
      <w:bookmarkStart w:id="4" w:name="_Toc14781"/>
      <w:bookmarkStart w:id="5" w:name="_Toc13622"/>
      <w:r>
        <w:rPr>
          <w:rFonts w:hint="eastAsia" w:ascii="楷体" w:hAnsi="楷体" w:eastAsia="楷体" w:cs="楷体"/>
          <w:b/>
          <w:bCs/>
          <w:kern w:val="2"/>
          <w:sz w:val="32"/>
          <w:szCs w:val="32"/>
          <w:lang w:val="en-US" w:eastAsia="zh-CN" w:bidi="ar-SA"/>
        </w:rPr>
        <w:t>（试行）</w:t>
      </w:r>
      <w:bookmarkEnd w:id="1"/>
      <w:bookmarkEnd w:id="2"/>
      <w:bookmarkEnd w:id="3"/>
      <w:bookmarkEnd w:id="4"/>
      <w:bookmarkEnd w:id="5"/>
      <w:r>
        <w:rPr>
          <w:rFonts w:hint="eastAsia" w:ascii="楷体" w:hAnsi="楷体" w:eastAsia="楷体" w:cs="楷体"/>
          <w:b/>
          <w:bCs/>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Calibri" w:eastAsia="仿宋" w:cs="仿宋"/>
          <w:color w:val="000000"/>
          <w:kern w:val="2"/>
          <w:sz w:val="32"/>
          <w:szCs w:val="32"/>
          <w:lang w:val="en-US" w:eastAsia="zh-CN" w:bidi="ar-SA"/>
        </w:rPr>
      </w:pPr>
      <w:r>
        <w:rPr>
          <w:rFonts w:hint="default" w:ascii="仿宋" w:hAnsi="Calibri" w:eastAsia="仿宋" w:cs="仿宋"/>
          <w:color w:val="000000"/>
          <w:kern w:val="2"/>
          <w:sz w:val="32"/>
          <w:szCs w:val="32"/>
          <w:lang w:val="en-US" w:eastAsia="zh-CN" w:bidi="ar-SA"/>
        </w:rPr>
        <w:t>（一）总则。明确制定背景、适用范围，产权流转交易的定义、宗旨和原则。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Calibri" w:eastAsia="仿宋" w:cs="仿宋"/>
          <w:color w:val="000000"/>
          <w:kern w:val="2"/>
          <w:sz w:val="32"/>
          <w:szCs w:val="32"/>
          <w:lang w:val="en-US" w:eastAsia="zh-CN" w:bidi="ar-SA"/>
        </w:rPr>
      </w:pPr>
      <w:r>
        <w:rPr>
          <w:rFonts w:hint="default" w:ascii="仿宋" w:hAnsi="Calibri" w:eastAsia="仿宋" w:cs="仿宋"/>
          <w:color w:val="000000"/>
          <w:kern w:val="2"/>
          <w:sz w:val="32"/>
          <w:szCs w:val="32"/>
          <w:lang w:val="en-US" w:eastAsia="zh-CN" w:bidi="ar-SA"/>
        </w:rPr>
        <w:t>（二）交易品种</w:t>
      </w:r>
      <w:r>
        <w:rPr>
          <w:rFonts w:hint="eastAsia" w:ascii="仿宋" w:hAnsi="Calibri" w:eastAsia="仿宋" w:cs="仿宋"/>
          <w:color w:val="000000"/>
          <w:kern w:val="2"/>
          <w:sz w:val="32"/>
          <w:szCs w:val="32"/>
          <w:lang w:val="en-US" w:eastAsia="zh-CN" w:bidi="ar-SA"/>
        </w:rPr>
        <w:t>和交易方式</w:t>
      </w:r>
      <w:r>
        <w:rPr>
          <w:rFonts w:hint="default" w:ascii="仿宋" w:hAnsi="Calibri" w:eastAsia="仿宋" w:cs="仿宋"/>
          <w:color w:val="000000"/>
          <w:kern w:val="2"/>
          <w:sz w:val="32"/>
          <w:szCs w:val="32"/>
          <w:lang w:val="en-US" w:eastAsia="zh-CN" w:bidi="ar-SA"/>
        </w:rPr>
        <w:t>。坚持应进必进、能进则进，明确农村土地经营权、林权、“四荒”地使用权等</w:t>
      </w:r>
      <w:r>
        <w:rPr>
          <w:rFonts w:hint="eastAsia" w:ascii="仿宋" w:hAnsi="Calibri" w:eastAsia="仿宋" w:cs="仿宋"/>
          <w:color w:val="000000"/>
          <w:kern w:val="2"/>
          <w:sz w:val="32"/>
          <w:szCs w:val="32"/>
          <w:lang w:val="en-US" w:eastAsia="zh-CN" w:bidi="ar-SA"/>
        </w:rPr>
        <w:t>九</w:t>
      </w:r>
      <w:r>
        <w:rPr>
          <w:rFonts w:hint="default" w:ascii="仿宋" w:hAnsi="Calibri" w:eastAsia="仿宋" w:cs="仿宋"/>
          <w:color w:val="000000"/>
          <w:kern w:val="2"/>
          <w:sz w:val="32"/>
          <w:szCs w:val="32"/>
          <w:lang w:val="en-US" w:eastAsia="zh-CN" w:bidi="ar-SA"/>
        </w:rPr>
        <w:t>类交易品种。</w:t>
      </w:r>
      <w:r>
        <w:rPr>
          <w:rFonts w:hint="eastAsia" w:ascii="仿宋" w:hAnsi="Calibri" w:eastAsia="仿宋" w:cs="仿宋"/>
          <w:color w:val="000000"/>
          <w:kern w:val="2"/>
          <w:sz w:val="32"/>
          <w:szCs w:val="32"/>
          <w:lang w:val="en-US" w:eastAsia="zh-CN" w:bidi="ar-SA"/>
        </w:rPr>
        <w:t>可以采取协议转让、竞价、拍卖、招投标等方式，也可以采取法律、法规、规章规定的其他方式。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default" w:ascii="仿宋" w:hAnsi="Calibri" w:eastAsia="仿宋" w:cs="仿宋"/>
          <w:color w:val="000000"/>
          <w:kern w:val="2"/>
          <w:sz w:val="32"/>
          <w:szCs w:val="32"/>
          <w:lang w:val="en-US" w:eastAsia="zh-CN" w:bidi="ar-SA"/>
        </w:rPr>
      </w:pPr>
      <w:r>
        <w:rPr>
          <w:rFonts w:hint="default" w:ascii="仿宋" w:hAnsi="Calibri" w:eastAsia="仿宋" w:cs="仿宋"/>
          <w:color w:val="000000"/>
          <w:kern w:val="2"/>
          <w:sz w:val="32"/>
          <w:szCs w:val="32"/>
          <w:lang w:val="en-US" w:eastAsia="zh-CN" w:bidi="ar-SA"/>
        </w:rPr>
        <w:t>（</w:t>
      </w:r>
      <w:r>
        <w:rPr>
          <w:rFonts w:hint="eastAsia" w:ascii="仿宋" w:hAnsi="Calibri" w:eastAsia="仿宋" w:cs="仿宋"/>
          <w:color w:val="000000"/>
          <w:kern w:val="2"/>
          <w:sz w:val="32"/>
          <w:szCs w:val="32"/>
          <w:lang w:val="en-US" w:eastAsia="zh-CN" w:bidi="ar-SA"/>
        </w:rPr>
        <w:t>四</w:t>
      </w:r>
      <w:r>
        <w:rPr>
          <w:rFonts w:hint="default" w:ascii="仿宋" w:hAnsi="Calibri" w:eastAsia="仿宋" w:cs="仿宋"/>
          <w:color w:val="000000"/>
          <w:kern w:val="2"/>
          <w:sz w:val="32"/>
          <w:szCs w:val="32"/>
          <w:lang w:val="en-US" w:eastAsia="zh-CN" w:bidi="ar-SA"/>
        </w:rPr>
        <w:t>）监督管理和风险防控。明确交易主体相关不规范行为的处理方式，流转交易过程中发生纠纷的应对机制，以及市农交机构和各级农交服务组织在监督管理和风险管控当中的职责。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default" w:ascii="Helvetica" w:hAnsi="Helvetica" w:eastAsia="Helvetica" w:cs="Helvetica"/>
          <w:i w:val="0"/>
          <w:iCs w:val="0"/>
          <w:caps w:val="0"/>
          <w:color w:val="333333"/>
          <w:spacing w:val="0"/>
          <w:sz w:val="32"/>
          <w:szCs w:val="32"/>
        </w:rPr>
      </w:pPr>
      <w:r>
        <w:rPr>
          <w:rFonts w:hint="default" w:ascii="仿宋" w:hAnsi="Calibri" w:eastAsia="仿宋" w:cs="仿宋"/>
          <w:color w:val="000000"/>
          <w:kern w:val="2"/>
          <w:sz w:val="32"/>
          <w:szCs w:val="32"/>
          <w:lang w:val="en-US" w:eastAsia="zh-CN" w:bidi="ar-SA"/>
        </w:rPr>
        <w:t>（</w:t>
      </w:r>
      <w:r>
        <w:rPr>
          <w:rFonts w:hint="eastAsia" w:ascii="仿宋" w:hAnsi="Calibri" w:eastAsia="仿宋" w:cs="仿宋"/>
          <w:color w:val="000000"/>
          <w:kern w:val="2"/>
          <w:sz w:val="32"/>
          <w:szCs w:val="32"/>
          <w:lang w:val="en-US" w:eastAsia="zh-CN" w:bidi="ar-SA"/>
        </w:rPr>
        <w:t>五</w:t>
      </w:r>
      <w:r>
        <w:rPr>
          <w:rFonts w:hint="default" w:ascii="仿宋" w:hAnsi="Calibri" w:eastAsia="仿宋" w:cs="仿宋"/>
          <w:color w:val="000000"/>
          <w:kern w:val="2"/>
          <w:sz w:val="32"/>
          <w:szCs w:val="32"/>
          <w:lang w:val="en-US" w:eastAsia="zh-CN" w:bidi="ar-SA"/>
        </w:rPr>
        <w:t>）附则。对《办法》的解释权和试行时间予以说明</w:t>
      </w:r>
      <w:r>
        <w:rPr>
          <w:rFonts w:hint="default" w:ascii="Helvetica" w:hAnsi="Helvetica" w:eastAsia="Helvetica" w:cs="Helvetica"/>
          <w:i w:val="0"/>
          <w:iCs w:val="0"/>
          <w:caps w:val="0"/>
          <w:color w:val="333333"/>
          <w:spacing w:val="0"/>
          <w:sz w:val="32"/>
          <w:szCs w:val="32"/>
          <w:shd w:val="clear" w:fill="FFFFFF"/>
        </w:rPr>
        <w:t>。</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《农村产权流转交易操作规则</w:t>
      </w:r>
      <w:bookmarkStart w:id="6" w:name="_Toc17309"/>
      <w:bookmarkStart w:id="7" w:name="_Toc6657"/>
      <w:bookmarkStart w:id="8" w:name="_Toc22384"/>
      <w:bookmarkStart w:id="9" w:name="_Toc1600"/>
      <w:bookmarkStart w:id="10" w:name="_Toc30110"/>
      <w:bookmarkStart w:id="11" w:name="_Toc20132"/>
      <w:bookmarkStart w:id="12" w:name="_Toc3564"/>
      <w:bookmarkStart w:id="13" w:name="_Toc132"/>
      <w:bookmarkStart w:id="14" w:name="_Toc22696"/>
      <w:bookmarkStart w:id="15" w:name="_Toc22447"/>
      <w:bookmarkStart w:id="16" w:name="_Toc14354"/>
      <w:bookmarkStart w:id="17" w:name="_Toc11336"/>
      <w:bookmarkStart w:id="18" w:name="_Toc8029"/>
      <w:bookmarkStart w:id="19" w:name="_Toc11231"/>
      <w:bookmarkStart w:id="20" w:name="_Toc2680"/>
      <w:bookmarkStart w:id="21" w:name="_Toc12559"/>
      <w:bookmarkStart w:id="22" w:name="_Toc19168"/>
      <w:bookmarkStart w:id="23" w:name="_Toc8692"/>
      <w:bookmarkStart w:id="24" w:name="_Toc22110"/>
      <w:bookmarkStart w:id="25" w:name="_Toc14364"/>
      <w:bookmarkStart w:id="26" w:name="_Toc28119"/>
      <w:bookmarkStart w:id="27" w:name="_Toc10003"/>
      <w:r>
        <w:rPr>
          <w:rFonts w:hint="eastAsia" w:ascii="楷体" w:hAnsi="楷体" w:eastAsia="楷体" w:cs="楷体"/>
          <w:b/>
          <w:bCs/>
          <w:kern w:val="2"/>
          <w:sz w:val="32"/>
          <w:szCs w:val="32"/>
          <w:lang w:val="en-US" w:eastAsia="zh-CN" w:bidi="ar-SA"/>
        </w:rPr>
        <w:t>（试行）</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ascii="楷体" w:hAnsi="楷体" w:eastAsia="楷体" w:cs="楷体"/>
          <w:b/>
          <w:bCs/>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Calibri" w:eastAsia="仿宋" w:cs="仿宋"/>
          <w:color w:val="000000"/>
          <w:kern w:val="2"/>
          <w:sz w:val="32"/>
          <w:szCs w:val="32"/>
          <w:lang w:val="en-US" w:eastAsia="zh-CN" w:bidi="ar-SA"/>
        </w:rPr>
      </w:pPr>
      <w:r>
        <w:rPr>
          <w:rFonts w:hint="eastAsia" w:ascii="仿宋" w:eastAsia="仿宋" w:cs="仿宋"/>
          <w:color w:val="000000"/>
          <w:kern w:val="2"/>
          <w:sz w:val="32"/>
          <w:szCs w:val="32"/>
          <w:lang w:val="en-US" w:eastAsia="zh-CN" w:bidi="ar-SA"/>
        </w:rPr>
        <w:t>（一）总则。</w:t>
      </w:r>
      <w:r>
        <w:rPr>
          <w:rFonts w:hint="default" w:ascii="仿宋" w:hAnsi="Calibri" w:eastAsia="仿宋" w:cs="仿宋"/>
          <w:color w:val="000000"/>
          <w:kern w:val="2"/>
          <w:sz w:val="32"/>
          <w:szCs w:val="32"/>
          <w:lang w:val="en-US" w:eastAsia="zh-CN" w:bidi="ar-SA"/>
        </w:rPr>
        <w:t>明确制定背景、适用范围，产权流转交易宗旨和原则。</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（二）受理转让申请。明确产权交易申请的方式，提交证明材料，并经审核审查。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（三）发布转让信息。明确交易信息发布的时限、方式。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（四）登记受让意向。明确受让方的条件、时间，提出的资料，并进行审核。</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（五）缴纳交易保证金。明确受让方缴纳保证金的时间和金额。</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（六）组织交易。明确交易时间、方式以及其他注意事项。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（七）公开竞价。明确公开竞价的方式、时间以及其他情况出现的处理方式。</w:t>
      </w:r>
    </w:p>
    <w:p>
      <w:pPr>
        <w:keepNext w:val="0"/>
        <w:keepLines w:val="0"/>
        <w:pageBreakBefore w:val="0"/>
        <w:numPr>
          <w:ilvl w:val="0"/>
          <w:numId w:val="0"/>
        </w:numPr>
        <w:kinsoku/>
        <w:wordWrap/>
        <w:overflowPunct/>
        <w:topLinePunct w:val="0"/>
        <w:autoSpaceDE/>
        <w:autoSpaceDN/>
        <w:bidi w:val="0"/>
        <w:adjustRightInd/>
        <w:snapToGrid/>
        <w:spacing w:line="500" w:lineRule="exact"/>
        <w:ind w:left="800" w:lef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（八）签订合同。明确合同的内容和方式。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（九）结算交易资金。明确交易价款结算方式、时间，进一步保障双方的履约情况。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（十）出具交易鉴证。交易完成后，交易中心需出具《交易鉴证》书，以方便交易双方办理相关变更手续。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（十一）交易的中止和终结。产权交易需中止和终结的情形和规定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（十二）</w:t>
      </w:r>
      <w:r>
        <w:rPr>
          <w:rFonts w:hint="eastAsia" w:ascii="仿宋_GB2312" w:eastAsia="仿宋_GB2312" w:cs="仿宋_GB2312"/>
          <w:sz w:val="32"/>
          <w:szCs w:val="32"/>
          <w:lang w:val="en-US" w:eastAsia="zh-CN" w:bidi="ar-SA"/>
        </w:rPr>
        <w:t>村级集体建设项目招投标和集体资产的处置。村级集体建设项目招投标和集体资产的处置原则上必须在县产权交易平台进行、接受县纪委监委和村监督委员会的监督。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（十三）附则。</w:t>
      </w:r>
      <w:r>
        <w:rPr>
          <w:rFonts w:hint="default" w:ascii="仿宋" w:hAnsi="Calibri" w:eastAsia="仿宋" w:cs="仿宋"/>
          <w:color w:val="000000"/>
          <w:kern w:val="2"/>
          <w:sz w:val="32"/>
          <w:szCs w:val="32"/>
          <w:lang w:val="en-US" w:eastAsia="zh-CN" w:bidi="ar-SA"/>
        </w:rPr>
        <w:t>对《</w:t>
      </w:r>
      <w:r>
        <w:rPr>
          <w:rFonts w:hint="eastAsia" w:ascii="仿宋" w:eastAsia="仿宋" w:cs="仿宋"/>
          <w:color w:val="000000"/>
          <w:kern w:val="2"/>
          <w:sz w:val="32"/>
          <w:szCs w:val="32"/>
          <w:lang w:val="en-US" w:eastAsia="zh-CN" w:bidi="ar-SA"/>
        </w:rPr>
        <w:t>规则</w:t>
      </w:r>
      <w:r>
        <w:rPr>
          <w:rFonts w:hint="default" w:ascii="仿宋" w:hAnsi="Calibri" w:eastAsia="仿宋" w:cs="仿宋"/>
          <w:color w:val="000000"/>
          <w:kern w:val="2"/>
          <w:sz w:val="32"/>
          <w:szCs w:val="32"/>
          <w:lang w:val="en-US" w:eastAsia="zh-CN" w:bidi="ar-SA"/>
        </w:rPr>
        <w:t>》的解释权和试行时间予</w:t>
      </w:r>
      <w:r>
        <w:rPr>
          <w:rFonts w:hint="eastAsia" w:ascii="仿宋" w:eastAsia="仿宋" w:cs="仿宋"/>
          <w:color w:val="000000"/>
          <w:kern w:val="2"/>
          <w:sz w:val="32"/>
          <w:szCs w:val="32"/>
          <w:lang w:val="en-US" w:eastAsia="zh-CN" w:bidi="ar-SA"/>
        </w:rPr>
        <w:t>以</w:t>
      </w:r>
      <w:r>
        <w:rPr>
          <w:rFonts w:hint="default" w:ascii="仿宋" w:hAnsi="Calibri" w:eastAsia="仿宋" w:cs="仿宋"/>
          <w:color w:val="000000"/>
          <w:kern w:val="2"/>
          <w:sz w:val="32"/>
          <w:szCs w:val="32"/>
          <w:lang w:val="en-US" w:eastAsia="zh-CN" w:bidi="ar-SA"/>
        </w:rPr>
        <w:t>说明</w:t>
      </w:r>
      <w:r>
        <w:rPr>
          <w:rFonts w:hint="eastAsia" w:ascii="仿宋" w:eastAsia="仿宋" w:cs="仿宋"/>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四、文件主要特点</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eastAsia="宋体"/>
          <w:sz w:val="32"/>
          <w:szCs w:val="32"/>
          <w:lang w:val="en-US" w:eastAsia="zh-CN"/>
        </w:rPr>
      </w:pPr>
      <w:r>
        <w:rPr>
          <w:rFonts w:hint="eastAsia" w:ascii="仿宋_GB2312" w:hAnsi="仿宋_GB2312" w:eastAsia="仿宋_GB2312" w:cs="仿宋_GB2312"/>
          <w:b w:val="0"/>
          <w:bCs w:val="0"/>
          <w:sz w:val="32"/>
          <w:szCs w:val="32"/>
          <w:lang w:eastAsia="zh-CN"/>
        </w:rPr>
        <w:t>一是进一步明确交易品种。进入农村产权流转交易中心交易的农村</w:t>
      </w:r>
      <w:r>
        <w:rPr>
          <w:rFonts w:hint="eastAsia" w:ascii="仿宋_GB2312" w:hAnsi="仿宋_GB2312" w:eastAsia="仿宋_GB2312" w:cs="仿宋_GB2312"/>
          <w:b w:val="0"/>
          <w:bCs w:val="0"/>
          <w:sz w:val="32"/>
          <w:szCs w:val="32"/>
          <w:lang w:val="en-US" w:eastAsia="zh-CN"/>
        </w:rPr>
        <w:t>产权品种基本上涵盖全农村。二是交易的程序进行了严格的规定，规避交易风险。三是合同统一使用规范性的格式合同，规避了一些矛盾纠纷。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TJhZTZmM2U1NmQwYTI3MzZiM2JlZDVkMzZiOGYifQ=="/>
    <w:docVar w:name="KSO_WPS_MARK_KEY" w:val="ecf67bff-ca58-4230-95b5-9a325b690310"/>
  </w:docVars>
  <w:rsids>
    <w:rsidRoot w:val="2CF41D4B"/>
    <w:rsid w:val="2454718E"/>
    <w:rsid w:val="2CF4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列出段落1"/>
    <w:basedOn w:val="1"/>
    <w:uiPriority w:val="0"/>
    <w:pPr>
      <w:ind w:firstLine="420"/>
    </w:pPr>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1417</Words>
  <Characters>1423</Characters>
  <Lines>0</Lines>
  <Paragraphs>0</Paragraphs>
  <TotalTime>16</TotalTime>
  <ScaleCrop>false</ScaleCrop>
  <LinksUpToDate>false</LinksUpToDate>
  <CharactersWithSpaces>1424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2024-10-28T00:18:00Z</dcterms:created>
  <dc:creator>何昌华</dc:creator>
  <cp:lastModifiedBy>2024</cp:lastModifiedBy>
  <dcterms:modified xsi:type="dcterms:W3CDTF">2024-12-17T07:17:38Z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55F470DCA84E4DE999CD1A05022FB67D_11</vt:lpwstr>
  </property>
</Properties>
</file>